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2128F" w14:textId="77777777" w:rsidR="002340E1" w:rsidRPr="00C011B2" w:rsidRDefault="002340E1" w:rsidP="002340E1">
      <w:pPr>
        <w:spacing w:line="276" w:lineRule="auto"/>
        <w:jc w:val="center"/>
        <w:rPr>
          <w:rFonts w:ascii="Times New Roman" w:hAnsi="Times New Roman" w:cs="Times New Roman"/>
          <w:b/>
          <w:color w:val="000000" w:themeColor="text1"/>
          <w:lang w:val="ro-MD"/>
        </w:rPr>
      </w:pPr>
      <w:r w:rsidRPr="00C011B2">
        <w:rPr>
          <w:rFonts w:ascii="Times New Roman" w:hAnsi="Times New Roman" w:cs="Times New Roman"/>
          <w:b/>
          <w:color w:val="000000" w:themeColor="text1"/>
          <w:lang w:val="ro-MD"/>
        </w:rPr>
        <w:t>Tabel de concordanță</w:t>
      </w:r>
    </w:p>
    <w:tbl>
      <w:tblPr>
        <w:tblW w:w="5446" w:type="pct"/>
        <w:jc w:val="center"/>
        <w:tblCellMar>
          <w:top w:w="15" w:type="dxa"/>
          <w:left w:w="15" w:type="dxa"/>
          <w:bottom w:w="15" w:type="dxa"/>
          <w:right w:w="15" w:type="dxa"/>
        </w:tblCellMar>
        <w:tblLook w:val="04A0" w:firstRow="1" w:lastRow="0" w:firstColumn="1" w:lastColumn="0" w:noHBand="0" w:noVBand="1"/>
      </w:tblPr>
      <w:tblGrid>
        <w:gridCol w:w="15852"/>
      </w:tblGrid>
      <w:tr w:rsidR="002340E1" w:rsidRPr="00C011B2" w14:paraId="49BBEC5B"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5EBEAF" w14:textId="3C13DF22" w:rsidR="002340E1" w:rsidRPr="00C011B2" w:rsidRDefault="002340E1" w:rsidP="001E785F">
            <w:pPr>
              <w:spacing w:after="0" w:line="276" w:lineRule="auto"/>
              <w:jc w:val="both"/>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 xml:space="preserve">1. </w:t>
            </w:r>
            <w:r w:rsidR="000A2F4D" w:rsidRPr="00C011B2">
              <w:rPr>
                <w:rFonts w:ascii="Times New Roman" w:eastAsia="Times New Roman" w:hAnsi="Times New Roman" w:cs="Times New Roman"/>
                <w:b/>
                <w:color w:val="000000" w:themeColor="text1"/>
                <w:lang w:val="ro-MD"/>
              </w:rPr>
              <w:t>Titlul actului UE, inclusiv cea mai recentă modificare, nr.CELEX</w:t>
            </w:r>
            <w:r w:rsidR="00B42316" w:rsidRPr="00C011B2">
              <w:rPr>
                <w:rFonts w:ascii="Times New Roman" w:eastAsia="Times New Roman" w:hAnsi="Times New Roman" w:cs="Times New Roman"/>
                <w:b/>
                <w:color w:val="000000" w:themeColor="text1"/>
                <w:lang w:val="ro-MD"/>
              </w:rPr>
              <w:t>: 32013R0575</w:t>
            </w:r>
          </w:p>
          <w:p w14:paraId="6AC60508" w14:textId="77777777" w:rsidR="002340E1" w:rsidRPr="00C011B2" w:rsidRDefault="002340E1" w:rsidP="001E785F">
            <w:pPr>
              <w:spacing w:after="0" w:line="276" w:lineRule="auto"/>
              <w:jc w:val="both"/>
              <w:rPr>
                <w:rFonts w:ascii="Times New Roman" w:eastAsia="Times New Roman" w:hAnsi="Times New Roman" w:cs="Times New Roman"/>
                <w:color w:val="000000" w:themeColor="text1"/>
                <w:lang w:val="ro-MD"/>
              </w:rPr>
            </w:pPr>
          </w:p>
        </w:tc>
      </w:tr>
      <w:tr w:rsidR="00B8056D" w:rsidRPr="00C011B2" w14:paraId="19351343"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6740FD" w14:textId="2780EB9E" w:rsidR="00B8056D" w:rsidRPr="00C011B2" w:rsidRDefault="00B8056D" w:rsidP="00B8056D">
            <w:pPr>
              <w:spacing w:line="276" w:lineRule="auto"/>
              <w:jc w:val="both"/>
              <w:rPr>
                <w:rFonts w:ascii="Times New Roman" w:hAnsi="Times New Roman" w:cs="Times New Roman"/>
                <w:color w:val="000000" w:themeColor="text1"/>
                <w:lang w:val="ro-RO"/>
              </w:rPr>
            </w:pPr>
            <w:r w:rsidRPr="00C011B2">
              <w:rPr>
                <w:rFonts w:ascii="Times New Roman" w:hAnsi="Times New Roman" w:cs="Times New Roman"/>
                <w:b/>
                <w:color w:val="000000" w:themeColor="text1"/>
                <w:u w:val="single"/>
                <w:lang w:val="ro-MD"/>
              </w:rPr>
              <w:t>REGULAMENTUL NR. 575/2013 AL PARLAMENTULUI EUROPEAN ȘI AL CONSILIULUI din 26 iunie 2013 privind cerințele prudențiale pentru instituțiile de credit și firmele de investiții și de modificare a Regulamentului (UE) nr. 648/2012</w:t>
            </w:r>
            <w:r w:rsidRPr="00C011B2">
              <w:rPr>
                <w:rFonts w:ascii="Times New Roman" w:hAnsi="Times New Roman" w:cs="Times New Roman"/>
                <w:b/>
                <w:color w:val="000000" w:themeColor="text1"/>
                <w:u w:val="single"/>
              </w:rPr>
              <w:t xml:space="preserve"> publicat în Jurnalul Oficial al Uniunii Europene nr. L 176 din 27 iunie 2013, </w:t>
            </w:r>
            <w:bookmarkStart w:id="0" w:name="_Hlk172636666"/>
            <w:r w:rsidRPr="00C011B2">
              <w:rPr>
                <w:rFonts w:ascii="Times New Roman" w:hAnsi="Times New Roman" w:cs="Times New Roman"/>
                <w:b/>
                <w:color w:val="000000" w:themeColor="text1"/>
                <w:u w:val="single"/>
                <w:lang w:val="ro-MD"/>
              </w:rPr>
              <w:t>CELEX: 32013R0575</w:t>
            </w:r>
            <w:bookmarkEnd w:id="0"/>
            <w:r w:rsidR="00B80A00" w:rsidRPr="00C011B2">
              <w:rPr>
                <w:rFonts w:ascii="Times New Roman" w:hAnsi="Times New Roman" w:cs="Times New Roman"/>
                <w:b/>
                <w:color w:val="000000" w:themeColor="text1"/>
                <w:u w:val="single"/>
                <w:lang w:val="ro-MD"/>
              </w:rPr>
              <w:t xml:space="preserve"> </w:t>
            </w:r>
            <w:r w:rsidRPr="00C011B2">
              <w:rPr>
                <w:rFonts w:ascii="Times New Roman" w:hAnsi="Times New Roman" w:cs="Times New Roman"/>
                <w:b/>
                <w:color w:val="000000" w:themeColor="text1"/>
                <w:u w:val="single"/>
                <w:lang w:val="ro-MD"/>
              </w:rPr>
              <w:t>,</w:t>
            </w:r>
            <w:r w:rsidR="00B80A00" w:rsidRPr="00C011B2">
              <w:rPr>
                <w:rFonts w:ascii="Times New Roman" w:hAnsi="Times New Roman" w:cs="Times New Roman"/>
                <w:b/>
                <w:color w:val="000000" w:themeColor="text1"/>
                <w:u w:val="single"/>
                <w:lang w:val="ro-MD"/>
              </w:rPr>
              <w:t xml:space="preserve"> </w:t>
            </w:r>
            <w:r w:rsidRPr="00C011B2">
              <w:rPr>
                <w:rFonts w:ascii="Times New Roman" w:hAnsi="Times New Roman" w:cs="Times New Roman"/>
                <w:b/>
                <w:color w:val="000000" w:themeColor="text1"/>
                <w:u w:val="single"/>
              </w:rPr>
              <w:t xml:space="preserve">așa cum a fost modificat </w:t>
            </w:r>
            <w:r w:rsidRPr="00C011B2">
              <w:rPr>
                <w:rFonts w:ascii="Times New Roman" w:hAnsi="Times New Roman" w:cs="Times New Roman"/>
                <w:b/>
                <w:color w:val="000000" w:themeColor="text1"/>
                <w:u w:val="single"/>
                <w:lang w:val="ro-MD"/>
              </w:rPr>
              <w:t xml:space="preserve">ultima dată </w:t>
            </w:r>
            <w:r w:rsidRPr="00C011B2">
              <w:rPr>
                <w:rFonts w:ascii="Times New Roman" w:hAnsi="Times New Roman" w:cs="Times New Roman"/>
                <w:b/>
                <w:color w:val="000000" w:themeColor="text1"/>
                <w:u w:val="single"/>
              </w:rPr>
              <w:t xml:space="preserve">prin Regulamentul (UE) </w:t>
            </w:r>
            <w:r w:rsidR="00F62243" w:rsidRPr="00C011B2">
              <w:rPr>
                <w:rFonts w:ascii="Times New Roman" w:hAnsi="Times New Roman" w:cs="Times New Roman"/>
                <w:b/>
                <w:color w:val="000000" w:themeColor="text1"/>
                <w:u w:val="single"/>
              </w:rPr>
              <w:t>2024/1623</w:t>
            </w:r>
            <w:r w:rsidRPr="00C011B2">
              <w:rPr>
                <w:rFonts w:ascii="Times New Roman" w:hAnsi="Times New Roman" w:cs="Times New Roman"/>
                <w:b/>
                <w:color w:val="000000" w:themeColor="text1"/>
                <w:u w:val="single"/>
              </w:rPr>
              <w:t xml:space="preserve"> al Parlamentului European și al Consiliului din </w:t>
            </w:r>
            <w:r w:rsidR="00F62243" w:rsidRPr="00C011B2">
              <w:rPr>
                <w:rFonts w:ascii="Times New Roman" w:hAnsi="Times New Roman" w:cs="Times New Roman"/>
                <w:b/>
                <w:color w:val="000000" w:themeColor="text1"/>
                <w:u w:val="single"/>
              </w:rPr>
              <w:t>31</w:t>
            </w:r>
            <w:r w:rsidRPr="00C011B2">
              <w:rPr>
                <w:rFonts w:ascii="Times New Roman" w:hAnsi="Times New Roman" w:cs="Times New Roman"/>
                <w:b/>
                <w:color w:val="000000" w:themeColor="text1"/>
                <w:u w:val="single"/>
              </w:rPr>
              <w:t xml:space="preserve"> mai 20</w:t>
            </w:r>
            <w:r w:rsidR="009D1982" w:rsidRPr="00C011B2">
              <w:rPr>
                <w:rFonts w:ascii="Times New Roman" w:hAnsi="Times New Roman" w:cs="Times New Roman"/>
                <w:b/>
                <w:color w:val="000000" w:themeColor="text1"/>
                <w:u w:val="single"/>
              </w:rPr>
              <w:t>24</w:t>
            </w:r>
          </w:p>
        </w:tc>
      </w:tr>
      <w:tr w:rsidR="002340E1" w:rsidRPr="00FA7D23" w14:paraId="7B68DDFD"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30B3A7" w14:textId="6E725441" w:rsidR="002340E1" w:rsidRPr="00C011B2" w:rsidRDefault="002340E1" w:rsidP="001E785F">
            <w:pPr>
              <w:tabs>
                <w:tab w:val="left" w:pos="5088"/>
              </w:tabs>
              <w:spacing w:after="0" w:line="276" w:lineRule="auto"/>
              <w:jc w:val="both"/>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 xml:space="preserve">2. </w:t>
            </w:r>
            <w:r w:rsidR="000A2F4D" w:rsidRPr="00C011B2">
              <w:rPr>
                <w:rFonts w:ascii="Times New Roman" w:eastAsia="Times New Roman" w:hAnsi="Times New Roman" w:cs="Times New Roman"/>
                <w:b/>
                <w:color w:val="000000" w:themeColor="text1"/>
                <w:lang w:val="ro-MD"/>
              </w:rPr>
              <w:t>Titlul proiectului de act normativ naţional</w:t>
            </w:r>
          </w:p>
        </w:tc>
      </w:tr>
      <w:tr w:rsidR="002340E1" w:rsidRPr="00FA7D23" w14:paraId="1BDA3B53"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2CC3E8" w14:textId="52BEEAD0" w:rsidR="002340E1" w:rsidRPr="00C011B2" w:rsidRDefault="00627361" w:rsidP="00B8056D">
            <w:pPr>
              <w:tabs>
                <w:tab w:val="left" w:pos="5088"/>
              </w:tabs>
              <w:spacing w:after="0" w:line="276" w:lineRule="auto"/>
              <w:jc w:val="both"/>
              <w:rPr>
                <w:rFonts w:ascii="Times New Roman" w:hAnsi="Times New Roman" w:cs="Times New Roman"/>
                <w:color w:val="000000" w:themeColor="text1"/>
                <w:u w:val="single"/>
                <w:lang w:val="ro-MD"/>
              </w:rPr>
            </w:pPr>
            <w:r w:rsidRPr="00C011B2">
              <w:rPr>
                <w:rFonts w:ascii="Times New Roman" w:hAnsi="Times New Roman" w:cs="Times New Roman"/>
                <w:color w:val="000000" w:themeColor="text1"/>
                <w:u w:val="single"/>
                <w:lang w:val="ro-MD"/>
              </w:rPr>
              <w:t>Regulamentul privind cerinț</w:t>
            </w:r>
            <w:r w:rsidR="00FC35EB" w:rsidRPr="00C011B2">
              <w:rPr>
                <w:rFonts w:ascii="Times New Roman" w:hAnsi="Times New Roman" w:cs="Times New Roman"/>
                <w:color w:val="000000" w:themeColor="text1"/>
                <w:u w:val="single"/>
                <w:lang w:val="ro-MD"/>
              </w:rPr>
              <w:t>e</w:t>
            </w:r>
            <w:r w:rsidR="007776D8" w:rsidRPr="00C011B2">
              <w:rPr>
                <w:rFonts w:ascii="Times New Roman" w:hAnsi="Times New Roman" w:cs="Times New Roman"/>
                <w:color w:val="000000" w:themeColor="text1"/>
                <w:u w:val="single"/>
                <w:lang w:val="ro-MD"/>
              </w:rPr>
              <w:t>le</w:t>
            </w:r>
            <w:r w:rsidRPr="00C011B2">
              <w:rPr>
                <w:rFonts w:ascii="Times New Roman" w:hAnsi="Times New Roman" w:cs="Times New Roman"/>
                <w:color w:val="000000" w:themeColor="text1"/>
                <w:u w:val="single"/>
                <w:lang w:val="ro-MD"/>
              </w:rPr>
              <w:t xml:space="preserve"> de fonduri proprii pentru riscul </w:t>
            </w:r>
            <w:r w:rsidR="00A30ECE" w:rsidRPr="00C011B2">
              <w:rPr>
                <w:rFonts w:ascii="Times New Roman" w:hAnsi="Times New Roman" w:cs="Times New Roman"/>
                <w:color w:val="000000" w:themeColor="text1"/>
                <w:u w:val="single"/>
                <w:lang w:val="ro-MD"/>
              </w:rPr>
              <w:t xml:space="preserve">de </w:t>
            </w:r>
            <w:r w:rsidR="00A30ECE" w:rsidRPr="00C011B2">
              <w:rPr>
                <w:rFonts w:ascii="Times New Roman" w:hAnsi="Times New Roman" w:cs="Times New Roman"/>
                <w:color w:val="000000" w:themeColor="text1"/>
                <w:u w:val="single"/>
                <w:lang w:val="ro-RO"/>
              </w:rPr>
              <w:t>piață</w:t>
            </w:r>
            <w:r w:rsidR="00B8056D" w:rsidRPr="00C011B2">
              <w:rPr>
                <w:rFonts w:ascii="Times New Roman" w:hAnsi="Times New Roman" w:cs="Times New Roman"/>
                <w:color w:val="000000" w:themeColor="text1"/>
                <w:u w:val="single"/>
                <w:lang w:val="ro-MD"/>
              </w:rPr>
              <w:t>, aprobat prin Hotărârea Comitetului executiv al Băncii Naționale a Moldovei nr.XX din XX.XX.2025</w:t>
            </w:r>
          </w:p>
          <w:p w14:paraId="79646742" w14:textId="77777777" w:rsidR="002340E1" w:rsidRPr="00C011B2" w:rsidRDefault="002340E1" w:rsidP="001E785F">
            <w:pPr>
              <w:tabs>
                <w:tab w:val="left" w:pos="5088"/>
              </w:tabs>
              <w:spacing w:after="0" w:line="276" w:lineRule="auto"/>
              <w:jc w:val="both"/>
              <w:rPr>
                <w:rFonts w:ascii="Times New Roman" w:hAnsi="Times New Roman" w:cs="Times New Roman"/>
                <w:color w:val="000000" w:themeColor="text1"/>
                <w:lang w:val="ro-MD"/>
              </w:rPr>
            </w:pPr>
          </w:p>
        </w:tc>
      </w:tr>
      <w:tr w:rsidR="002340E1" w:rsidRPr="00C011B2" w14:paraId="3325D0B5"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22ABCE" w14:textId="77777777" w:rsidR="002340E1" w:rsidRPr="00C011B2" w:rsidRDefault="002340E1" w:rsidP="001E785F">
            <w:pPr>
              <w:spacing w:after="0" w:line="276" w:lineRule="auto"/>
              <w:jc w:val="both"/>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3. Gradul general de compatibilitate</w:t>
            </w:r>
            <w:r w:rsidRPr="00C011B2">
              <w:rPr>
                <w:rFonts w:ascii="Times New Roman" w:eastAsia="Times New Roman" w:hAnsi="Times New Roman" w:cs="Times New Roman"/>
                <w:color w:val="000000" w:themeColor="text1"/>
                <w:lang w:val="ro-MD"/>
              </w:rPr>
              <w:t>– Parțial compatibil</w:t>
            </w:r>
          </w:p>
        </w:tc>
      </w:tr>
      <w:tr w:rsidR="000A2F4D" w:rsidRPr="00FA7D23" w14:paraId="47EFDA94"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B1ED77" w14:textId="6F2D17F9" w:rsidR="000A2F4D" w:rsidRPr="00FA7D23" w:rsidRDefault="000A2F4D" w:rsidP="001E785F">
            <w:pPr>
              <w:spacing w:after="0" w:line="276" w:lineRule="auto"/>
              <w:jc w:val="both"/>
              <w:rPr>
                <w:rFonts w:ascii="Times New Roman" w:eastAsia="Times New Roman" w:hAnsi="Times New Roman" w:cs="Times New Roman"/>
                <w:bCs/>
                <w:color w:val="000000" w:themeColor="text1"/>
                <w:lang w:val="ro-RO"/>
              </w:rPr>
            </w:pPr>
            <w:r w:rsidRPr="00C011B2">
              <w:rPr>
                <w:rFonts w:ascii="Times New Roman" w:eastAsia="Times New Roman" w:hAnsi="Times New Roman" w:cs="Times New Roman"/>
                <w:b/>
                <w:color w:val="000000" w:themeColor="text1"/>
                <w:lang w:val="ro-MD"/>
              </w:rPr>
              <w:t>4. Autoritatea/persoana responsabilă</w:t>
            </w:r>
            <w:r w:rsidR="00FA7D23">
              <w:rPr>
                <w:rFonts w:ascii="Times New Roman" w:eastAsia="Times New Roman" w:hAnsi="Times New Roman" w:cs="Times New Roman"/>
                <w:bCs/>
                <w:color w:val="000000" w:themeColor="text1"/>
                <w:lang w:val="ro-MD"/>
              </w:rPr>
              <w:t xml:space="preserve"> – Banca Națională a Moldovei</w:t>
            </w:r>
          </w:p>
        </w:tc>
      </w:tr>
      <w:tr w:rsidR="000A2F4D" w:rsidRPr="00C011B2" w14:paraId="1FA7A502" w14:textId="77777777" w:rsidTr="001E785F">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987405" w14:textId="4693229B" w:rsidR="000A2F4D" w:rsidRPr="00C011B2" w:rsidRDefault="000A2F4D" w:rsidP="001E785F">
            <w:pPr>
              <w:spacing w:after="0" w:line="276" w:lineRule="auto"/>
              <w:jc w:val="both"/>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5. Data întocmirii/actualizării</w:t>
            </w:r>
            <w:r w:rsidR="00EB5949" w:rsidRPr="00C011B2">
              <w:rPr>
                <w:rFonts w:ascii="Times New Roman" w:eastAsia="Times New Roman" w:hAnsi="Times New Roman" w:cs="Times New Roman"/>
                <w:b/>
                <w:color w:val="000000" w:themeColor="text1"/>
                <w:lang w:val="ro-MD"/>
              </w:rPr>
              <w:t xml:space="preserve"> </w:t>
            </w:r>
            <w:r w:rsidR="00EB5949" w:rsidRPr="00FA7D23">
              <w:rPr>
                <w:rFonts w:ascii="Times New Roman" w:eastAsia="Times New Roman" w:hAnsi="Times New Roman" w:cs="Times New Roman"/>
                <w:bCs/>
                <w:color w:val="000000" w:themeColor="text1"/>
                <w:lang w:val="ro-MD"/>
              </w:rPr>
              <w:t>19.06.2026</w:t>
            </w:r>
          </w:p>
        </w:tc>
      </w:tr>
    </w:tbl>
    <w:p w14:paraId="4CC4858C" w14:textId="77777777" w:rsidR="002340E1" w:rsidRPr="00C011B2" w:rsidRDefault="002340E1" w:rsidP="002340E1">
      <w:pPr>
        <w:spacing w:line="276" w:lineRule="auto"/>
        <w:jc w:val="both"/>
        <w:rPr>
          <w:rFonts w:ascii="Times New Roman" w:hAnsi="Times New Roman" w:cs="Times New Roman"/>
          <w:color w:val="000000" w:themeColor="text1"/>
          <w:lang w:val="ro-MD"/>
        </w:rPr>
      </w:pPr>
    </w:p>
    <w:tbl>
      <w:tblPr>
        <w:tblW w:w="5406" w:type="pct"/>
        <w:tblInd w:w="-579" w:type="dxa"/>
        <w:tblLayout w:type="fixed"/>
        <w:tblLook w:val="01E0" w:firstRow="1" w:lastRow="1" w:firstColumn="1" w:lastColumn="1" w:noHBand="0" w:noVBand="0"/>
      </w:tblPr>
      <w:tblGrid>
        <w:gridCol w:w="5028"/>
        <w:gridCol w:w="5327"/>
        <w:gridCol w:w="1417"/>
        <w:gridCol w:w="3970"/>
      </w:tblGrid>
      <w:tr w:rsidR="000A2F4D" w:rsidRPr="00C011B2" w14:paraId="00676FC1" w14:textId="77777777" w:rsidTr="00F262EC">
        <w:trPr>
          <w:tblHeader/>
        </w:trPr>
        <w:tc>
          <w:tcPr>
            <w:tcW w:w="1597" w:type="pct"/>
            <w:tcBorders>
              <w:top w:val="single" w:sz="4" w:space="0" w:color="auto"/>
              <w:left w:val="single" w:sz="4" w:space="0" w:color="auto"/>
              <w:bottom w:val="single" w:sz="4" w:space="0" w:color="auto"/>
              <w:right w:val="single" w:sz="4" w:space="0" w:color="auto"/>
            </w:tcBorders>
            <w:vAlign w:val="center"/>
          </w:tcPr>
          <w:p w14:paraId="2A4424E0" w14:textId="77777777" w:rsidR="000A2F4D" w:rsidRPr="00C011B2" w:rsidRDefault="000A2F4D" w:rsidP="001E785F">
            <w:pPr>
              <w:spacing w:line="276" w:lineRule="auto"/>
              <w:jc w:val="center"/>
              <w:rPr>
                <w:rFonts w:ascii="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Actul Uniunii Europene</w:t>
            </w:r>
          </w:p>
        </w:tc>
        <w:tc>
          <w:tcPr>
            <w:tcW w:w="1692" w:type="pct"/>
            <w:tcBorders>
              <w:top w:val="single" w:sz="4" w:space="0" w:color="auto"/>
              <w:left w:val="single" w:sz="4" w:space="0" w:color="auto"/>
              <w:bottom w:val="single" w:sz="4" w:space="0" w:color="auto"/>
              <w:right w:val="single" w:sz="4" w:space="0" w:color="auto"/>
            </w:tcBorders>
            <w:vAlign w:val="center"/>
          </w:tcPr>
          <w:p w14:paraId="70036BC6" w14:textId="77777777" w:rsidR="000A2F4D" w:rsidRPr="00C011B2" w:rsidRDefault="000A2F4D" w:rsidP="000A2F4D">
            <w:pPr>
              <w:spacing w:line="276" w:lineRule="auto"/>
              <w:jc w:val="center"/>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 xml:space="preserve">Proiectul de act </w:t>
            </w:r>
          </w:p>
          <w:p w14:paraId="13477720" w14:textId="4E4A6F42" w:rsidR="000A2F4D" w:rsidRPr="00C011B2" w:rsidRDefault="000A2F4D" w:rsidP="000A2F4D">
            <w:pPr>
              <w:spacing w:line="276" w:lineRule="auto"/>
              <w:jc w:val="center"/>
              <w:rPr>
                <w:rFonts w:ascii="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normativ naţional</w:t>
            </w:r>
          </w:p>
        </w:tc>
        <w:tc>
          <w:tcPr>
            <w:tcW w:w="450" w:type="pct"/>
            <w:tcBorders>
              <w:top w:val="single" w:sz="4" w:space="0" w:color="auto"/>
              <w:left w:val="single" w:sz="4" w:space="0" w:color="auto"/>
              <w:bottom w:val="single" w:sz="4" w:space="0" w:color="auto"/>
              <w:right w:val="single" w:sz="4" w:space="0" w:color="auto"/>
            </w:tcBorders>
            <w:vAlign w:val="center"/>
          </w:tcPr>
          <w:p w14:paraId="37B1C09F" w14:textId="77777777" w:rsidR="000A2F4D" w:rsidRPr="00C011B2" w:rsidRDefault="000A2F4D" w:rsidP="001E785F">
            <w:pPr>
              <w:spacing w:line="276" w:lineRule="auto"/>
              <w:jc w:val="center"/>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Gradul de compatibilitate</w:t>
            </w:r>
          </w:p>
        </w:tc>
        <w:tc>
          <w:tcPr>
            <w:tcW w:w="1261" w:type="pct"/>
            <w:tcBorders>
              <w:top w:val="single" w:sz="4" w:space="0" w:color="auto"/>
              <w:left w:val="single" w:sz="4" w:space="0" w:color="auto"/>
              <w:bottom w:val="single" w:sz="4" w:space="0" w:color="auto"/>
              <w:right w:val="single" w:sz="4" w:space="0" w:color="auto"/>
            </w:tcBorders>
            <w:vAlign w:val="center"/>
          </w:tcPr>
          <w:p w14:paraId="39375DDE" w14:textId="59EF9C7B" w:rsidR="000A2F4D" w:rsidRPr="00C011B2" w:rsidRDefault="000A2F4D" w:rsidP="001E785F">
            <w:pPr>
              <w:spacing w:line="276" w:lineRule="auto"/>
              <w:rPr>
                <w:rFonts w:ascii="Times New Roman" w:hAnsi="Times New Roman" w:cs="Times New Roman"/>
                <w:color w:val="000000" w:themeColor="text1"/>
                <w:lang w:val="ro-MD"/>
              </w:rPr>
            </w:pPr>
            <w:r w:rsidRPr="00C011B2">
              <w:rPr>
                <w:rFonts w:ascii="Times New Roman" w:eastAsia="Times New Roman" w:hAnsi="Times New Roman" w:cs="Times New Roman"/>
                <w:b/>
                <w:color w:val="000000" w:themeColor="text1"/>
                <w:lang w:val="ro-MD"/>
              </w:rPr>
              <w:t xml:space="preserve"> Observații</w:t>
            </w:r>
          </w:p>
        </w:tc>
      </w:tr>
      <w:tr w:rsidR="000A2F4D" w:rsidRPr="00C011B2" w14:paraId="6BF247CF" w14:textId="77777777" w:rsidTr="00F262EC">
        <w:trPr>
          <w:trHeight w:val="253"/>
          <w:tblHeader/>
        </w:trPr>
        <w:tc>
          <w:tcPr>
            <w:tcW w:w="1597" w:type="pct"/>
            <w:tcBorders>
              <w:top w:val="single" w:sz="4" w:space="0" w:color="auto"/>
              <w:left w:val="single" w:sz="4" w:space="0" w:color="auto"/>
              <w:bottom w:val="single" w:sz="4" w:space="0" w:color="auto"/>
              <w:right w:val="single" w:sz="4" w:space="0" w:color="auto"/>
            </w:tcBorders>
            <w:vAlign w:val="center"/>
          </w:tcPr>
          <w:p w14:paraId="1B36E508" w14:textId="3FED7BA5" w:rsidR="000A2F4D" w:rsidRPr="00C011B2" w:rsidRDefault="000A2F4D" w:rsidP="001E785F">
            <w:pPr>
              <w:spacing w:line="276" w:lineRule="auto"/>
              <w:jc w:val="center"/>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6</w:t>
            </w:r>
          </w:p>
        </w:tc>
        <w:tc>
          <w:tcPr>
            <w:tcW w:w="1692" w:type="pct"/>
            <w:tcBorders>
              <w:top w:val="single" w:sz="4" w:space="0" w:color="auto"/>
              <w:left w:val="single" w:sz="4" w:space="0" w:color="auto"/>
              <w:bottom w:val="single" w:sz="4" w:space="0" w:color="auto"/>
              <w:right w:val="single" w:sz="4" w:space="0" w:color="auto"/>
            </w:tcBorders>
            <w:vAlign w:val="center"/>
          </w:tcPr>
          <w:p w14:paraId="23FD13F0" w14:textId="1122E51E" w:rsidR="000A2F4D" w:rsidRPr="00C011B2" w:rsidRDefault="000A2F4D" w:rsidP="001E785F">
            <w:pPr>
              <w:spacing w:line="276" w:lineRule="auto"/>
              <w:jc w:val="center"/>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7</w:t>
            </w:r>
          </w:p>
        </w:tc>
        <w:tc>
          <w:tcPr>
            <w:tcW w:w="450" w:type="pct"/>
            <w:tcBorders>
              <w:top w:val="single" w:sz="4" w:space="0" w:color="auto"/>
              <w:left w:val="single" w:sz="4" w:space="0" w:color="auto"/>
              <w:bottom w:val="single" w:sz="4" w:space="0" w:color="auto"/>
              <w:right w:val="single" w:sz="4" w:space="0" w:color="auto"/>
            </w:tcBorders>
            <w:vAlign w:val="center"/>
          </w:tcPr>
          <w:p w14:paraId="3EF2B09C" w14:textId="03C3101A" w:rsidR="000A2F4D" w:rsidRPr="00C011B2" w:rsidRDefault="000A2F4D" w:rsidP="001E785F">
            <w:pPr>
              <w:spacing w:line="276" w:lineRule="auto"/>
              <w:jc w:val="center"/>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8</w:t>
            </w:r>
          </w:p>
        </w:tc>
        <w:tc>
          <w:tcPr>
            <w:tcW w:w="1261" w:type="pct"/>
            <w:tcBorders>
              <w:top w:val="single" w:sz="4" w:space="0" w:color="auto"/>
              <w:left w:val="single" w:sz="4" w:space="0" w:color="auto"/>
              <w:bottom w:val="single" w:sz="4" w:space="0" w:color="auto"/>
              <w:right w:val="single" w:sz="4" w:space="0" w:color="auto"/>
            </w:tcBorders>
            <w:vAlign w:val="center"/>
          </w:tcPr>
          <w:p w14:paraId="7F6E2304" w14:textId="4ECA4B61" w:rsidR="000A2F4D" w:rsidRPr="00C011B2" w:rsidRDefault="000A2F4D" w:rsidP="001E785F">
            <w:pPr>
              <w:spacing w:line="276" w:lineRule="auto"/>
              <w:jc w:val="center"/>
              <w:rPr>
                <w:rFonts w:ascii="Times New Roman" w:eastAsia="Times New Roman" w:hAnsi="Times New Roman" w:cs="Times New Roman"/>
                <w:b/>
                <w:color w:val="000000" w:themeColor="text1"/>
                <w:lang w:val="ro-MD"/>
              </w:rPr>
            </w:pPr>
            <w:r w:rsidRPr="00C011B2">
              <w:rPr>
                <w:rFonts w:ascii="Times New Roman" w:eastAsia="Times New Roman" w:hAnsi="Times New Roman" w:cs="Times New Roman"/>
                <w:b/>
                <w:color w:val="000000" w:themeColor="text1"/>
                <w:lang w:val="ro-MD"/>
              </w:rPr>
              <w:t>9</w:t>
            </w:r>
          </w:p>
        </w:tc>
      </w:tr>
      <w:tr w:rsidR="000A2F4D" w:rsidRPr="00FA7D23" w14:paraId="5617DEC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8B9D3A0" w14:textId="77777777" w:rsidR="000A2F4D" w:rsidRPr="00C011B2" w:rsidRDefault="000A2F4D" w:rsidP="001E785F">
            <w:pPr>
              <w:spacing w:line="276" w:lineRule="auto"/>
              <w:rPr>
                <w:rFonts w:ascii="Times New Roman" w:hAnsi="Times New Roman" w:cs="Times New Roman"/>
                <w:b/>
                <w:color w:val="000000" w:themeColor="text1"/>
                <w:lang w:val="ro-MD"/>
              </w:rPr>
            </w:pPr>
            <w:r w:rsidRPr="00C011B2">
              <w:rPr>
                <w:rFonts w:ascii="Times New Roman" w:hAnsi="Times New Roman" w:cs="Times New Roman"/>
                <w:b/>
                <w:color w:val="000000" w:themeColor="text1"/>
              </w:rPr>
              <w:t>REGULAMENTUL NR. 575/2013 AL PARLAMENTULUI EUROPEAN ȘI AL CONSILIULUI din 26 iunie 2013 privind cerințele prudențiale pentru instituțiile de credit și firmele de investiții și de modificare a Regulamentului (UE) nr. 648/2012 (în continuare – CRR)</w:t>
            </w:r>
          </w:p>
        </w:tc>
        <w:tc>
          <w:tcPr>
            <w:tcW w:w="1692" w:type="pct"/>
          </w:tcPr>
          <w:p w14:paraId="1BF86BAE" w14:textId="52C6BEAB" w:rsidR="000A2F4D" w:rsidRPr="00C011B2" w:rsidRDefault="000A2F4D" w:rsidP="001E785F">
            <w:pPr>
              <w:spacing w:line="276" w:lineRule="auto"/>
              <w:rPr>
                <w:rFonts w:ascii="Times New Roman" w:hAnsi="Times New Roman" w:cs="Times New Roman"/>
                <w:b/>
                <w:color w:val="000000" w:themeColor="text1"/>
                <w:lang w:val="ro-MD"/>
              </w:rPr>
            </w:pPr>
            <w:bookmarkStart w:id="1" w:name="_Hlk188368218"/>
            <w:r w:rsidRPr="00C011B2">
              <w:rPr>
                <w:rFonts w:ascii="Times New Roman" w:hAnsi="Times New Roman" w:cs="Times New Roman"/>
                <w:b/>
                <w:color w:val="000000" w:themeColor="text1"/>
                <w:lang w:val="ro-MD"/>
              </w:rPr>
              <w:t xml:space="preserve">Regulamentul privind </w:t>
            </w:r>
            <w:bookmarkStart w:id="2" w:name="_Hlk192851899"/>
            <w:r w:rsidR="00627361" w:rsidRPr="00C011B2">
              <w:rPr>
                <w:rFonts w:ascii="Times New Roman" w:hAnsi="Times New Roman" w:cs="Times New Roman"/>
                <w:b/>
                <w:bCs/>
                <w:color w:val="000000" w:themeColor="text1"/>
                <w:lang w:val="ro-MD"/>
              </w:rPr>
              <w:t>cerinț</w:t>
            </w:r>
            <w:r w:rsidR="00FC35EB" w:rsidRPr="00C011B2">
              <w:rPr>
                <w:rFonts w:ascii="Times New Roman" w:hAnsi="Times New Roman" w:cs="Times New Roman"/>
                <w:b/>
                <w:bCs/>
                <w:color w:val="000000" w:themeColor="text1"/>
                <w:lang w:val="ro-MD"/>
              </w:rPr>
              <w:t>e</w:t>
            </w:r>
            <w:r w:rsidR="00627361" w:rsidRPr="00C011B2">
              <w:rPr>
                <w:rFonts w:ascii="Times New Roman" w:hAnsi="Times New Roman" w:cs="Times New Roman"/>
                <w:b/>
                <w:bCs/>
                <w:color w:val="000000" w:themeColor="text1"/>
                <w:lang w:val="ro-MD"/>
              </w:rPr>
              <w:t xml:space="preserve"> de fonduri proprii pentru riscul </w:t>
            </w:r>
            <w:bookmarkEnd w:id="1"/>
            <w:bookmarkEnd w:id="2"/>
            <w:r w:rsidR="00FC35EB" w:rsidRPr="00C011B2">
              <w:rPr>
                <w:rFonts w:ascii="Times New Roman" w:hAnsi="Times New Roman" w:cs="Times New Roman"/>
                <w:b/>
                <w:bCs/>
                <w:color w:val="000000" w:themeColor="text1"/>
                <w:lang w:val="ro-MD"/>
              </w:rPr>
              <w:t>de piață</w:t>
            </w:r>
            <w:r w:rsidRPr="00C011B2">
              <w:rPr>
                <w:rFonts w:ascii="Times New Roman" w:hAnsi="Times New Roman" w:cs="Times New Roman"/>
                <w:b/>
                <w:color w:val="000000" w:themeColor="text1"/>
                <w:lang w:val="ro-MD"/>
              </w:rPr>
              <w:t>, aprobat prin Hotărârea Comitetului executiv al Băncii Naționale a Moldovei  nr.XX/2025</w:t>
            </w:r>
          </w:p>
          <w:p w14:paraId="2447C1C9" w14:textId="77777777" w:rsidR="000A2F4D" w:rsidRPr="00C011B2" w:rsidRDefault="000A2F4D" w:rsidP="001E785F">
            <w:pPr>
              <w:spacing w:line="276" w:lineRule="auto"/>
              <w:ind w:left="448"/>
              <w:rPr>
                <w:rFonts w:ascii="Times New Roman" w:hAnsi="Times New Roman" w:cs="Times New Roman"/>
                <w:b/>
                <w:color w:val="000000" w:themeColor="text1"/>
                <w:lang w:val="ro-MD"/>
              </w:rPr>
            </w:pPr>
          </w:p>
        </w:tc>
        <w:tc>
          <w:tcPr>
            <w:tcW w:w="450" w:type="pct"/>
          </w:tcPr>
          <w:p w14:paraId="6FE2121C" w14:textId="77777777" w:rsidR="000A2F4D" w:rsidRPr="00C011B2" w:rsidRDefault="000A2F4D" w:rsidP="001E785F">
            <w:pPr>
              <w:spacing w:line="276" w:lineRule="auto"/>
              <w:rPr>
                <w:rFonts w:ascii="Times New Roman" w:hAnsi="Times New Roman" w:cs="Times New Roman"/>
                <w:color w:val="000000" w:themeColor="text1"/>
                <w:lang w:val="ro-MD"/>
              </w:rPr>
            </w:pPr>
          </w:p>
        </w:tc>
        <w:tc>
          <w:tcPr>
            <w:tcW w:w="1261" w:type="pct"/>
          </w:tcPr>
          <w:p w14:paraId="4EDDB10F" w14:textId="77777777" w:rsidR="000A2F4D" w:rsidRPr="00C011B2" w:rsidRDefault="000A2F4D" w:rsidP="001E785F">
            <w:pPr>
              <w:spacing w:line="276" w:lineRule="auto"/>
              <w:rPr>
                <w:rFonts w:ascii="Times New Roman" w:hAnsi="Times New Roman" w:cs="Times New Roman"/>
                <w:color w:val="000000" w:themeColor="text1"/>
                <w:lang w:val="ro-MD"/>
              </w:rPr>
            </w:pPr>
          </w:p>
        </w:tc>
      </w:tr>
      <w:tr w:rsidR="000A2F4D" w:rsidRPr="00C011B2" w14:paraId="087009B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C99ADB" w14:textId="77777777" w:rsidR="000A2F4D" w:rsidRPr="00C011B2" w:rsidRDefault="000A2F4D" w:rsidP="001E785F">
            <w:pPr>
              <w:spacing w:after="0" w:line="240" w:lineRule="auto"/>
              <w:rPr>
                <w:rFonts w:ascii="Times New Roman" w:hAnsi="Times New Roman" w:cs="Times New Roman"/>
                <w:b/>
                <w:color w:val="000000" w:themeColor="text1"/>
                <w:lang w:val="ro-RO"/>
              </w:rPr>
            </w:pPr>
            <w:bookmarkStart w:id="3" w:name="_Hlk195542309"/>
            <w:r w:rsidRPr="00C011B2">
              <w:rPr>
                <w:rFonts w:ascii="Times New Roman" w:hAnsi="Times New Roman" w:cs="Times New Roman"/>
                <w:b/>
                <w:color w:val="000000" w:themeColor="text1"/>
                <w:lang w:val="ro-RO"/>
              </w:rPr>
              <w:t>PARTEA ÎNTÂI</w:t>
            </w:r>
          </w:p>
          <w:p w14:paraId="0D46B05C" w14:textId="77777777" w:rsidR="000A2F4D" w:rsidRPr="00C011B2" w:rsidRDefault="000A2F4D" w:rsidP="001E785F">
            <w:pPr>
              <w:spacing w:after="0" w:line="240" w:lineRule="auto"/>
              <w:rPr>
                <w:rFonts w:ascii="Times New Roman" w:hAnsi="Times New Roman" w:cs="Times New Roman"/>
                <w:b/>
                <w:color w:val="000000" w:themeColor="text1"/>
                <w:lang w:val="ro-RO"/>
              </w:rPr>
            </w:pPr>
            <w:r w:rsidRPr="00C011B2">
              <w:rPr>
                <w:rFonts w:ascii="Times New Roman" w:hAnsi="Times New Roman" w:cs="Times New Roman"/>
                <w:b/>
                <w:color w:val="000000" w:themeColor="text1"/>
                <w:lang w:val="ro-RO"/>
              </w:rPr>
              <w:t>DISPOZIȚII GENERALE</w:t>
            </w:r>
          </w:p>
          <w:p w14:paraId="6BE86301" w14:textId="77777777" w:rsidR="000A2F4D" w:rsidRPr="00C011B2" w:rsidRDefault="000A2F4D" w:rsidP="001E785F">
            <w:pPr>
              <w:spacing w:after="0" w:line="240" w:lineRule="auto"/>
              <w:rPr>
                <w:rFonts w:ascii="Times New Roman" w:hAnsi="Times New Roman" w:cs="Times New Roman"/>
                <w:b/>
                <w:color w:val="000000" w:themeColor="text1"/>
                <w:lang w:val="ro-RO"/>
              </w:rPr>
            </w:pPr>
            <w:r w:rsidRPr="00C011B2">
              <w:rPr>
                <w:rFonts w:ascii="Times New Roman" w:hAnsi="Times New Roman" w:cs="Times New Roman"/>
                <w:b/>
                <w:color w:val="000000" w:themeColor="text1"/>
                <w:lang w:val="ro-RO"/>
              </w:rPr>
              <w:t xml:space="preserve">TITLUL I   </w:t>
            </w:r>
          </w:p>
          <w:p w14:paraId="4D2B164C" w14:textId="77777777" w:rsidR="000A2F4D" w:rsidRPr="00C011B2" w:rsidRDefault="000A2F4D" w:rsidP="001E785F">
            <w:pPr>
              <w:spacing w:after="0" w:line="240" w:lineRule="auto"/>
              <w:rPr>
                <w:rFonts w:ascii="Times New Roman" w:hAnsi="Times New Roman" w:cs="Times New Roman"/>
                <w:b/>
                <w:color w:val="000000" w:themeColor="text1"/>
                <w:lang w:val="ro-RO"/>
              </w:rPr>
            </w:pPr>
            <w:r w:rsidRPr="00C011B2">
              <w:rPr>
                <w:rFonts w:ascii="Times New Roman" w:hAnsi="Times New Roman" w:cs="Times New Roman"/>
                <w:b/>
                <w:color w:val="000000" w:themeColor="text1"/>
                <w:lang w:val="ro-RO"/>
              </w:rPr>
              <w:lastRenderedPageBreak/>
              <w:t>OBIECT, DOMENIU DE APLICARE ȘI DEFINIȚII</w:t>
            </w:r>
          </w:p>
          <w:bookmarkEnd w:id="3"/>
          <w:p w14:paraId="0903420C" w14:textId="77777777" w:rsidR="000A2F4D" w:rsidRPr="00C011B2" w:rsidRDefault="000A2F4D" w:rsidP="001E785F">
            <w:pPr>
              <w:spacing w:after="0" w:line="240" w:lineRule="auto"/>
              <w:rPr>
                <w:rFonts w:ascii="Times New Roman" w:hAnsi="Times New Roman" w:cs="Times New Roman"/>
                <w:b/>
                <w:color w:val="000000" w:themeColor="text1"/>
                <w:lang w:val="ro-RO"/>
              </w:rPr>
            </w:pPr>
          </w:p>
        </w:tc>
        <w:tc>
          <w:tcPr>
            <w:tcW w:w="1692" w:type="pct"/>
          </w:tcPr>
          <w:p w14:paraId="61345628" w14:textId="77777777" w:rsidR="00A34CD7" w:rsidRPr="00C011B2" w:rsidRDefault="00A34CD7" w:rsidP="001E785F">
            <w:pPr>
              <w:spacing w:after="0" w:line="240" w:lineRule="auto"/>
              <w:rPr>
                <w:rFonts w:ascii="Times New Roman" w:hAnsi="Times New Roman" w:cs="Times New Roman"/>
                <w:b/>
                <w:color w:val="000000" w:themeColor="text1"/>
                <w:lang w:val="ro-RO"/>
              </w:rPr>
            </w:pPr>
            <w:bookmarkStart w:id="4" w:name="_Hlk188368200"/>
          </w:p>
          <w:bookmarkEnd w:id="4"/>
          <w:p w14:paraId="0FB3CEB1" w14:textId="08BEEA36" w:rsidR="000A2F4D" w:rsidRPr="00C011B2" w:rsidRDefault="0044481D" w:rsidP="00A96F83">
            <w:pPr>
              <w:spacing w:after="0" w:line="240" w:lineRule="auto"/>
              <w:rPr>
                <w:rFonts w:ascii="Times New Roman" w:hAnsi="Times New Roman" w:cs="Times New Roman"/>
                <w:b/>
                <w:color w:val="000000" w:themeColor="text1"/>
                <w:lang w:val="ro-RO"/>
              </w:rPr>
            </w:pPr>
            <w:r w:rsidRPr="00C011B2">
              <w:rPr>
                <w:rFonts w:ascii="Times New Roman" w:hAnsi="Times New Roman" w:cs="Times New Roman"/>
                <w:b/>
                <w:color w:val="000000" w:themeColor="text1"/>
                <w:lang w:val="ro-RO"/>
              </w:rPr>
              <w:t>TITLUL I. DISPOZIŢII GENERALE</w:t>
            </w:r>
          </w:p>
        </w:tc>
        <w:tc>
          <w:tcPr>
            <w:tcW w:w="450" w:type="pct"/>
          </w:tcPr>
          <w:p w14:paraId="000D250F" w14:textId="77777777" w:rsidR="000A2F4D" w:rsidRPr="00C011B2" w:rsidRDefault="000A2F4D" w:rsidP="001E785F">
            <w:pPr>
              <w:spacing w:line="276" w:lineRule="auto"/>
              <w:jc w:val="both"/>
              <w:rPr>
                <w:rFonts w:ascii="Times New Roman" w:hAnsi="Times New Roman" w:cs="Times New Roman"/>
                <w:color w:val="000000" w:themeColor="text1"/>
                <w:lang w:val="ro-MD"/>
              </w:rPr>
            </w:pPr>
          </w:p>
        </w:tc>
        <w:tc>
          <w:tcPr>
            <w:tcW w:w="1261" w:type="pct"/>
          </w:tcPr>
          <w:p w14:paraId="1353723D" w14:textId="77777777" w:rsidR="000A2F4D" w:rsidRPr="00C011B2" w:rsidRDefault="000A2F4D" w:rsidP="001E785F">
            <w:pPr>
              <w:spacing w:line="276" w:lineRule="auto"/>
              <w:jc w:val="both"/>
              <w:rPr>
                <w:rFonts w:ascii="Times New Roman" w:hAnsi="Times New Roman" w:cs="Times New Roman"/>
                <w:color w:val="000000" w:themeColor="text1"/>
                <w:lang w:val="ro-MD"/>
              </w:rPr>
            </w:pPr>
          </w:p>
        </w:tc>
      </w:tr>
      <w:tr w:rsidR="000A2F4D" w:rsidRPr="00C011B2" w14:paraId="0012061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D320E64" w14:textId="77777777" w:rsidR="000A2F4D" w:rsidRPr="00C011B2" w:rsidRDefault="000A2F4D" w:rsidP="001E785F">
            <w:pPr>
              <w:spacing w:after="0" w:line="276" w:lineRule="auto"/>
              <w:jc w:val="both"/>
              <w:rPr>
                <w:rFonts w:ascii="Times New Roman" w:hAnsi="Times New Roman" w:cs="Times New Roman"/>
                <w:b/>
                <w:color w:val="000000" w:themeColor="text1"/>
                <w:lang w:val="ro-MD"/>
              </w:rPr>
            </w:pPr>
            <w:bookmarkStart w:id="5" w:name="_Hlk195542344"/>
            <w:r w:rsidRPr="00C011B2">
              <w:rPr>
                <w:rFonts w:ascii="Times New Roman" w:hAnsi="Times New Roman" w:cs="Times New Roman"/>
                <w:b/>
                <w:color w:val="000000" w:themeColor="text1"/>
                <w:lang w:val="ro-MD"/>
              </w:rPr>
              <w:t>Articolul 1</w:t>
            </w:r>
          </w:p>
          <w:p w14:paraId="145EE73C" w14:textId="77777777" w:rsidR="000A2F4D" w:rsidRPr="00C011B2" w:rsidRDefault="000A2F4D" w:rsidP="001E785F">
            <w:pPr>
              <w:spacing w:after="0" w:line="276" w:lineRule="auto"/>
              <w:jc w:val="both"/>
              <w:rPr>
                <w:rFonts w:ascii="Times New Roman" w:hAnsi="Times New Roman" w:cs="Times New Roman"/>
                <w:b/>
                <w:color w:val="000000" w:themeColor="text1"/>
                <w:lang w:val="ro-MD"/>
              </w:rPr>
            </w:pPr>
            <w:r w:rsidRPr="00C011B2">
              <w:rPr>
                <w:rFonts w:ascii="Times New Roman" w:hAnsi="Times New Roman" w:cs="Times New Roman"/>
                <w:b/>
                <w:color w:val="000000" w:themeColor="text1"/>
                <w:lang w:val="ro-MD"/>
              </w:rPr>
              <w:t>Domeniu  de  aplicare</w:t>
            </w:r>
            <w:bookmarkEnd w:id="5"/>
          </w:p>
        </w:tc>
        <w:tc>
          <w:tcPr>
            <w:tcW w:w="1692" w:type="pct"/>
          </w:tcPr>
          <w:p w14:paraId="4CC66082" w14:textId="77777777" w:rsidR="00A96F83" w:rsidRPr="00C011B2" w:rsidRDefault="00A96F83" w:rsidP="00A34CD7">
            <w:pPr>
              <w:spacing w:after="0" w:line="276" w:lineRule="auto"/>
              <w:jc w:val="both"/>
              <w:rPr>
                <w:rFonts w:ascii="Times New Roman" w:hAnsi="Times New Roman" w:cs="Times New Roman"/>
                <w:b/>
                <w:i/>
                <w:iCs/>
                <w:color w:val="000000" w:themeColor="text1"/>
                <w:lang w:val="ro-MD"/>
              </w:rPr>
            </w:pPr>
            <w:r w:rsidRPr="00C011B2">
              <w:rPr>
                <w:rFonts w:ascii="Times New Roman" w:hAnsi="Times New Roman" w:cs="Times New Roman"/>
                <w:b/>
                <w:i/>
                <w:iCs/>
                <w:color w:val="000000" w:themeColor="text1"/>
                <w:lang w:val="ro-MD"/>
              </w:rPr>
              <w:t>Capitolul I OBIECT Și DOMENIU DE APLICARE</w:t>
            </w:r>
          </w:p>
          <w:p w14:paraId="17D9A3D8" w14:textId="602DB641" w:rsidR="000A2F4D" w:rsidRPr="00C011B2" w:rsidRDefault="000A2F4D" w:rsidP="003E392E">
            <w:pPr>
              <w:spacing w:after="0" w:line="276" w:lineRule="auto"/>
              <w:jc w:val="both"/>
              <w:rPr>
                <w:rFonts w:ascii="Times New Roman" w:hAnsi="Times New Roman" w:cs="Times New Roman"/>
                <w:b/>
                <w:color w:val="000000" w:themeColor="text1"/>
                <w:lang w:val="ro-MD"/>
              </w:rPr>
            </w:pPr>
          </w:p>
        </w:tc>
        <w:tc>
          <w:tcPr>
            <w:tcW w:w="450" w:type="pct"/>
          </w:tcPr>
          <w:p w14:paraId="136F4E0B" w14:textId="77777777" w:rsidR="000A2F4D" w:rsidRPr="00C011B2" w:rsidRDefault="000A2F4D" w:rsidP="001E785F">
            <w:pPr>
              <w:spacing w:line="276" w:lineRule="auto"/>
              <w:jc w:val="both"/>
              <w:rPr>
                <w:rFonts w:ascii="Times New Roman" w:hAnsi="Times New Roman" w:cs="Times New Roman"/>
                <w:color w:val="000000" w:themeColor="text1"/>
                <w:lang w:val="ro-MD"/>
              </w:rPr>
            </w:pPr>
          </w:p>
        </w:tc>
        <w:tc>
          <w:tcPr>
            <w:tcW w:w="1261" w:type="pct"/>
          </w:tcPr>
          <w:p w14:paraId="3011B4CB" w14:textId="77777777" w:rsidR="000A2F4D" w:rsidRPr="00C011B2" w:rsidRDefault="000A2F4D" w:rsidP="001E785F">
            <w:pPr>
              <w:spacing w:line="276" w:lineRule="auto"/>
              <w:jc w:val="both"/>
              <w:rPr>
                <w:rFonts w:ascii="Times New Roman" w:hAnsi="Times New Roman" w:cs="Times New Roman"/>
                <w:color w:val="000000" w:themeColor="text1"/>
                <w:lang w:val="ro-MD"/>
              </w:rPr>
            </w:pPr>
          </w:p>
        </w:tc>
      </w:tr>
      <w:tr w:rsidR="000A2F4D" w:rsidRPr="00C011B2" w14:paraId="72226D7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FF48F7C" w14:textId="7F7F9C51" w:rsidR="000A2F4D" w:rsidRPr="00C011B2" w:rsidRDefault="000A2F4D" w:rsidP="004956A6">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Prezentul regulament stabilește reguli uniforme privind cerinţele prudenţiale generale pe care trebuie să le îndeplinească instituţiile, societăţile financiare holding și societăţile financiare holding mixte supravegheate în temeiul Directivei 2013/36/UE, în ceea ce privește următoarele elemente:</w:t>
            </w:r>
          </w:p>
          <w:p w14:paraId="176F160A" w14:textId="3DE7531F" w:rsidR="000A2F4D" w:rsidRPr="00C011B2" w:rsidRDefault="000A2F4D" w:rsidP="004956A6">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cerinţe de fonduri proprii referitoare la elemente în întregime cuantificabile, uniforme și standardizate ale riscului de credit, ale riscului de piaţă, ale riscului operaţional, ale riscului de decontare și ale efectului de levier;</w:t>
            </w:r>
          </w:p>
        </w:tc>
        <w:tc>
          <w:tcPr>
            <w:tcW w:w="1692" w:type="pct"/>
          </w:tcPr>
          <w:p w14:paraId="77D8E4CA" w14:textId="4574A946" w:rsidR="000A2F4D" w:rsidRPr="00C011B2" w:rsidRDefault="00E27D2A" w:rsidP="001E785F">
            <w:pPr>
              <w:spacing w:after="0" w:line="276" w:lineRule="auto"/>
              <w:jc w:val="both"/>
              <w:rPr>
                <w:rFonts w:ascii="Times New Roman" w:hAnsi="Times New Roman" w:cs="Times New Roman"/>
                <w:bCs/>
                <w:color w:val="000000" w:themeColor="text1"/>
                <w:lang w:val="ro-MD"/>
              </w:rPr>
            </w:pPr>
            <w:bookmarkStart w:id="6" w:name="_Hlk200115471"/>
            <w:r w:rsidRPr="00C011B2">
              <w:rPr>
                <w:rFonts w:ascii="Times New Roman" w:hAnsi="Times New Roman" w:cs="Times New Roman"/>
                <w:bCs/>
                <w:color w:val="000000" w:themeColor="text1"/>
                <w:lang w:val="ro-MD"/>
              </w:rPr>
              <w:t xml:space="preserve">1. Prezentul regulament stabileşte reguli privind cerinţele de fonduri proprii pentru riscul </w:t>
            </w:r>
            <w:r w:rsidR="0044481D" w:rsidRPr="00C011B2">
              <w:rPr>
                <w:rFonts w:ascii="Times New Roman" w:hAnsi="Times New Roman" w:cs="Times New Roman"/>
                <w:bCs/>
                <w:color w:val="000000" w:themeColor="text1"/>
                <w:lang w:val="ro-MD"/>
              </w:rPr>
              <w:t xml:space="preserve">de </w:t>
            </w:r>
            <w:r w:rsidR="0044481D" w:rsidRPr="00C011B2">
              <w:rPr>
                <w:rFonts w:ascii="Times New Roman" w:hAnsi="Times New Roman" w:cs="Times New Roman"/>
                <w:bCs/>
                <w:color w:val="000000" w:themeColor="text1"/>
                <w:lang w:val="ro-RO"/>
              </w:rPr>
              <w:t>piață</w:t>
            </w:r>
            <w:r w:rsidRPr="00C011B2">
              <w:rPr>
                <w:rFonts w:ascii="Times New Roman" w:hAnsi="Times New Roman" w:cs="Times New Roman"/>
                <w:bCs/>
                <w:color w:val="000000" w:themeColor="text1"/>
                <w:lang w:val="ro-MD"/>
              </w:rPr>
              <w:t>, în scopul calculării cerinţelor de fonduri proprii conform actelor normative ale Băncii Naţionale a Moldovei cu privire la fondurile proprii şi cerinţele de capital</w:t>
            </w:r>
          </w:p>
          <w:p w14:paraId="34EBB482" w14:textId="77777777" w:rsidR="003E392E" w:rsidRPr="00C011B2" w:rsidRDefault="003E392E" w:rsidP="003E392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 Prezentul regulament se aplică băncilor persoane juridice din Republica Moldova, precum şi sucursalelor din Republica Moldova ale băncilor din alte state.</w:t>
            </w:r>
          </w:p>
          <w:p w14:paraId="1BAD2EDD" w14:textId="5178B88A" w:rsidR="003E392E" w:rsidRPr="00C011B2" w:rsidRDefault="003E392E" w:rsidP="003E392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 Băncile respectă obligaţiile prevăzute în prezentul regulament pe bază individuală. După caz, băncile îndeplinesc, în măsura şi potrivit metodelor prevăzute la capitolul IV din Regulamentul cu privire la supravegherea pe bază consolidată a băncilor, aprobat prin Hotărârea Comitetului executiv al Băncii Naţionale a Moldovei nr.101/2020 obligaţiile prevăzute în prezentul regulament pe baza situaţiei lor consolidate.</w:t>
            </w:r>
            <w:bookmarkEnd w:id="6"/>
          </w:p>
        </w:tc>
        <w:tc>
          <w:tcPr>
            <w:tcW w:w="450" w:type="pct"/>
          </w:tcPr>
          <w:p w14:paraId="5DEB94B9" w14:textId="671C229A" w:rsidR="000A2F4D" w:rsidRPr="00C011B2" w:rsidRDefault="00C411D1" w:rsidP="001E785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31B55F24" w14:textId="77777777" w:rsidR="000A2F4D" w:rsidRPr="00C011B2" w:rsidRDefault="000A2F4D" w:rsidP="001E785F">
            <w:pPr>
              <w:spacing w:line="276" w:lineRule="auto"/>
              <w:jc w:val="both"/>
              <w:rPr>
                <w:rFonts w:ascii="Times New Roman" w:hAnsi="Times New Roman" w:cs="Times New Roman"/>
                <w:bCs/>
                <w:color w:val="000000" w:themeColor="text1"/>
                <w:lang w:val="ro-MD"/>
              </w:rPr>
            </w:pPr>
          </w:p>
        </w:tc>
      </w:tr>
      <w:tr w:rsidR="000A2F4D" w:rsidRPr="00C011B2" w14:paraId="4BD43A9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D5981B" w14:textId="77777777" w:rsidR="000A2F4D" w:rsidRPr="00C011B2" w:rsidRDefault="000A2F4D" w:rsidP="001E785F">
            <w:pPr>
              <w:spacing w:after="0" w:line="276" w:lineRule="auto"/>
              <w:jc w:val="both"/>
              <w:rPr>
                <w:rFonts w:ascii="Times New Roman" w:hAnsi="Times New Roman" w:cs="Times New Roman"/>
                <w:b/>
                <w:color w:val="000000" w:themeColor="text1"/>
                <w:lang w:val="ro-MD"/>
              </w:rPr>
            </w:pPr>
            <w:bookmarkStart w:id="7" w:name="_Hlk195542381"/>
            <w:r w:rsidRPr="00C011B2">
              <w:rPr>
                <w:rFonts w:ascii="Times New Roman" w:hAnsi="Times New Roman" w:cs="Times New Roman"/>
                <w:b/>
                <w:color w:val="000000" w:themeColor="text1"/>
                <w:lang w:val="ro-MD"/>
              </w:rPr>
              <w:t>Articolul 4</w:t>
            </w:r>
          </w:p>
          <w:p w14:paraId="6F84548F" w14:textId="343904FF" w:rsidR="000A2F4D" w:rsidRPr="00C011B2" w:rsidRDefault="000A2F4D" w:rsidP="001E785F">
            <w:pPr>
              <w:spacing w:after="0" w:line="276" w:lineRule="auto"/>
              <w:jc w:val="both"/>
              <w:rPr>
                <w:rFonts w:ascii="Times New Roman" w:hAnsi="Times New Roman" w:cs="Times New Roman"/>
                <w:b/>
                <w:color w:val="000000" w:themeColor="text1"/>
                <w:lang w:val="ro-MD"/>
              </w:rPr>
            </w:pPr>
            <w:r w:rsidRPr="00C011B2">
              <w:rPr>
                <w:rFonts w:ascii="Times New Roman" w:hAnsi="Times New Roman" w:cs="Times New Roman"/>
                <w:b/>
                <w:color w:val="000000" w:themeColor="text1"/>
                <w:lang w:val="ro-MD"/>
              </w:rPr>
              <w:t>Definiţii</w:t>
            </w:r>
            <w:bookmarkEnd w:id="7"/>
          </w:p>
        </w:tc>
        <w:tc>
          <w:tcPr>
            <w:tcW w:w="1692" w:type="pct"/>
          </w:tcPr>
          <w:p w14:paraId="2941CD19" w14:textId="77777777" w:rsidR="00A96F83" w:rsidRPr="00C011B2" w:rsidRDefault="0044481D" w:rsidP="003E392E">
            <w:pPr>
              <w:spacing w:after="0" w:line="276" w:lineRule="auto"/>
              <w:jc w:val="both"/>
              <w:rPr>
                <w:rFonts w:ascii="Times New Roman" w:hAnsi="Times New Roman" w:cs="Times New Roman"/>
                <w:b/>
                <w:i/>
                <w:iCs/>
                <w:color w:val="000000" w:themeColor="text1"/>
                <w:lang w:val="ro-MD"/>
              </w:rPr>
            </w:pPr>
            <w:bookmarkStart w:id="8" w:name="_Hlk200115888"/>
            <w:r w:rsidRPr="00C011B2">
              <w:rPr>
                <w:rFonts w:ascii="Times New Roman" w:hAnsi="Times New Roman" w:cs="Times New Roman"/>
                <w:b/>
                <w:i/>
                <w:iCs/>
                <w:color w:val="000000" w:themeColor="text1"/>
                <w:lang w:val="ro-MD"/>
              </w:rPr>
              <w:t>Capitolul II DEFINIŢII</w:t>
            </w:r>
            <w:bookmarkEnd w:id="8"/>
          </w:p>
          <w:p w14:paraId="42ACF11A" w14:textId="4C5C26A0" w:rsidR="003E392E" w:rsidRPr="00C011B2" w:rsidRDefault="003E392E" w:rsidP="003E392E">
            <w:pPr>
              <w:spacing w:after="0" w:line="276" w:lineRule="auto"/>
              <w:jc w:val="both"/>
              <w:rPr>
                <w:rFonts w:ascii="Times New Roman" w:hAnsi="Times New Roman" w:cs="Times New Roman"/>
                <w:b/>
                <w:color w:val="000000" w:themeColor="text1"/>
                <w:lang w:val="ro-MD"/>
              </w:rPr>
            </w:pPr>
          </w:p>
        </w:tc>
        <w:tc>
          <w:tcPr>
            <w:tcW w:w="450" w:type="pct"/>
          </w:tcPr>
          <w:p w14:paraId="7FAA55B9" w14:textId="77777777" w:rsidR="000A2F4D" w:rsidRPr="00C011B2" w:rsidRDefault="000A2F4D" w:rsidP="004956A6">
            <w:pPr>
              <w:spacing w:after="0" w:line="276" w:lineRule="auto"/>
              <w:jc w:val="both"/>
              <w:rPr>
                <w:rFonts w:ascii="Times New Roman" w:hAnsi="Times New Roman" w:cs="Times New Roman"/>
                <w:b/>
                <w:color w:val="000000" w:themeColor="text1"/>
                <w:lang w:val="ro-MD"/>
              </w:rPr>
            </w:pPr>
          </w:p>
        </w:tc>
        <w:tc>
          <w:tcPr>
            <w:tcW w:w="1261" w:type="pct"/>
          </w:tcPr>
          <w:p w14:paraId="44A78DE5" w14:textId="77777777" w:rsidR="000A2F4D" w:rsidRPr="00C011B2" w:rsidRDefault="000A2F4D" w:rsidP="004956A6">
            <w:pPr>
              <w:spacing w:after="0" w:line="276" w:lineRule="auto"/>
              <w:jc w:val="both"/>
              <w:rPr>
                <w:rFonts w:ascii="Times New Roman" w:hAnsi="Times New Roman" w:cs="Times New Roman"/>
                <w:b/>
                <w:color w:val="000000" w:themeColor="text1"/>
                <w:lang w:val="ro-MD"/>
              </w:rPr>
            </w:pPr>
          </w:p>
        </w:tc>
      </w:tr>
      <w:tr w:rsidR="00984C7C" w:rsidRPr="00C011B2" w14:paraId="1F23E7D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2969404" w14:textId="77777777" w:rsidR="00984C7C" w:rsidRPr="00C011B2" w:rsidRDefault="00984C7C" w:rsidP="00984C7C">
            <w:pPr>
              <w:spacing w:after="0" w:line="276" w:lineRule="auto"/>
              <w:jc w:val="both"/>
              <w:rPr>
                <w:rFonts w:ascii="Times New Roman" w:hAnsi="Times New Roman" w:cs="Times New Roman"/>
                <w:bCs/>
                <w:color w:val="000000" w:themeColor="text1"/>
                <w:lang w:val="ro-MD"/>
              </w:rPr>
            </w:pPr>
            <w:bookmarkStart w:id="9" w:name="_Hlk200117152"/>
            <w:r w:rsidRPr="00C011B2">
              <w:rPr>
                <w:rFonts w:ascii="Times New Roman" w:hAnsi="Times New Roman" w:cs="Times New Roman"/>
                <w:bCs/>
                <w:color w:val="000000" w:themeColor="text1"/>
                <w:lang w:val="ro-MD"/>
              </w:rPr>
              <w:t xml:space="preserve">50.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instrument financiar</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oricare dintre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w:t>
            </w:r>
          </w:p>
          <w:p w14:paraId="2FD0A9A0" w14:textId="29ED0197"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(a) un contract care genereaz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simultan un activ financiar, pentru una dintre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un pasiv financiar sau un titlu de capital pentru cealalt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dintre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w:t>
            </w:r>
          </w:p>
          <w:p w14:paraId="1A95AEE6" w14:textId="457F5A77"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un instrument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iunea C din anexa I la Directiva 2004/39/CE;</w:t>
            </w:r>
          </w:p>
          <w:p w14:paraId="7B638033" w14:textId="77777777"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un instrument financiar derivat;</w:t>
            </w:r>
          </w:p>
          <w:p w14:paraId="333A0BC8" w14:textId="77777777"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un instrument financiar primar;</w:t>
            </w:r>
          </w:p>
          <w:p w14:paraId="54E2B6D2" w14:textId="77777777"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un instrument de numerar.</w:t>
            </w:r>
          </w:p>
          <w:p w14:paraId="502D8320" w14:textId="7EC447F7"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Instrumentele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literele (a), (b)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 sunt instrumente financiare numai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valoarea lor deriv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 unui instrument financiar-suport sau al altui element-suport, dintr-un indicator sau un indice.</w:t>
            </w:r>
          </w:p>
        </w:tc>
        <w:tc>
          <w:tcPr>
            <w:tcW w:w="1692" w:type="pct"/>
            <w:shd w:val="clear" w:color="auto" w:fill="auto"/>
          </w:tcPr>
          <w:p w14:paraId="278100D7" w14:textId="0642A2DE" w:rsidR="00984C7C" w:rsidRPr="00C011B2" w:rsidRDefault="005002A5"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5.6.</w:t>
            </w:r>
            <w:r w:rsidR="00984C7C" w:rsidRPr="00C011B2">
              <w:rPr>
                <w:rFonts w:ascii="Times New Roman" w:hAnsi="Times New Roman" w:cs="Times New Roman"/>
                <w:bCs/>
                <w:color w:val="000000" w:themeColor="text1"/>
                <w:lang w:val="ro-MD"/>
              </w:rPr>
              <w:t xml:space="preserve"> „instrument financiar” înseamnă oricare dintre următoarele:</w:t>
            </w:r>
          </w:p>
          <w:p w14:paraId="1B0A00A3" w14:textId="456ED0DA" w:rsidR="00984C7C" w:rsidRPr="00C011B2" w:rsidRDefault="005002A5"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5.6.1.</w:t>
            </w:r>
            <w:r w:rsidR="00984C7C" w:rsidRPr="00C011B2">
              <w:rPr>
                <w:rFonts w:ascii="Times New Roman" w:hAnsi="Times New Roman" w:cs="Times New Roman"/>
                <w:bCs/>
                <w:color w:val="000000" w:themeColor="text1"/>
                <w:lang w:val="ro-MD"/>
              </w:rPr>
              <w:t xml:space="preserve"> un contract care generează simultan un activ financiar, pentru una dintre părţi, și un pasiv financiar sau un titlu de capital pentru cealaltă dintre părţi;</w:t>
            </w:r>
          </w:p>
          <w:p w14:paraId="69C74075" w14:textId="3E2C1FDC" w:rsidR="00984C7C" w:rsidRPr="00C011B2" w:rsidRDefault="005002A5"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5.6.2.</w:t>
            </w:r>
            <w:r w:rsidR="00984C7C" w:rsidRPr="00C011B2">
              <w:rPr>
                <w:rFonts w:ascii="Times New Roman" w:hAnsi="Times New Roman" w:cs="Times New Roman"/>
                <w:bCs/>
                <w:color w:val="000000" w:themeColor="text1"/>
                <w:lang w:val="ro-MD"/>
              </w:rPr>
              <w:t xml:space="preserve"> un instrument menţionat în </w:t>
            </w:r>
            <w:r w:rsidR="0044481D" w:rsidRPr="00C011B2">
              <w:rPr>
                <w:rFonts w:ascii="Times New Roman" w:hAnsi="Times New Roman" w:cs="Times New Roman"/>
                <w:bCs/>
                <w:color w:val="000000" w:themeColor="text1"/>
                <w:lang w:val="ro-MD"/>
              </w:rPr>
              <w:t>art.4 din Legea nr.171</w:t>
            </w:r>
            <w:r w:rsidRPr="00C011B2">
              <w:rPr>
                <w:rFonts w:ascii="Times New Roman" w:hAnsi="Times New Roman" w:cs="Times New Roman"/>
                <w:bCs/>
                <w:color w:val="000000" w:themeColor="text1"/>
                <w:lang w:val="ro-MD"/>
              </w:rPr>
              <w:t>/</w:t>
            </w:r>
            <w:r w:rsidR="0044481D" w:rsidRPr="00C011B2">
              <w:rPr>
                <w:rFonts w:ascii="Times New Roman" w:hAnsi="Times New Roman" w:cs="Times New Roman"/>
                <w:bCs/>
                <w:color w:val="000000" w:themeColor="text1"/>
                <w:lang w:val="ro-MD"/>
              </w:rPr>
              <w:t>2012 privind piaţa de capital</w:t>
            </w:r>
            <w:r w:rsidR="00984C7C" w:rsidRPr="00C011B2">
              <w:rPr>
                <w:rFonts w:ascii="Times New Roman" w:hAnsi="Times New Roman" w:cs="Times New Roman"/>
                <w:bCs/>
                <w:color w:val="000000" w:themeColor="text1"/>
                <w:lang w:val="ro-MD"/>
              </w:rPr>
              <w:t>;</w:t>
            </w:r>
          </w:p>
          <w:p w14:paraId="1C00C124" w14:textId="3DCF02C7" w:rsidR="00984C7C" w:rsidRPr="00C011B2" w:rsidRDefault="005002A5"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5.6.3.</w:t>
            </w:r>
            <w:r w:rsidR="00984C7C" w:rsidRPr="00C011B2">
              <w:rPr>
                <w:rFonts w:ascii="Times New Roman" w:hAnsi="Times New Roman" w:cs="Times New Roman"/>
                <w:bCs/>
                <w:color w:val="000000" w:themeColor="text1"/>
                <w:lang w:val="ro-MD"/>
              </w:rPr>
              <w:t xml:space="preserve"> un instrument financiar derivat;</w:t>
            </w:r>
          </w:p>
          <w:p w14:paraId="63FE467C" w14:textId="49AA6D8D" w:rsidR="00984C7C" w:rsidRPr="00C011B2" w:rsidRDefault="005002A5"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5.6.4.</w:t>
            </w:r>
            <w:r w:rsidR="00984C7C" w:rsidRPr="00C011B2">
              <w:rPr>
                <w:rFonts w:ascii="Times New Roman" w:hAnsi="Times New Roman" w:cs="Times New Roman"/>
                <w:bCs/>
                <w:color w:val="000000" w:themeColor="text1"/>
                <w:lang w:val="ro-MD"/>
              </w:rPr>
              <w:t xml:space="preserve"> un instrument financiar primar;</w:t>
            </w:r>
          </w:p>
          <w:p w14:paraId="2CE2FD08" w14:textId="2A398B39" w:rsidR="00984C7C" w:rsidRPr="00C011B2" w:rsidRDefault="005002A5"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5.6.5.</w:t>
            </w:r>
            <w:r w:rsidR="00984C7C" w:rsidRPr="00C011B2">
              <w:rPr>
                <w:rFonts w:ascii="Times New Roman" w:hAnsi="Times New Roman" w:cs="Times New Roman"/>
                <w:bCs/>
                <w:color w:val="000000" w:themeColor="text1"/>
                <w:lang w:val="ro-MD"/>
              </w:rPr>
              <w:t xml:space="preserve"> un instrument de numerar.</w:t>
            </w:r>
          </w:p>
          <w:p w14:paraId="7D0C38CA" w14:textId="7C9ECABE" w:rsidR="00984C7C" w:rsidRPr="00C011B2" w:rsidRDefault="00984C7C" w:rsidP="00984C7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Instrumentele menţionate la </w:t>
            </w:r>
            <w:r w:rsidR="005002A5" w:rsidRPr="00C011B2">
              <w:rPr>
                <w:rFonts w:ascii="Times New Roman" w:hAnsi="Times New Roman" w:cs="Times New Roman"/>
                <w:bCs/>
                <w:color w:val="000000" w:themeColor="text1"/>
                <w:lang w:val="ro-MD"/>
              </w:rPr>
              <w:t>subpct.5.6.1, 5.6.2 și 5.6.3</w:t>
            </w:r>
            <w:r w:rsidRPr="00C011B2">
              <w:rPr>
                <w:rFonts w:ascii="Times New Roman" w:hAnsi="Times New Roman" w:cs="Times New Roman"/>
                <w:bCs/>
                <w:color w:val="000000" w:themeColor="text1"/>
                <w:lang w:val="ro-MD"/>
              </w:rPr>
              <w:t xml:space="preserve"> sunt instrumente financiare numai dacă valoarea lor derivă din preţul unui instrument financiar-suport sau al altui element-suport, dintr-un indicator sau un indice.</w:t>
            </w:r>
          </w:p>
        </w:tc>
        <w:tc>
          <w:tcPr>
            <w:tcW w:w="450" w:type="pct"/>
          </w:tcPr>
          <w:p w14:paraId="58EB993D" w14:textId="3F359322" w:rsidR="00984C7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61629CBD" w14:textId="77777777" w:rsidR="00984C7C" w:rsidRPr="00C011B2" w:rsidRDefault="00984C7C" w:rsidP="00FB5B1C">
            <w:pPr>
              <w:spacing w:line="276" w:lineRule="auto"/>
              <w:jc w:val="both"/>
              <w:rPr>
                <w:rFonts w:ascii="Times New Roman" w:hAnsi="Times New Roman" w:cs="Times New Roman"/>
                <w:bCs/>
                <w:color w:val="000000" w:themeColor="text1"/>
                <w:lang w:val="ro-MD"/>
              </w:rPr>
            </w:pPr>
          </w:p>
        </w:tc>
      </w:tr>
      <w:tr w:rsidR="0093751E" w:rsidRPr="00C011B2" w14:paraId="72A0C25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2A36D76" w14:textId="72A04CEE" w:rsidR="0093751E" w:rsidRPr="00C011B2" w:rsidRDefault="0093751E"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68. „marcarea la piaţă” înseamnă evaluarea poziţiilor la preţuri de închidere direct disponibile, care provin din surse independente, inclusiv cotaţii bursiere, cotaţii electronice sau cotaţii provenite de la mai mulţi brokeri independenţi de renume;</w:t>
            </w:r>
          </w:p>
        </w:tc>
        <w:tc>
          <w:tcPr>
            <w:tcW w:w="1692" w:type="pct"/>
            <w:shd w:val="clear" w:color="auto" w:fill="auto"/>
          </w:tcPr>
          <w:p w14:paraId="42AB1245" w14:textId="72D4CE56" w:rsidR="0093751E" w:rsidRPr="00C011B2" w:rsidRDefault="007C531C" w:rsidP="00FB5B1C">
            <w:pPr>
              <w:spacing w:after="0" w:line="276" w:lineRule="auto"/>
              <w:jc w:val="both"/>
              <w:rPr>
                <w:rFonts w:ascii="Times New Roman" w:hAnsi="Times New Roman" w:cs="Times New Roman"/>
                <w:bCs/>
                <w:color w:val="000000" w:themeColor="text1"/>
                <w:lang w:val="ro-MD"/>
              </w:rPr>
            </w:pPr>
            <w:bookmarkStart w:id="10" w:name="_Hlk200468290"/>
            <w:r w:rsidRPr="00C011B2">
              <w:rPr>
                <w:rFonts w:ascii="Times New Roman" w:hAnsi="Times New Roman" w:cs="Times New Roman"/>
                <w:bCs/>
                <w:color w:val="000000" w:themeColor="text1"/>
                <w:lang w:val="ro-MD"/>
              </w:rPr>
              <w:t>5.8.</w:t>
            </w:r>
            <w:r w:rsidR="0093751E" w:rsidRPr="00C011B2">
              <w:rPr>
                <w:rFonts w:ascii="Times New Roman" w:hAnsi="Times New Roman" w:cs="Times New Roman"/>
                <w:bCs/>
                <w:color w:val="000000" w:themeColor="text1"/>
                <w:lang w:val="ro-MD"/>
              </w:rPr>
              <w:t xml:space="preserve"> „marcarea la piaţă” înseamnă evaluarea poziţiilor la preţuri de închidere direct disponibile, care provin din surse independente, inclusiv cotaţii bursiere, cotaţii electronice sau cotaţii provenite de la mai mulţi brokeri independenţi de renume;</w:t>
            </w:r>
            <w:bookmarkEnd w:id="10"/>
          </w:p>
        </w:tc>
        <w:tc>
          <w:tcPr>
            <w:tcW w:w="450" w:type="pct"/>
          </w:tcPr>
          <w:p w14:paraId="37E8C911" w14:textId="60417E52" w:rsidR="0093751E"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78766F82" w14:textId="77777777" w:rsidR="0093751E" w:rsidRPr="00C011B2" w:rsidRDefault="0093751E" w:rsidP="00FB5B1C">
            <w:pPr>
              <w:spacing w:line="276" w:lineRule="auto"/>
              <w:jc w:val="both"/>
              <w:rPr>
                <w:rFonts w:ascii="Times New Roman" w:hAnsi="Times New Roman" w:cs="Times New Roman"/>
                <w:bCs/>
                <w:color w:val="000000" w:themeColor="text1"/>
                <w:lang w:val="ro-MD"/>
              </w:rPr>
            </w:pPr>
          </w:p>
        </w:tc>
      </w:tr>
      <w:tr w:rsidR="0093751E" w:rsidRPr="00C011B2" w14:paraId="583FDA0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A6F4FE" w14:textId="63FD1B3A" w:rsidR="0093751E" w:rsidRPr="00C011B2" w:rsidRDefault="0093751E"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69. „marcarea la model” înseamnă orice evaluare care trebuie raportată la un nivel de referinţă, extrapolată sau calculată în alt mod pornind de la una sau mai multe date de intrare de pe piaţă;</w:t>
            </w:r>
          </w:p>
        </w:tc>
        <w:tc>
          <w:tcPr>
            <w:tcW w:w="1692" w:type="pct"/>
            <w:shd w:val="clear" w:color="auto" w:fill="auto"/>
          </w:tcPr>
          <w:p w14:paraId="5B1199E0" w14:textId="68FCA80F" w:rsidR="0093751E" w:rsidRPr="00C011B2" w:rsidRDefault="007C531C" w:rsidP="00FB5B1C">
            <w:pPr>
              <w:spacing w:after="0" w:line="276" w:lineRule="auto"/>
              <w:jc w:val="both"/>
              <w:rPr>
                <w:rFonts w:ascii="Times New Roman" w:hAnsi="Times New Roman" w:cs="Times New Roman"/>
                <w:bCs/>
                <w:color w:val="000000" w:themeColor="text1"/>
                <w:lang w:val="ro-MD"/>
              </w:rPr>
            </w:pPr>
            <w:bookmarkStart w:id="11" w:name="_Hlk200468235"/>
            <w:r w:rsidRPr="00C011B2">
              <w:rPr>
                <w:rFonts w:ascii="Times New Roman" w:hAnsi="Times New Roman" w:cs="Times New Roman"/>
                <w:bCs/>
                <w:color w:val="000000" w:themeColor="text1"/>
                <w:lang w:val="ro-MD"/>
              </w:rPr>
              <w:t>5.7.</w:t>
            </w:r>
            <w:r w:rsidR="0093751E" w:rsidRPr="00C011B2">
              <w:rPr>
                <w:rFonts w:ascii="Times New Roman" w:hAnsi="Times New Roman" w:cs="Times New Roman"/>
                <w:bCs/>
                <w:color w:val="000000" w:themeColor="text1"/>
                <w:lang w:val="ro-MD"/>
              </w:rPr>
              <w:t xml:space="preserve"> „marcarea la model” înseamnă orice evaluare care trebuie raportată la un nivel de referinţă, extrapolată sau calculată în alt mod pornind de la una sau mai multe date de intrare de pe piaţă;</w:t>
            </w:r>
            <w:bookmarkEnd w:id="11"/>
          </w:p>
        </w:tc>
        <w:tc>
          <w:tcPr>
            <w:tcW w:w="450" w:type="pct"/>
          </w:tcPr>
          <w:p w14:paraId="4D490BE7" w14:textId="72DB26CC" w:rsidR="0093751E"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065A7B7B" w14:textId="77777777" w:rsidR="0093751E" w:rsidRPr="00C011B2" w:rsidRDefault="0093751E" w:rsidP="00FB5B1C">
            <w:pPr>
              <w:spacing w:line="276" w:lineRule="auto"/>
              <w:jc w:val="both"/>
              <w:rPr>
                <w:rFonts w:ascii="Times New Roman" w:hAnsi="Times New Roman" w:cs="Times New Roman"/>
                <w:bCs/>
                <w:color w:val="000000" w:themeColor="text1"/>
                <w:lang w:val="ro-MD"/>
              </w:rPr>
            </w:pPr>
          </w:p>
        </w:tc>
      </w:tr>
      <w:tr w:rsidR="0093751E" w:rsidRPr="00FA7D23" w14:paraId="63DEF53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AD4289C" w14:textId="139A7518" w:rsidR="0093751E" w:rsidRPr="00C011B2" w:rsidRDefault="0093751E"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70. „verificare independentă a preţurilor” înseamnă un proces de verificare regulată a preciziei și independenţei preţurilor de piaţă sau a datelor de intrare utilizate pentru marcarea la model;</w:t>
            </w:r>
          </w:p>
        </w:tc>
        <w:tc>
          <w:tcPr>
            <w:tcW w:w="1692" w:type="pct"/>
            <w:shd w:val="clear" w:color="auto" w:fill="auto"/>
          </w:tcPr>
          <w:p w14:paraId="1826CA4E" w14:textId="3FC83A2A" w:rsidR="0093751E" w:rsidRPr="00C011B2" w:rsidRDefault="00C569B7" w:rsidP="00FB5B1C">
            <w:pPr>
              <w:spacing w:after="0" w:line="276" w:lineRule="auto"/>
              <w:jc w:val="both"/>
              <w:rPr>
                <w:rFonts w:ascii="Times New Roman" w:hAnsi="Times New Roman" w:cs="Times New Roman"/>
                <w:bCs/>
                <w:color w:val="000000" w:themeColor="text1"/>
                <w:lang w:val="ro-MD"/>
              </w:rPr>
            </w:pPr>
            <w:bookmarkStart w:id="12" w:name="_Hlk200614674"/>
            <w:r w:rsidRPr="00C011B2">
              <w:rPr>
                <w:rFonts w:ascii="Times New Roman" w:hAnsi="Times New Roman" w:cs="Times New Roman"/>
                <w:bCs/>
                <w:color w:val="000000" w:themeColor="text1"/>
                <w:lang w:val="ro-MD"/>
              </w:rPr>
              <w:t>5.17.</w:t>
            </w:r>
            <w:r w:rsidR="0093751E" w:rsidRPr="00C011B2">
              <w:rPr>
                <w:rFonts w:ascii="Times New Roman" w:hAnsi="Times New Roman" w:cs="Times New Roman"/>
                <w:bCs/>
                <w:color w:val="000000" w:themeColor="text1"/>
                <w:lang w:val="ro-MD"/>
              </w:rPr>
              <w:t xml:space="preserve"> „verificare independentă a preţurilor” înseamnă un proces de verificare regulată a preciziei și independenţei preţurilor de piaţă sau a datelor de intrare utilizate pentru marcarea la model;</w:t>
            </w:r>
            <w:bookmarkEnd w:id="12"/>
          </w:p>
        </w:tc>
        <w:tc>
          <w:tcPr>
            <w:tcW w:w="450" w:type="pct"/>
          </w:tcPr>
          <w:p w14:paraId="232BDFD0" w14:textId="77777777" w:rsidR="0093751E" w:rsidRPr="00C011B2" w:rsidRDefault="0093751E" w:rsidP="00FB5B1C">
            <w:pPr>
              <w:spacing w:line="276" w:lineRule="auto"/>
              <w:jc w:val="both"/>
              <w:rPr>
                <w:rFonts w:ascii="Times New Roman" w:hAnsi="Times New Roman" w:cs="Times New Roman"/>
                <w:bCs/>
                <w:color w:val="000000" w:themeColor="text1"/>
                <w:lang w:val="ro-MD"/>
              </w:rPr>
            </w:pPr>
          </w:p>
        </w:tc>
        <w:tc>
          <w:tcPr>
            <w:tcW w:w="1261" w:type="pct"/>
          </w:tcPr>
          <w:p w14:paraId="6536015B" w14:textId="77777777" w:rsidR="0093751E" w:rsidRPr="00C011B2" w:rsidRDefault="0093751E" w:rsidP="00FB5B1C">
            <w:pPr>
              <w:spacing w:line="276" w:lineRule="auto"/>
              <w:jc w:val="both"/>
              <w:rPr>
                <w:rFonts w:ascii="Times New Roman" w:hAnsi="Times New Roman" w:cs="Times New Roman"/>
                <w:bCs/>
                <w:color w:val="000000" w:themeColor="text1"/>
                <w:lang w:val="ro-MD"/>
              </w:rPr>
            </w:pPr>
          </w:p>
        </w:tc>
      </w:tr>
      <w:tr w:rsidR="0093751E" w:rsidRPr="00C011B2" w14:paraId="4D64C76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59F0DC" w14:textId="4118F828" w:rsidR="0093751E" w:rsidRPr="00C011B2" w:rsidRDefault="0093751E"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 xml:space="preserve">72.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burs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burs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cumulativ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w:t>
            </w:r>
          </w:p>
          <w:p w14:paraId="3379F09A" w14:textId="77777777" w:rsidR="0093751E" w:rsidRPr="00C011B2" w:rsidRDefault="0093751E" w:rsidP="0093751E">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▼M9</w:t>
            </w:r>
          </w:p>
          <w:p w14:paraId="31A48C66" w14:textId="3EE09503" w:rsidR="0093751E" w:rsidRPr="00C011B2" w:rsidRDefault="0093751E"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este o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reglementat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o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dintr-o </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ter</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considerat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fi echivalent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cu o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reglementat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procedura stabilit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25 alineatul (4) litera (a) din Directiva 2014/65/UE;</w:t>
            </w:r>
          </w:p>
          <w:p w14:paraId="10AAF0F6" w14:textId="77777777" w:rsidR="0093751E" w:rsidRPr="00C011B2" w:rsidRDefault="0093751E" w:rsidP="0093751E">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74069A76" w14:textId="19555D9C" w:rsidR="0093751E" w:rsidRPr="00C011B2" w:rsidRDefault="0093751E"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are un mecanism de compensare prin care contractele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anexa II fac obiectul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marj</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zilnic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opinia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ilor competente, ofer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corespunz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w:t>
            </w:r>
          </w:p>
        </w:tc>
        <w:tc>
          <w:tcPr>
            <w:tcW w:w="1692" w:type="pct"/>
            <w:shd w:val="clear" w:color="auto" w:fill="auto"/>
          </w:tcPr>
          <w:p w14:paraId="21E69F10" w14:textId="7F6C3A9D" w:rsidR="0093751E" w:rsidRPr="00C011B2" w:rsidRDefault="005F4788" w:rsidP="0093751E">
            <w:pPr>
              <w:spacing w:after="0" w:line="276" w:lineRule="auto"/>
              <w:jc w:val="both"/>
              <w:rPr>
                <w:rFonts w:ascii="Times New Roman" w:hAnsi="Times New Roman" w:cs="Times New Roman"/>
                <w:bCs/>
                <w:color w:val="000000" w:themeColor="text1"/>
                <w:lang w:val="ro-MD"/>
              </w:rPr>
            </w:pPr>
            <w:bookmarkStart w:id="13" w:name="_Hlk200467875"/>
            <w:bookmarkStart w:id="14" w:name="_Hlk200466960"/>
            <w:r w:rsidRPr="00C011B2">
              <w:rPr>
                <w:rFonts w:ascii="Times New Roman" w:hAnsi="Times New Roman" w:cs="Times New Roman"/>
                <w:bCs/>
                <w:color w:val="000000" w:themeColor="text1"/>
                <w:lang w:val="ro-MD"/>
              </w:rPr>
              <w:t>5.5.</w:t>
            </w:r>
            <w:r w:rsidR="0093751E" w:rsidRPr="00C011B2">
              <w:rPr>
                <w:rFonts w:ascii="Times New Roman" w:hAnsi="Times New Roman" w:cs="Times New Roman"/>
                <w:bCs/>
                <w:color w:val="000000" w:themeColor="text1"/>
                <w:lang w:val="ro-MD"/>
              </w:rPr>
              <w:t xml:space="preserve"> </w:t>
            </w:r>
            <w:r w:rsidR="0093751E" w:rsidRPr="00C011B2">
              <w:rPr>
                <w:rFonts w:ascii="Times New Roman" w:hAnsi="Times New Roman" w:cs="Times New Roman" w:hint="eastAsia"/>
                <w:bCs/>
                <w:color w:val="000000" w:themeColor="text1"/>
                <w:lang w:val="ro-MD"/>
              </w:rPr>
              <w:t>„</w:t>
            </w:r>
            <w:r w:rsidR="0093751E" w:rsidRPr="00C011B2">
              <w:rPr>
                <w:rFonts w:ascii="Times New Roman" w:hAnsi="Times New Roman" w:cs="Times New Roman"/>
                <w:bCs/>
                <w:color w:val="000000" w:themeColor="text1"/>
                <w:lang w:val="ro-MD"/>
              </w:rPr>
              <w:t>burs</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recunoscut</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hint="eastAsia"/>
                <w:bCs/>
                <w:color w:val="000000" w:themeColor="text1"/>
                <w:lang w:val="ro-MD"/>
              </w:rPr>
              <w:t>”</w:t>
            </w:r>
            <w:r w:rsidR="0093751E" w:rsidRPr="00C011B2">
              <w:rPr>
                <w:rFonts w:ascii="Times New Roman" w:hAnsi="Times New Roman" w:cs="Times New Roman"/>
                <w:bCs/>
                <w:color w:val="000000" w:themeColor="text1"/>
                <w:lang w:val="ro-MD"/>
              </w:rPr>
              <w:t xml:space="preserve"> </w:t>
            </w:r>
            <w:r w:rsidR="0093751E" w:rsidRPr="00C011B2">
              <w:rPr>
                <w:rFonts w:ascii="Times New Roman" w:hAnsi="Times New Roman" w:cs="Times New Roman" w:hint="eastAsia"/>
                <w:bCs/>
                <w:color w:val="000000" w:themeColor="text1"/>
                <w:lang w:val="ro-MD"/>
              </w:rPr>
              <w:t>î</w:t>
            </w:r>
            <w:r w:rsidR="0093751E" w:rsidRPr="00C011B2">
              <w:rPr>
                <w:rFonts w:ascii="Times New Roman" w:hAnsi="Times New Roman" w:cs="Times New Roman"/>
                <w:bCs/>
                <w:color w:val="000000" w:themeColor="text1"/>
                <w:lang w:val="ro-MD"/>
              </w:rPr>
              <w:t>nseamn</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o burs</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care </w:t>
            </w:r>
            <w:r w:rsidR="0093751E" w:rsidRPr="00C011B2">
              <w:rPr>
                <w:rFonts w:ascii="Times New Roman" w:hAnsi="Times New Roman" w:cs="Times New Roman" w:hint="eastAsia"/>
                <w:bCs/>
                <w:color w:val="000000" w:themeColor="text1"/>
                <w:lang w:val="ro-MD"/>
              </w:rPr>
              <w:t>î</w:t>
            </w:r>
            <w:r w:rsidR="0093751E" w:rsidRPr="00C011B2">
              <w:rPr>
                <w:rFonts w:ascii="Times New Roman" w:hAnsi="Times New Roman" w:cs="Times New Roman"/>
                <w:bCs/>
                <w:color w:val="000000" w:themeColor="text1"/>
                <w:lang w:val="ro-MD"/>
              </w:rPr>
              <w:t>ndepline</w:t>
            </w:r>
            <w:r w:rsidR="0093751E" w:rsidRPr="00C011B2">
              <w:rPr>
                <w:rFonts w:ascii="Times New Roman" w:hAnsi="Times New Roman" w:cs="Times New Roman" w:hint="eastAsia"/>
                <w:bCs/>
                <w:color w:val="000000" w:themeColor="text1"/>
                <w:lang w:val="ro-MD"/>
              </w:rPr>
              <w:t>ș</w:t>
            </w:r>
            <w:r w:rsidR="0093751E" w:rsidRPr="00C011B2">
              <w:rPr>
                <w:rFonts w:ascii="Times New Roman" w:hAnsi="Times New Roman" w:cs="Times New Roman"/>
                <w:bCs/>
                <w:color w:val="000000" w:themeColor="text1"/>
                <w:lang w:val="ro-MD"/>
              </w:rPr>
              <w:t>te cumulativ urm</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toarele condi</w:t>
            </w:r>
            <w:r w:rsidR="0093751E" w:rsidRPr="00C011B2">
              <w:rPr>
                <w:rFonts w:ascii="Times New Roman" w:hAnsi="Times New Roman" w:cs="Times New Roman" w:hint="eastAsia"/>
                <w:bCs/>
                <w:color w:val="000000" w:themeColor="text1"/>
                <w:lang w:val="ro-MD"/>
              </w:rPr>
              <w:t>ţ</w:t>
            </w:r>
            <w:r w:rsidR="0093751E" w:rsidRPr="00C011B2">
              <w:rPr>
                <w:rFonts w:ascii="Times New Roman" w:hAnsi="Times New Roman" w:cs="Times New Roman"/>
                <w:bCs/>
                <w:color w:val="000000" w:themeColor="text1"/>
                <w:lang w:val="ro-MD"/>
              </w:rPr>
              <w:t>ii:</w:t>
            </w:r>
          </w:p>
          <w:p w14:paraId="3146C2F8" w14:textId="1E39C147" w:rsidR="0093751E" w:rsidRPr="00C011B2" w:rsidRDefault="005F4788"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5.5.1.</w:t>
            </w:r>
            <w:r w:rsidR="0093751E" w:rsidRPr="00C011B2">
              <w:rPr>
                <w:rFonts w:ascii="Times New Roman" w:hAnsi="Times New Roman" w:cs="Times New Roman"/>
                <w:bCs/>
                <w:color w:val="000000" w:themeColor="text1"/>
                <w:lang w:val="ro-MD"/>
              </w:rPr>
              <w:t xml:space="preserve"> este o pia</w:t>
            </w:r>
            <w:r w:rsidR="0093751E" w:rsidRPr="00C011B2">
              <w:rPr>
                <w:rFonts w:ascii="Times New Roman" w:hAnsi="Times New Roman" w:cs="Times New Roman" w:hint="eastAsia"/>
                <w:bCs/>
                <w:color w:val="000000" w:themeColor="text1"/>
                <w:lang w:val="ro-MD"/>
              </w:rPr>
              <w:t>ţă</w:t>
            </w:r>
            <w:r w:rsidR="0093751E" w:rsidRPr="00C011B2">
              <w:rPr>
                <w:rFonts w:ascii="Times New Roman" w:hAnsi="Times New Roman" w:cs="Times New Roman"/>
                <w:bCs/>
                <w:color w:val="000000" w:themeColor="text1"/>
                <w:lang w:val="ro-MD"/>
              </w:rPr>
              <w:t xml:space="preserve"> reglementat</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sau o pia</w:t>
            </w:r>
            <w:r w:rsidR="0093751E" w:rsidRPr="00C011B2">
              <w:rPr>
                <w:rFonts w:ascii="Times New Roman" w:hAnsi="Times New Roman" w:cs="Times New Roman" w:hint="eastAsia"/>
                <w:bCs/>
                <w:color w:val="000000" w:themeColor="text1"/>
                <w:lang w:val="ro-MD"/>
              </w:rPr>
              <w:t>ţă</w:t>
            </w:r>
            <w:r w:rsidR="0093751E" w:rsidRPr="00C011B2">
              <w:rPr>
                <w:rFonts w:ascii="Times New Roman" w:hAnsi="Times New Roman" w:cs="Times New Roman"/>
                <w:bCs/>
                <w:color w:val="000000" w:themeColor="text1"/>
                <w:lang w:val="ro-MD"/>
              </w:rPr>
              <w:t xml:space="preserve"> </w:t>
            </w:r>
            <w:r w:rsidR="00781056" w:rsidRPr="00C011B2">
              <w:rPr>
                <w:rFonts w:ascii="Times New Roman" w:hAnsi="Times New Roman" w:cs="Times New Roman"/>
                <w:bCs/>
                <w:color w:val="000000" w:themeColor="text1"/>
                <w:lang w:val="ro-MD"/>
              </w:rPr>
              <w:t>dintr-un alt stat</w:t>
            </w:r>
            <w:r w:rsidR="0093751E" w:rsidRPr="00C011B2">
              <w:rPr>
                <w:rFonts w:ascii="Times New Roman" w:hAnsi="Times New Roman" w:cs="Times New Roman"/>
                <w:bCs/>
                <w:color w:val="000000" w:themeColor="text1"/>
                <w:lang w:val="ro-MD"/>
              </w:rPr>
              <w:t xml:space="preserve"> considerat</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a fi echivalent</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cu o pia</w:t>
            </w:r>
            <w:r w:rsidR="0093751E" w:rsidRPr="00C011B2">
              <w:rPr>
                <w:rFonts w:ascii="Times New Roman" w:hAnsi="Times New Roman" w:cs="Times New Roman" w:hint="eastAsia"/>
                <w:bCs/>
                <w:color w:val="000000" w:themeColor="text1"/>
                <w:lang w:val="ro-MD"/>
              </w:rPr>
              <w:t>ţă</w:t>
            </w:r>
            <w:r w:rsidR="0093751E" w:rsidRPr="00C011B2">
              <w:rPr>
                <w:rFonts w:ascii="Times New Roman" w:hAnsi="Times New Roman" w:cs="Times New Roman"/>
                <w:bCs/>
                <w:color w:val="000000" w:themeColor="text1"/>
                <w:lang w:val="ro-MD"/>
              </w:rPr>
              <w:t xml:space="preserve"> reglementat</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w:t>
            </w:r>
            <w:r w:rsidR="0093751E" w:rsidRPr="00C011B2">
              <w:rPr>
                <w:rFonts w:ascii="Times New Roman" w:hAnsi="Times New Roman" w:cs="Times New Roman" w:hint="eastAsia"/>
                <w:bCs/>
                <w:color w:val="000000" w:themeColor="text1"/>
                <w:lang w:val="ro-MD"/>
              </w:rPr>
              <w:t>î</w:t>
            </w:r>
            <w:r w:rsidR="0093751E" w:rsidRPr="00C011B2">
              <w:rPr>
                <w:rFonts w:ascii="Times New Roman" w:hAnsi="Times New Roman" w:cs="Times New Roman"/>
                <w:bCs/>
                <w:color w:val="000000" w:themeColor="text1"/>
                <w:lang w:val="ro-MD"/>
              </w:rPr>
              <w:t xml:space="preserve">n conformitate </w:t>
            </w:r>
            <w:r w:rsidR="009957BC" w:rsidRPr="00C011B2">
              <w:rPr>
                <w:rFonts w:ascii="Times New Roman" w:hAnsi="Times New Roman" w:cs="Times New Roman"/>
                <w:bCs/>
                <w:color w:val="000000" w:themeColor="text1"/>
                <w:lang w:val="ro-RO"/>
              </w:rPr>
              <w:t>cu prevederile Legii privind pieţele instrumentelor financiare și activitățile de investiții</w:t>
            </w:r>
            <w:r w:rsidR="0093751E" w:rsidRPr="00C011B2">
              <w:rPr>
                <w:rFonts w:ascii="Times New Roman" w:hAnsi="Times New Roman" w:cs="Times New Roman"/>
                <w:bCs/>
                <w:color w:val="000000" w:themeColor="text1"/>
                <w:lang w:val="ro-MD"/>
              </w:rPr>
              <w:t>;</w:t>
            </w:r>
          </w:p>
          <w:p w14:paraId="3C6099E0" w14:textId="3A4E791C" w:rsidR="0093751E" w:rsidRPr="00C011B2" w:rsidRDefault="005F4788" w:rsidP="0093751E">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5.5.2.</w:t>
            </w:r>
            <w:r w:rsidR="0093751E" w:rsidRPr="00C011B2">
              <w:rPr>
                <w:rFonts w:ascii="Times New Roman" w:hAnsi="Times New Roman" w:cs="Times New Roman"/>
                <w:bCs/>
                <w:color w:val="000000" w:themeColor="text1"/>
                <w:lang w:val="ro-MD"/>
              </w:rPr>
              <w:t xml:space="preserve"> are un mecanism de compensare prin care contractele men</w:t>
            </w:r>
            <w:r w:rsidR="0093751E" w:rsidRPr="00C011B2">
              <w:rPr>
                <w:rFonts w:ascii="Times New Roman" w:hAnsi="Times New Roman" w:cs="Times New Roman" w:hint="eastAsia"/>
                <w:bCs/>
                <w:color w:val="000000" w:themeColor="text1"/>
                <w:lang w:val="ro-MD"/>
              </w:rPr>
              <w:t>ţ</w:t>
            </w:r>
            <w:r w:rsidR="0093751E" w:rsidRPr="00C011B2">
              <w:rPr>
                <w:rFonts w:ascii="Times New Roman" w:hAnsi="Times New Roman" w:cs="Times New Roman"/>
                <w:bCs/>
                <w:color w:val="000000" w:themeColor="text1"/>
                <w:lang w:val="ro-MD"/>
              </w:rPr>
              <w:t xml:space="preserve">ionate </w:t>
            </w:r>
            <w:r w:rsidR="0093751E" w:rsidRPr="00C011B2">
              <w:rPr>
                <w:rFonts w:ascii="Times New Roman" w:hAnsi="Times New Roman" w:cs="Times New Roman" w:hint="eastAsia"/>
                <w:bCs/>
                <w:color w:val="000000" w:themeColor="text1"/>
                <w:lang w:val="ro-MD"/>
              </w:rPr>
              <w:t>î</w:t>
            </w:r>
            <w:r w:rsidR="0093751E" w:rsidRPr="00C011B2">
              <w:rPr>
                <w:rFonts w:ascii="Times New Roman" w:hAnsi="Times New Roman" w:cs="Times New Roman"/>
                <w:bCs/>
                <w:color w:val="000000" w:themeColor="text1"/>
                <w:lang w:val="ro-MD"/>
              </w:rPr>
              <w:t xml:space="preserve">n anexa </w:t>
            </w:r>
            <w:r w:rsidRPr="00C011B2">
              <w:rPr>
                <w:rFonts w:ascii="Times New Roman" w:hAnsi="Times New Roman" w:cs="Times New Roman"/>
                <w:bCs/>
                <w:color w:val="000000" w:themeColor="text1"/>
                <w:lang w:val="ro-MD"/>
              </w:rPr>
              <w:t xml:space="preserve">nr.1 </w:t>
            </w:r>
            <w:r w:rsidR="0093751E" w:rsidRPr="00C011B2">
              <w:rPr>
                <w:rFonts w:ascii="Times New Roman" w:hAnsi="Times New Roman" w:cs="Times New Roman"/>
                <w:bCs/>
                <w:color w:val="000000" w:themeColor="text1"/>
                <w:lang w:val="ro-MD"/>
              </w:rPr>
              <w:t>fac obiectul cerin</w:t>
            </w:r>
            <w:r w:rsidR="0093751E" w:rsidRPr="00C011B2">
              <w:rPr>
                <w:rFonts w:ascii="Times New Roman" w:hAnsi="Times New Roman" w:cs="Times New Roman" w:hint="eastAsia"/>
                <w:bCs/>
                <w:color w:val="000000" w:themeColor="text1"/>
                <w:lang w:val="ro-MD"/>
              </w:rPr>
              <w:t>ţ</w:t>
            </w:r>
            <w:r w:rsidR="0093751E" w:rsidRPr="00C011B2">
              <w:rPr>
                <w:rFonts w:ascii="Times New Roman" w:hAnsi="Times New Roman" w:cs="Times New Roman"/>
                <w:bCs/>
                <w:color w:val="000000" w:themeColor="text1"/>
                <w:lang w:val="ro-MD"/>
              </w:rPr>
              <w:t>elor de marj</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zilnic</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care, </w:t>
            </w:r>
            <w:r w:rsidR="0093751E" w:rsidRPr="00C011B2">
              <w:rPr>
                <w:rFonts w:ascii="Times New Roman" w:hAnsi="Times New Roman" w:cs="Times New Roman" w:hint="eastAsia"/>
                <w:bCs/>
                <w:color w:val="000000" w:themeColor="text1"/>
                <w:lang w:val="ro-MD"/>
              </w:rPr>
              <w:t>î</w:t>
            </w:r>
            <w:r w:rsidR="0093751E" w:rsidRPr="00C011B2">
              <w:rPr>
                <w:rFonts w:ascii="Times New Roman" w:hAnsi="Times New Roman" w:cs="Times New Roman"/>
                <w:bCs/>
                <w:color w:val="000000" w:themeColor="text1"/>
                <w:lang w:val="ro-MD"/>
              </w:rPr>
              <w:t xml:space="preserve">n opinia </w:t>
            </w:r>
            <w:r w:rsidR="00781056" w:rsidRPr="00C011B2">
              <w:rPr>
                <w:rFonts w:ascii="Times New Roman" w:hAnsi="Times New Roman" w:cs="Times New Roman"/>
                <w:bCs/>
                <w:color w:val="000000" w:themeColor="text1"/>
                <w:lang w:val="ro-MD"/>
              </w:rPr>
              <w:t>CNPF /</w:t>
            </w:r>
            <w:r w:rsidR="0093751E" w:rsidRPr="00C011B2">
              <w:rPr>
                <w:rFonts w:ascii="Times New Roman" w:hAnsi="Times New Roman" w:cs="Times New Roman"/>
                <w:bCs/>
                <w:color w:val="000000" w:themeColor="text1"/>
                <w:lang w:val="ro-MD"/>
              </w:rPr>
              <w:t>autorit</w:t>
            </w:r>
            <w:r w:rsidR="0093751E" w:rsidRPr="00C011B2">
              <w:rPr>
                <w:rFonts w:ascii="Times New Roman" w:hAnsi="Times New Roman" w:cs="Times New Roman" w:hint="eastAsia"/>
                <w:bCs/>
                <w:color w:val="000000" w:themeColor="text1"/>
                <w:lang w:val="ro-MD"/>
              </w:rPr>
              <w:t>ăţ</w:t>
            </w:r>
            <w:r w:rsidR="0093751E" w:rsidRPr="00C011B2">
              <w:rPr>
                <w:rFonts w:ascii="Times New Roman" w:hAnsi="Times New Roman" w:cs="Times New Roman"/>
                <w:bCs/>
                <w:color w:val="000000" w:themeColor="text1"/>
                <w:lang w:val="ro-MD"/>
              </w:rPr>
              <w:t>ilor competente</w:t>
            </w:r>
            <w:r w:rsidR="0018772C" w:rsidRPr="00C011B2">
              <w:rPr>
                <w:rFonts w:ascii="Times New Roman" w:hAnsi="Times New Roman" w:cs="Times New Roman"/>
                <w:bCs/>
                <w:kern w:val="2"/>
                <w:sz w:val="24"/>
                <w:szCs w:val="24"/>
                <w:lang w:val="ro-RO"/>
              </w:rPr>
              <w:t xml:space="preserve"> </w:t>
            </w:r>
            <w:r w:rsidR="0018772C" w:rsidRPr="00C011B2">
              <w:rPr>
                <w:rFonts w:ascii="Times New Roman" w:hAnsi="Times New Roman" w:cs="Times New Roman"/>
                <w:bCs/>
                <w:color w:val="000000" w:themeColor="text1"/>
                <w:lang w:val="ro-RO"/>
              </w:rPr>
              <w:t>din Uniunea Europeană</w:t>
            </w:r>
            <w:r w:rsidR="0093751E" w:rsidRPr="00C011B2">
              <w:rPr>
                <w:rFonts w:ascii="Times New Roman" w:hAnsi="Times New Roman" w:cs="Times New Roman"/>
                <w:bCs/>
                <w:color w:val="000000" w:themeColor="text1"/>
                <w:lang w:val="ro-MD"/>
              </w:rPr>
              <w:t>, ofer</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 xml:space="preserve"> o protec</w:t>
            </w:r>
            <w:r w:rsidR="0093751E" w:rsidRPr="00C011B2">
              <w:rPr>
                <w:rFonts w:ascii="Times New Roman" w:hAnsi="Times New Roman" w:cs="Times New Roman" w:hint="eastAsia"/>
                <w:bCs/>
                <w:color w:val="000000" w:themeColor="text1"/>
                <w:lang w:val="ro-MD"/>
              </w:rPr>
              <w:t>ţ</w:t>
            </w:r>
            <w:r w:rsidR="0093751E" w:rsidRPr="00C011B2">
              <w:rPr>
                <w:rFonts w:ascii="Times New Roman" w:hAnsi="Times New Roman" w:cs="Times New Roman"/>
                <w:bCs/>
                <w:color w:val="000000" w:themeColor="text1"/>
                <w:lang w:val="ro-MD"/>
              </w:rPr>
              <w:t>ie corespunz</w:t>
            </w:r>
            <w:r w:rsidR="0093751E" w:rsidRPr="00C011B2">
              <w:rPr>
                <w:rFonts w:ascii="Times New Roman" w:hAnsi="Times New Roman" w:cs="Times New Roman" w:hint="eastAsia"/>
                <w:bCs/>
                <w:color w:val="000000" w:themeColor="text1"/>
                <w:lang w:val="ro-MD"/>
              </w:rPr>
              <w:t>ă</w:t>
            </w:r>
            <w:r w:rsidR="0093751E" w:rsidRPr="00C011B2">
              <w:rPr>
                <w:rFonts w:ascii="Times New Roman" w:hAnsi="Times New Roman" w:cs="Times New Roman"/>
                <w:bCs/>
                <w:color w:val="000000" w:themeColor="text1"/>
                <w:lang w:val="ro-MD"/>
              </w:rPr>
              <w:t>toare;</w:t>
            </w:r>
            <w:bookmarkEnd w:id="13"/>
            <w:bookmarkEnd w:id="14"/>
          </w:p>
        </w:tc>
        <w:tc>
          <w:tcPr>
            <w:tcW w:w="450" w:type="pct"/>
          </w:tcPr>
          <w:p w14:paraId="60FC0DB3" w14:textId="59D548CC" w:rsidR="0093751E"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0A67860" w14:textId="77777777" w:rsidR="0093751E" w:rsidRPr="00C011B2" w:rsidRDefault="0093751E" w:rsidP="00FB5B1C">
            <w:pPr>
              <w:spacing w:line="276" w:lineRule="auto"/>
              <w:jc w:val="both"/>
              <w:rPr>
                <w:rFonts w:ascii="Times New Roman" w:hAnsi="Times New Roman" w:cs="Times New Roman"/>
                <w:bCs/>
                <w:color w:val="000000" w:themeColor="text1"/>
                <w:lang w:val="ro-MD"/>
              </w:rPr>
            </w:pPr>
          </w:p>
        </w:tc>
      </w:tr>
      <w:tr w:rsidR="00F22AEF" w:rsidRPr="00C011B2" w14:paraId="55A3446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B471B27" w14:textId="23D9D6C2"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82.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acord repo</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acord reverse repo</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orice acord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sau contrapartea sa transfer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titluri,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rfuri sau drepturi garantate referitoare la proprietatea asupra titlurilor sau a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rfurilor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garan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respectiv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este emis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o burs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care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 drepturile asupra titlurilor sau a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rfurilor, iar acordul nu permite unei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transfere sau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gaj un anumit titlu sau marf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mai multor contrap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acela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timp, cu angajamentul de a le 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ra, sau la titluri sau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rfuri substituite, prezent</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acelea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caracteristici, la un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 specificat, la o dat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viitoare precizat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care </w:t>
            </w:r>
            <w:r w:rsidRPr="00C011B2">
              <w:rPr>
                <w:rFonts w:ascii="Times New Roman" w:hAnsi="Times New Roman" w:cs="Times New Roman"/>
                <w:bCs/>
                <w:color w:val="000000" w:themeColor="text1"/>
                <w:lang w:val="ro-MD"/>
              </w:rPr>
              <w:lastRenderedPageBreak/>
              <w:t>urmeaz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fi precizat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entitatea care transfer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reprezent</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un acord repo pentru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care vinde titlurile sau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rfurile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un acord reverse repo pentru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care le 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tc>
        <w:tc>
          <w:tcPr>
            <w:tcW w:w="1692" w:type="pct"/>
            <w:shd w:val="clear" w:color="auto" w:fill="auto"/>
          </w:tcPr>
          <w:p w14:paraId="31E96AC1" w14:textId="60196C38" w:rsidR="00F22AEF" w:rsidRPr="00C011B2" w:rsidRDefault="005F4788"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5.</w:t>
            </w:r>
            <w:r w:rsidR="00781056" w:rsidRPr="00C011B2">
              <w:rPr>
                <w:rFonts w:ascii="Times New Roman" w:hAnsi="Times New Roman" w:cs="Times New Roman"/>
                <w:bCs/>
                <w:color w:val="000000" w:themeColor="text1"/>
                <w:lang w:val="ro-MD"/>
              </w:rPr>
              <w:t>2</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acord repo</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 xml:space="preserve">i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acord reverse repo</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bookmarkStart w:id="15" w:name="_Hlk200466437"/>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nseamn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orice acord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 xml:space="preserve">n care o </w:t>
            </w:r>
            <w:r w:rsidR="00781056" w:rsidRPr="00C011B2">
              <w:rPr>
                <w:rFonts w:ascii="Times New Roman" w:hAnsi="Times New Roman" w:cs="Times New Roman"/>
                <w:bCs/>
                <w:color w:val="000000" w:themeColor="text1"/>
                <w:lang w:val="ro-MD"/>
              </w:rPr>
              <w:t xml:space="preserve">bancă </w:t>
            </w:r>
            <w:r w:rsidR="00F22AEF" w:rsidRPr="00C011B2">
              <w:rPr>
                <w:rFonts w:ascii="Times New Roman" w:hAnsi="Times New Roman" w:cs="Times New Roman"/>
                <w:bCs/>
                <w:color w:val="000000" w:themeColor="text1"/>
                <w:lang w:val="ro-MD"/>
              </w:rPr>
              <w:t>sau contrapartea sa transfer</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titluri, 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rfuri sau drepturi garantate referitoare la proprietatea asupra titlurilor sau a 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rfurilor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 xml:space="preserve">n cazul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 care garan</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ia respectiv</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este emis</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de o burs</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recunoscut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care de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ine drepturile asupra titlurilor sau a 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rfurilor, iar acordul nu permite unei </w:t>
            </w:r>
            <w:r w:rsidR="00781056" w:rsidRPr="00C011B2">
              <w:rPr>
                <w:rFonts w:ascii="Times New Roman" w:hAnsi="Times New Roman" w:cs="Times New Roman"/>
                <w:bCs/>
                <w:color w:val="000000" w:themeColor="text1"/>
                <w:lang w:val="ro-MD"/>
              </w:rPr>
              <w:t xml:space="preserve">bănci </w:t>
            </w:r>
            <w:r w:rsidR="00F22AEF" w:rsidRPr="00C011B2">
              <w:rPr>
                <w:rFonts w:ascii="Times New Roman" w:hAnsi="Times New Roman" w:cs="Times New Roman"/>
                <w:bCs/>
                <w:color w:val="000000" w:themeColor="text1"/>
                <w:lang w:val="ro-MD"/>
              </w:rPr>
              <w:t>s</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transfere sau s</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dea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 gaj un anumit titlu sau marf</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mai multor contrap</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 xml:space="preserve">i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 acela</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i timp, cu angajamentul de a le r</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scump</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ra, sau la titluri sau 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rfuri substituite, prezent</w:t>
            </w:r>
            <w:r w:rsidR="00F22AEF" w:rsidRPr="00C011B2">
              <w:rPr>
                <w:rFonts w:ascii="Times New Roman" w:hAnsi="Times New Roman" w:cs="Times New Roman" w:hint="eastAsia"/>
                <w:bCs/>
                <w:color w:val="000000" w:themeColor="text1"/>
                <w:lang w:val="ro-MD"/>
              </w:rPr>
              <w:t>â</w:t>
            </w:r>
            <w:r w:rsidR="00F22AEF" w:rsidRPr="00C011B2">
              <w:rPr>
                <w:rFonts w:ascii="Times New Roman" w:hAnsi="Times New Roman" w:cs="Times New Roman"/>
                <w:bCs/>
                <w:color w:val="000000" w:themeColor="text1"/>
                <w:lang w:val="ro-MD"/>
              </w:rPr>
              <w:t>nd acelea</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i caracteristici, la un pre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 xml:space="preserve"> specificat, la o dat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viitoare precizat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sau care urmeaz</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a fi precizat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de entitatea care transfer</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bCs/>
                <w:color w:val="000000" w:themeColor="text1"/>
                <w:lang w:val="ro-MD"/>
              </w:rPr>
              <w:lastRenderedPageBreak/>
              <w:t>reprezent</w:t>
            </w:r>
            <w:r w:rsidR="00F22AEF" w:rsidRPr="00C011B2">
              <w:rPr>
                <w:rFonts w:ascii="Times New Roman" w:hAnsi="Times New Roman" w:cs="Times New Roman" w:hint="eastAsia"/>
                <w:bCs/>
                <w:color w:val="000000" w:themeColor="text1"/>
                <w:lang w:val="ro-MD"/>
              </w:rPr>
              <w:t>â</w:t>
            </w:r>
            <w:r w:rsidR="00F22AEF" w:rsidRPr="00C011B2">
              <w:rPr>
                <w:rFonts w:ascii="Times New Roman" w:hAnsi="Times New Roman" w:cs="Times New Roman"/>
                <w:bCs/>
                <w:color w:val="000000" w:themeColor="text1"/>
                <w:lang w:val="ro-MD"/>
              </w:rPr>
              <w:t xml:space="preserve">nd un acord repo pentru </w:t>
            </w:r>
            <w:r w:rsidR="00781056" w:rsidRPr="00C011B2">
              <w:rPr>
                <w:rFonts w:ascii="Times New Roman" w:hAnsi="Times New Roman" w:cs="Times New Roman"/>
                <w:bCs/>
                <w:color w:val="000000" w:themeColor="text1"/>
                <w:lang w:val="ro-MD"/>
              </w:rPr>
              <w:t xml:space="preserve">banca </w:t>
            </w:r>
            <w:r w:rsidR="00F22AEF" w:rsidRPr="00C011B2">
              <w:rPr>
                <w:rFonts w:ascii="Times New Roman" w:hAnsi="Times New Roman" w:cs="Times New Roman"/>
                <w:bCs/>
                <w:color w:val="000000" w:themeColor="text1"/>
                <w:lang w:val="ro-MD"/>
              </w:rPr>
              <w:t>care vinde titlurile sau 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rfurile </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 xml:space="preserve">i un acord reverse repo pentru </w:t>
            </w:r>
            <w:r w:rsidR="00781056" w:rsidRPr="00C011B2">
              <w:rPr>
                <w:rFonts w:ascii="Times New Roman" w:hAnsi="Times New Roman" w:cs="Times New Roman"/>
                <w:bCs/>
                <w:color w:val="000000" w:themeColor="text1"/>
                <w:lang w:val="ro-MD"/>
              </w:rPr>
              <w:t xml:space="preserve">banca </w:t>
            </w:r>
            <w:r w:rsidR="00F22AEF" w:rsidRPr="00C011B2">
              <w:rPr>
                <w:rFonts w:ascii="Times New Roman" w:hAnsi="Times New Roman" w:cs="Times New Roman"/>
                <w:bCs/>
                <w:color w:val="000000" w:themeColor="text1"/>
                <w:lang w:val="ro-MD"/>
              </w:rPr>
              <w:t>care le cump</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w:t>
            </w:r>
            <w:bookmarkEnd w:id="15"/>
          </w:p>
        </w:tc>
        <w:tc>
          <w:tcPr>
            <w:tcW w:w="450" w:type="pct"/>
          </w:tcPr>
          <w:p w14:paraId="62B141CE" w14:textId="64590703" w:rsidR="00F22AEF"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53677EB" w14:textId="77777777" w:rsidR="00F22AEF" w:rsidRPr="00C011B2" w:rsidRDefault="00F22AEF" w:rsidP="00FB5B1C">
            <w:pPr>
              <w:spacing w:line="276" w:lineRule="auto"/>
              <w:jc w:val="both"/>
              <w:rPr>
                <w:rFonts w:ascii="Times New Roman" w:hAnsi="Times New Roman" w:cs="Times New Roman"/>
                <w:bCs/>
                <w:color w:val="000000" w:themeColor="text1"/>
                <w:lang w:val="ro-MD"/>
              </w:rPr>
            </w:pPr>
          </w:p>
        </w:tc>
      </w:tr>
      <w:tr w:rsidR="00F22AEF" w:rsidRPr="00C011B2" w14:paraId="30667D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EE0E018" w14:textId="2861FCFC"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83.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rare</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orice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derulat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baza unui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acord repo</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sau a unui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acord reverse repo</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w:t>
            </w:r>
          </w:p>
        </w:tc>
        <w:tc>
          <w:tcPr>
            <w:tcW w:w="1692" w:type="pct"/>
            <w:shd w:val="clear" w:color="auto" w:fill="auto"/>
          </w:tcPr>
          <w:p w14:paraId="6401AE11" w14:textId="4A599CB9" w:rsidR="00F22AEF" w:rsidRPr="00C011B2" w:rsidRDefault="00C569B7" w:rsidP="00FB5B1C">
            <w:pPr>
              <w:spacing w:after="0" w:line="276" w:lineRule="auto"/>
              <w:jc w:val="both"/>
              <w:rPr>
                <w:rFonts w:ascii="Times New Roman" w:hAnsi="Times New Roman" w:cs="Times New Roman"/>
                <w:bCs/>
                <w:color w:val="000000" w:themeColor="text1"/>
                <w:lang w:val="ro-MD"/>
              </w:rPr>
            </w:pPr>
            <w:bookmarkStart w:id="16" w:name="_Hlk200614559"/>
            <w:r w:rsidRPr="00C011B2">
              <w:rPr>
                <w:rFonts w:ascii="Times New Roman" w:hAnsi="Times New Roman" w:cs="Times New Roman"/>
                <w:bCs/>
                <w:color w:val="000000" w:themeColor="text1"/>
                <w:lang w:val="ro-MD"/>
              </w:rPr>
              <w:t>5.16.</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ie de r</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scump</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rare</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nseamn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orice 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ie derulat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 xml:space="preserve">n baza unui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acord repo</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sau a unui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acord reverse repo</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w:t>
            </w:r>
            <w:bookmarkEnd w:id="16"/>
          </w:p>
        </w:tc>
        <w:tc>
          <w:tcPr>
            <w:tcW w:w="450" w:type="pct"/>
          </w:tcPr>
          <w:p w14:paraId="2F7FA89B" w14:textId="49998BE3" w:rsidR="00F22AEF"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F740166" w14:textId="77777777" w:rsidR="00F22AEF" w:rsidRPr="00C011B2" w:rsidRDefault="00F22AEF" w:rsidP="00FB5B1C">
            <w:pPr>
              <w:spacing w:line="276" w:lineRule="auto"/>
              <w:jc w:val="both"/>
              <w:rPr>
                <w:rFonts w:ascii="Times New Roman" w:hAnsi="Times New Roman" w:cs="Times New Roman"/>
                <w:bCs/>
                <w:color w:val="000000" w:themeColor="text1"/>
                <w:lang w:val="ro-MD"/>
              </w:rPr>
            </w:pPr>
          </w:p>
        </w:tc>
      </w:tr>
      <w:tr w:rsidR="00F22AEF" w:rsidRPr="00C011B2" w14:paraId="69B05CF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3FB340" w14:textId="55B84387"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84.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acord repo simplu</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rare a unui singur activ sau a unor active similare, necomplexe, prin opozi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cu un co</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 de active.</w:t>
            </w:r>
          </w:p>
        </w:tc>
        <w:tc>
          <w:tcPr>
            <w:tcW w:w="1692" w:type="pct"/>
            <w:shd w:val="clear" w:color="auto" w:fill="auto"/>
          </w:tcPr>
          <w:p w14:paraId="75CC5ADD" w14:textId="6E27DE5F" w:rsidR="00F22AEF" w:rsidRPr="00C011B2" w:rsidRDefault="005F4788" w:rsidP="00FB5B1C">
            <w:pPr>
              <w:spacing w:after="0" w:line="276" w:lineRule="auto"/>
              <w:jc w:val="both"/>
              <w:rPr>
                <w:rFonts w:ascii="Times New Roman" w:hAnsi="Times New Roman" w:cs="Times New Roman"/>
                <w:bCs/>
                <w:color w:val="000000" w:themeColor="text1"/>
                <w:lang w:val="ro-MD"/>
              </w:rPr>
            </w:pPr>
            <w:bookmarkStart w:id="17" w:name="_Hlk200466514"/>
            <w:r w:rsidRPr="00C011B2">
              <w:rPr>
                <w:rFonts w:ascii="Times New Roman" w:hAnsi="Times New Roman" w:cs="Times New Roman"/>
                <w:bCs/>
                <w:color w:val="000000" w:themeColor="text1"/>
                <w:lang w:val="ro-MD"/>
              </w:rPr>
              <w:t>5.3.</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acord repo simplu</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nseamn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o 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ie de r</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scump</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rare a unui singur activ sau a unor active similare, necomplexe, prin opozi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ie cu un co</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 xml:space="preserve"> de active</w:t>
            </w:r>
            <w:r w:rsidR="00781056" w:rsidRPr="00C011B2">
              <w:rPr>
                <w:rFonts w:ascii="Times New Roman" w:hAnsi="Times New Roman" w:cs="Times New Roman"/>
                <w:bCs/>
                <w:color w:val="000000" w:themeColor="text1"/>
                <w:lang w:val="ro-MD"/>
              </w:rPr>
              <w:t>;</w:t>
            </w:r>
            <w:bookmarkEnd w:id="17"/>
          </w:p>
        </w:tc>
        <w:tc>
          <w:tcPr>
            <w:tcW w:w="450" w:type="pct"/>
          </w:tcPr>
          <w:p w14:paraId="3BC6CE77" w14:textId="7535B339" w:rsidR="00F22AEF"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4EB8093" w14:textId="77777777" w:rsidR="00F22AEF" w:rsidRPr="00C011B2" w:rsidRDefault="00F22AEF" w:rsidP="00FB5B1C">
            <w:pPr>
              <w:spacing w:line="276" w:lineRule="auto"/>
              <w:jc w:val="both"/>
              <w:rPr>
                <w:rFonts w:ascii="Times New Roman" w:hAnsi="Times New Roman" w:cs="Times New Roman"/>
                <w:bCs/>
                <w:color w:val="000000" w:themeColor="text1"/>
                <w:lang w:val="ro-MD"/>
              </w:rPr>
            </w:pPr>
          </w:p>
        </w:tc>
      </w:tr>
      <w:tr w:rsidR="00F22AEF" w:rsidRPr="00C011B2" w14:paraId="34F9F74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E73875" w14:textId="496F5DD5"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85.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oricare dintre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w:t>
            </w:r>
          </w:p>
          <w:p w14:paraId="7D4FF415" w14:textId="11CD1B18"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cont propriu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provenind din serviciile pentru clien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din formarea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p w14:paraId="7F53C149" w14:textId="77777777"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destinate rev</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pe termen scurt;</w:t>
            </w:r>
          </w:p>
          <w:p w14:paraId="1796704F" w14:textId="48CBBD3D"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destinate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beneficieze de diferen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reale sau 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teptate pe termen scurt, dintre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urile de 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cele de v</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nzare sau de alte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ale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urilor sau ale ratei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w:t>
            </w:r>
          </w:p>
        </w:tc>
        <w:tc>
          <w:tcPr>
            <w:tcW w:w="1692" w:type="pct"/>
            <w:shd w:val="clear" w:color="auto" w:fill="auto"/>
          </w:tcPr>
          <w:p w14:paraId="585B3BE6" w14:textId="0A8AC426" w:rsidR="00F22AEF" w:rsidRPr="00C011B2" w:rsidRDefault="00331DAF" w:rsidP="00F22AEF">
            <w:pPr>
              <w:spacing w:after="0" w:line="276" w:lineRule="auto"/>
              <w:jc w:val="both"/>
              <w:rPr>
                <w:rFonts w:ascii="Times New Roman" w:hAnsi="Times New Roman" w:cs="Times New Roman"/>
                <w:bCs/>
                <w:color w:val="000000" w:themeColor="text1"/>
                <w:lang w:val="ro-MD"/>
              </w:rPr>
            </w:pPr>
            <w:bookmarkStart w:id="18" w:name="_Hlk200613887"/>
            <w:r w:rsidRPr="00C011B2">
              <w:rPr>
                <w:rFonts w:ascii="Times New Roman" w:hAnsi="Times New Roman" w:cs="Times New Roman"/>
                <w:bCs/>
                <w:color w:val="000000" w:themeColor="text1"/>
                <w:lang w:val="ro-MD"/>
              </w:rPr>
              <w:t>5.13.</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ii de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inute cu inten</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ia 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ion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rii</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nseamn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oricare dintre urm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toarele:</w:t>
            </w:r>
          </w:p>
          <w:p w14:paraId="3F15C723" w14:textId="08938CFF" w:rsidR="00F22AEF" w:rsidRPr="00C011B2" w:rsidRDefault="00331DA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5.13.1.</w:t>
            </w:r>
            <w:r w:rsidR="00F22AEF" w:rsidRPr="00C011B2">
              <w:rPr>
                <w:rFonts w:ascii="Times New Roman" w:hAnsi="Times New Roman" w:cs="Times New Roman"/>
                <w:bCs/>
                <w:color w:val="000000" w:themeColor="text1"/>
                <w:lang w:val="ro-MD"/>
              </w:rPr>
              <w:t xml:space="preserve"> 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 xml:space="preserve">iile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 xml:space="preserve">n cont propriu </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i 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iile provenind din serviciile pentru clien</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 xml:space="preserve">i </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i din formarea pie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ei;</w:t>
            </w:r>
          </w:p>
          <w:p w14:paraId="418568B9" w14:textId="1F94C60A" w:rsidR="00F22AEF" w:rsidRPr="00C011B2" w:rsidRDefault="00331DA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5.13.2.</w:t>
            </w:r>
            <w:r w:rsidR="00F22AEF" w:rsidRPr="00C011B2">
              <w:rPr>
                <w:rFonts w:ascii="Times New Roman" w:hAnsi="Times New Roman" w:cs="Times New Roman"/>
                <w:bCs/>
                <w:color w:val="000000" w:themeColor="text1"/>
                <w:lang w:val="ro-MD"/>
              </w:rPr>
              <w:t xml:space="preserve"> 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iile destinate rev</w:t>
            </w:r>
            <w:r w:rsidR="00F22AEF" w:rsidRPr="00C011B2">
              <w:rPr>
                <w:rFonts w:ascii="Times New Roman" w:hAnsi="Times New Roman" w:cs="Times New Roman" w:hint="eastAsia"/>
                <w:bCs/>
                <w:color w:val="000000" w:themeColor="text1"/>
                <w:lang w:val="ro-MD"/>
              </w:rPr>
              <w:t>â</w:t>
            </w:r>
            <w:r w:rsidR="00F22AEF" w:rsidRPr="00C011B2">
              <w:rPr>
                <w:rFonts w:ascii="Times New Roman" w:hAnsi="Times New Roman" w:cs="Times New Roman"/>
                <w:bCs/>
                <w:color w:val="000000" w:themeColor="text1"/>
                <w:lang w:val="ro-MD"/>
              </w:rPr>
              <w:t>nz</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rii pe termen scurt;</w:t>
            </w:r>
          </w:p>
          <w:p w14:paraId="015F4DE3" w14:textId="6A4418C0" w:rsidR="00F22AEF" w:rsidRPr="00C011B2" w:rsidRDefault="00331DA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5.13.3.</w:t>
            </w:r>
            <w:r w:rsidR="00F22AEF" w:rsidRPr="00C011B2">
              <w:rPr>
                <w:rFonts w:ascii="Times New Roman" w:hAnsi="Times New Roman" w:cs="Times New Roman"/>
                <w:bCs/>
                <w:color w:val="000000" w:themeColor="text1"/>
                <w:lang w:val="ro-MD"/>
              </w:rPr>
              <w:t xml:space="preserve"> 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iile destinate s</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beneficieze de diferen</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ele, reale sau a</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teptate pe termen scurt, dintre pre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urile de cump</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rare </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i cele de v</w:t>
            </w:r>
            <w:r w:rsidR="00F22AEF" w:rsidRPr="00C011B2">
              <w:rPr>
                <w:rFonts w:ascii="Times New Roman" w:hAnsi="Times New Roman" w:cs="Times New Roman" w:hint="eastAsia"/>
                <w:bCs/>
                <w:color w:val="000000" w:themeColor="text1"/>
                <w:lang w:val="ro-MD"/>
              </w:rPr>
              <w:t>â</w:t>
            </w:r>
            <w:r w:rsidR="00F22AEF" w:rsidRPr="00C011B2">
              <w:rPr>
                <w:rFonts w:ascii="Times New Roman" w:hAnsi="Times New Roman" w:cs="Times New Roman"/>
                <w:bCs/>
                <w:color w:val="000000" w:themeColor="text1"/>
                <w:lang w:val="ro-MD"/>
              </w:rPr>
              <w:t>nzare sau de alte varia</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ii ale pre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urilor sau ale ratei dob</w:t>
            </w:r>
            <w:r w:rsidR="00F22AEF" w:rsidRPr="00C011B2">
              <w:rPr>
                <w:rFonts w:ascii="Times New Roman" w:hAnsi="Times New Roman" w:cs="Times New Roman" w:hint="eastAsia"/>
                <w:bCs/>
                <w:color w:val="000000" w:themeColor="text1"/>
                <w:lang w:val="ro-MD"/>
              </w:rPr>
              <w:t>â</w:t>
            </w:r>
            <w:r w:rsidR="00F22AEF" w:rsidRPr="00C011B2">
              <w:rPr>
                <w:rFonts w:ascii="Times New Roman" w:hAnsi="Times New Roman" w:cs="Times New Roman"/>
                <w:bCs/>
                <w:color w:val="000000" w:themeColor="text1"/>
                <w:lang w:val="ro-MD"/>
              </w:rPr>
              <w:t>nzii;</w:t>
            </w:r>
            <w:bookmarkEnd w:id="18"/>
          </w:p>
        </w:tc>
        <w:tc>
          <w:tcPr>
            <w:tcW w:w="450" w:type="pct"/>
          </w:tcPr>
          <w:p w14:paraId="403BA002" w14:textId="63E91672" w:rsidR="00F22AEF"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A763C73" w14:textId="77777777" w:rsidR="00F22AEF" w:rsidRPr="00C011B2" w:rsidRDefault="00F22AEF" w:rsidP="00FB5B1C">
            <w:pPr>
              <w:spacing w:line="276" w:lineRule="auto"/>
              <w:jc w:val="both"/>
              <w:rPr>
                <w:rFonts w:ascii="Times New Roman" w:hAnsi="Times New Roman" w:cs="Times New Roman"/>
                <w:bCs/>
                <w:color w:val="000000" w:themeColor="text1"/>
                <w:lang w:val="ro-MD"/>
              </w:rPr>
            </w:pPr>
          </w:p>
        </w:tc>
      </w:tr>
      <w:tr w:rsidR="00F22AEF" w:rsidRPr="00C011B2" w14:paraId="572455D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0BAEE4" w14:textId="77777777" w:rsidR="00F22AEF" w:rsidRPr="00C011B2" w:rsidRDefault="00F22AEF" w:rsidP="00F22AE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4C2C8E43" w14:textId="29C0BBE5"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86.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portofoliu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toate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pe instrumente financiare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pe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rfuri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de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fie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bCs/>
                <w:color w:val="000000" w:themeColor="text1"/>
                <w:lang w:val="ro-MD"/>
              </w:rPr>
              <w:lastRenderedPageBreak/>
              <w:t>fie cu scopul de a acoperi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104;</w:t>
            </w:r>
          </w:p>
        </w:tc>
        <w:tc>
          <w:tcPr>
            <w:tcW w:w="1692" w:type="pct"/>
            <w:shd w:val="clear" w:color="auto" w:fill="auto"/>
          </w:tcPr>
          <w:p w14:paraId="645A88B7" w14:textId="1C7BEEDE" w:rsidR="00F22AEF" w:rsidRPr="00C011B2" w:rsidRDefault="00331DAF" w:rsidP="00F22AEF">
            <w:pPr>
              <w:spacing w:after="0" w:line="276" w:lineRule="auto"/>
              <w:jc w:val="both"/>
              <w:rPr>
                <w:rFonts w:ascii="Times New Roman" w:hAnsi="Times New Roman" w:cs="Times New Roman"/>
                <w:bCs/>
                <w:color w:val="000000" w:themeColor="text1"/>
                <w:lang w:val="ro-MD"/>
              </w:rPr>
            </w:pPr>
            <w:bookmarkStart w:id="19" w:name="_Hlk200613687"/>
            <w:r w:rsidRPr="00C011B2">
              <w:rPr>
                <w:rFonts w:ascii="Times New Roman" w:hAnsi="Times New Roman" w:cs="Times New Roman"/>
                <w:bCs/>
                <w:color w:val="000000" w:themeColor="text1"/>
                <w:lang w:val="ro-MD"/>
              </w:rPr>
              <w:lastRenderedPageBreak/>
              <w:t>5.12.</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portofoliu de 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ionare</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nseamn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toate 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 xml:space="preserve">iile pe instrumente financiare </w:t>
            </w:r>
            <w:r w:rsidR="00F22AEF" w:rsidRPr="00C011B2">
              <w:rPr>
                <w:rFonts w:ascii="Times New Roman" w:hAnsi="Times New Roman" w:cs="Times New Roman" w:hint="eastAsia"/>
                <w:bCs/>
                <w:color w:val="000000" w:themeColor="text1"/>
                <w:lang w:val="ro-MD"/>
              </w:rPr>
              <w:t>ș</w:t>
            </w:r>
            <w:r w:rsidR="00F22AEF" w:rsidRPr="00C011B2">
              <w:rPr>
                <w:rFonts w:ascii="Times New Roman" w:hAnsi="Times New Roman" w:cs="Times New Roman"/>
                <w:bCs/>
                <w:color w:val="000000" w:themeColor="text1"/>
                <w:lang w:val="ro-MD"/>
              </w:rPr>
              <w:t>i pe m</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rfuri de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 xml:space="preserve">inute de o </w:t>
            </w:r>
            <w:r w:rsidRPr="00C011B2">
              <w:rPr>
                <w:rFonts w:ascii="Times New Roman" w:hAnsi="Times New Roman" w:cs="Times New Roman"/>
                <w:bCs/>
                <w:color w:val="000000" w:themeColor="text1"/>
                <w:lang w:val="ro-MD"/>
              </w:rPr>
              <w:t>bancă</w:t>
            </w:r>
            <w:r w:rsidR="00F22AEF" w:rsidRPr="00C011B2">
              <w:rPr>
                <w:rFonts w:ascii="Times New Roman" w:hAnsi="Times New Roman" w:cs="Times New Roman"/>
                <w:bCs/>
                <w:color w:val="000000" w:themeColor="text1"/>
                <w:lang w:val="ro-MD"/>
              </w:rPr>
              <w:t>, fie cu inten</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ia 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ion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rii, fie cu scopul de a acoperi pozi</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iile de</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inute cu inten</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ia tranzac</w:t>
            </w:r>
            <w:r w:rsidR="00F22AEF" w:rsidRPr="00C011B2">
              <w:rPr>
                <w:rFonts w:ascii="Times New Roman" w:hAnsi="Times New Roman" w:cs="Times New Roman" w:hint="eastAsia"/>
                <w:bCs/>
                <w:color w:val="000000" w:themeColor="text1"/>
                <w:lang w:val="ro-MD"/>
              </w:rPr>
              <w:t>ţ</w:t>
            </w:r>
            <w:r w:rsidR="00F22AEF" w:rsidRPr="00C011B2">
              <w:rPr>
                <w:rFonts w:ascii="Times New Roman" w:hAnsi="Times New Roman" w:cs="Times New Roman"/>
                <w:bCs/>
                <w:color w:val="000000" w:themeColor="text1"/>
                <w:lang w:val="ro-MD"/>
              </w:rPr>
              <w:t>ion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rii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 xml:space="preserve">n conformitate cu </w:t>
            </w:r>
            <w:bookmarkStart w:id="20" w:name="_Hlk200704592"/>
            <w:r w:rsidR="00374DF3" w:rsidRPr="00C011B2">
              <w:rPr>
                <w:rFonts w:ascii="Times New Roman" w:hAnsi="Times New Roman" w:cs="Times New Roman"/>
                <w:bCs/>
                <w:color w:val="000000" w:themeColor="text1"/>
                <w:lang w:val="ro-MD"/>
              </w:rPr>
              <w:t>secțiunea 3 din capitolul III</w:t>
            </w:r>
            <w:bookmarkEnd w:id="20"/>
            <w:r w:rsidR="00F22AEF" w:rsidRPr="00C011B2">
              <w:rPr>
                <w:rFonts w:ascii="Times New Roman" w:hAnsi="Times New Roman" w:cs="Times New Roman"/>
                <w:bCs/>
                <w:color w:val="000000" w:themeColor="text1"/>
                <w:lang w:val="ro-MD"/>
              </w:rPr>
              <w:t>;</w:t>
            </w:r>
            <w:bookmarkEnd w:id="19"/>
          </w:p>
        </w:tc>
        <w:tc>
          <w:tcPr>
            <w:tcW w:w="450" w:type="pct"/>
          </w:tcPr>
          <w:p w14:paraId="003BAF4C" w14:textId="25AD5CD7" w:rsidR="00F22AEF"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0CC0AFC8" w14:textId="77777777" w:rsidR="00F22AEF" w:rsidRPr="00C011B2" w:rsidRDefault="00F22AEF" w:rsidP="00FB5B1C">
            <w:pPr>
              <w:spacing w:line="276" w:lineRule="auto"/>
              <w:jc w:val="both"/>
              <w:rPr>
                <w:rFonts w:ascii="Times New Roman" w:hAnsi="Times New Roman" w:cs="Times New Roman"/>
                <w:bCs/>
                <w:color w:val="000000" w:themeColor="text1"/>
                <w:lang w:val="ro-MD"/>
              </w:rPr>
            </w:pPr>
          </w:p>
        </w:tc>
      </w:tr>
      <w:tr w:rsidR="00F22AEF" w:rsidRPr="00C011B2" w14:paraId="736848F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BC975F0" w14:textId="77777777" w:rsidR="00F22AEF" w:rsidRPr="00C011B2" w:rsidRDefault="00F22AEF" w:rsidP="00F22AE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30423540" w14:textId="0725C0FD" w:rsidR="00F22AEF" w:rsidRPr="00C011B2" w:rsidRDefault="00F22AEF" w:rsidP="00F22AE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92.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reglementat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reglementat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AEVMP astfel cum este definit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4 punctul 14 din Directiva 2004/39/CE;</w:t>
            </w:r>
          </w:p>
        </w:tc>
        <w:tc>
          <w:tcPr>
            <w:tcW w:w="1692" w:type="pct"/>
            <w:shd w:val="clear" w:color="auto" w:fill="auto"/>
          </w:tcPr>
          <w:p w14:paraId="770192B1" w14:textId="178478B9" w:rsidR="00F22AEF" w:rsidRPr="00C011B2" w:rsidRDefault="00331DAF" w:rsidP="00F22AEF">
            <w:pPr>
              <w:spacing w:after="0" w:line="276" w:lineRule="auto"/>
              <w:jc w:val="both"/>
              <w:rPr>
                <w:rFonts w:ascii="Times New Roman" w:hAnsi="Times New Roman" w:cs="Times New Roman"/>
                <w:bCs/>
                <w:color w:val="000000" w:themeColor="text1"/>
                <w:lang w:val="ro-MD"/>
              </w:rPr>
            </w:pPr>
            <w:bookmarkStart w:id="21" w:name="_Hlk200613498"/>
            <w:r w:rsidRPr="00C011B2">
              <w:rPr>
                <w:rFonts w:ascii="Times New Roman" w:hAnsi="Times New Roman" w:cs="Times New Roman"/>
                <w:bCs/>
                <w:color w:val="000000" w:themeColor="text1"/>
                <w:lang w:val="ro-MD"/>
              </w:rPr>
              <w:t>5.11.</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pia</w:t>
            </w:r>
            <w:r w:rsidR="00F22AEF" w:rsidRPr="00C011B2">
              <w:rPr>
                <w:rFonts w:ascii="Times New Roman" w:hAnsi="Times New Roman" w:cs="Times New Roman" w:hint="eastAsia"/>
                <w:bCs/>
                <w:color w:val="000000" w:themeColor="text1"/>
                <w:lang w:val="ro-MD"/>
              </w:rPr>
              <w:t>ţă</w:t>
            </w:r>
            <w:r w:rsidR="00F22AEF" w:rsidRPr="00C011B2">
              <w:rPr>
                <w:rFonts w:ascii="Times New Roman" w:hAnsi="Times New Roman" w:cs="Times New Roman"/>
                <w:bCs/>
                <w:color w:val="000000" w:themeColor="text1"/>
                <w:lang w:val="ro-MD"/>
              </w:rPr>
              <w:t xml:space="preserve"> reglementat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hint="eastAsia"/>
                <w:bCs/>
                <w:color w:val="000000" w:themeColor="text1"/>
                <w:lang w:val="ro-MD"/>
              </w:rPr>
              <w:t>”</w:t>
            </w:r>
            <w:r w:rsidR="00F22AEF" w:rsidRPr="00C011B2">
              <w:rPr>
                <w:rFonts w:ascii="Times New Roman" w:hAnsi="Times New Roman" w:cs="Times New Roman"/>
                <w:bCs/>
                <w:color w:val="000000" w:themeColor="text1"/>
                <w:lang w:val="ro-MD"/>
              </w:rPr>
              <w:t xml:space="preserve"> </w:t>
            </w:r>
            <w:r w:rsidR="00F22AEF" w:rsidRPr="00C011B2">
              <w:rPr>
                <w:rFonts w:ascii="Times New Roman" w:hAnsi="Times New Roman" w:cs="Times New Roman" w:hint="eastAsia"/>
                <w:bCs/>
                <w:color w:val="000000" w:themeColor="text1"/>
                <w:lang w:val="ro-MD"/>
              </w:rPr>
              <w:t>î</w:t>
            </w:r>
            <w:r w:rsidR="00F22AEF" w:rsidRPr="00C011B2">
              <w:rPr>
                <w:rFonts w:ascii="Times New Roman" w:hAnsi="Times New Roman" w:cs="Times New Roman"/>
                <w:bCs/>
                <w:color w:val="000000" w:themeColor="text1"/>
                <w:lang w:val="ro-MD"/>
              </w:rPr>
              <w:t>nseamn</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o pia</w:t>
            </w:r>
            <w:r w:rsidR="00F22AEF" w:rsidRPr="00C011B2">
              <w:rPr>
                <w:rFonts w:ascii="Times New Roman" w:hAnsi="Times New Roman" w:cs="Times New Roman" w:hint="eastAsia"/>
                <w:bCs/>
                <w:color w:val="000000" w:themeColor="text1"/>
                <w:lang w:val="ro-MD"/>
              </w:rPr>
              <w:t>ţă</w:t>
            </w:r>
            <w:r w:rsidR="00F22AEF" w:rsidRPr="00C011B2">
              <w:rPr>
                <w:rFonts w:ascii="Times New Roman" w:hAnsi="Times New Roman" w:cs="Times New Roman"/>
                <w:bCs/>
                <w:color w:val="000000" w:themeColor="text1"/>
                <w:lang w:val="ro-MD"/>
              </w:rPr>
              <w:t xml:space="preserve"> reglementat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w:t>
            </w:r>
            <w:commentRangeStart w:id="22"/>
            <w:commentRangeEnd w:id="22"/>
            <w:r w:rsidR="005E0781" w:rsidRPr="00C011B2">
              <w:rPr>
                <w:rStyle w:val="CommentReference"/>
              </w:rPr>
              <w:commentReference w:id="22"/>
            </w:r>
            <w:r w:rsidR="00F22AEF" w:rsidRPr="00C011B2">
              <w:rPr>
                <w:rFonts w:ascii="Times New Roman" w:hAnsi="Times New Roman" w:cs="Times New Roman"/>
                <w:bCs/>
                <w:color w:val="000000" w:themeColor="text1"/>
                <w:lang w:val="ro-MD"/>
              </w:rPr>
              <w:t>astfel cum este definit</w:t>
            </w:r>
            <w:r w:rsidR="00F22AEF" w:rsidRPr="00C011B2">
              <w:rPr>
                <w:rFonts w:ascii="Times New Roman" w:hAnsi="Times New Roman" w:cs="Times New Roman" w:hint="eastAsia"/>
                <w:bCs/>
                <w:color w:val="000000" w:themeColor="text1"/>
                <w:lang w:val="ro-MD"/>
              </w:rPr>
              <w:t>ă</w:t>
            </w:r>
            <w:r w:rsidR="00F22AEF" w:rsidRPr="00C011B2">
              <w:rPr>
                <w:rFonts w:ascii="Times New Roman" w:hAnsi="Times New Roman" w:cs="Times New Roman"/>
                <w:bCs/>
                <w:color w:val="000000" w:themeColor="text1"/>
                <w:lang w:val="ro-MD"/>
              </w:rPr>
              <w:t xml:space="preserve"> </w:t>
            </w:r>
            <w:r w:rsidR="00980B75" w:rsidRPr="00C011B2">
              <w:rPr>
                <w:rFonts w:ascii="Times New Roman" w:hAnsi="Times New Roman" w:cs="Times New Roman"/>
                <w:bCs/>
                <w:color w:val="000000" w:themeColor="text1"/>
                <w:lang w:val="ro-MD"/>
              </w:rPr>
              <w:t>în</w:t>
            </w:r>
            <w:r w:rsidR="009957BC" w:rsidRPr="00C011B2">
              <w:rPr>
                <w:rFonts w:ascii="Times New Roman" w:hAnsi="Times New Roman" w:cs="Times New Roman"/>
                <w:bCs/>
                <w:color w:val="000000" w:themeColor="text1"/>
                <w:lang w:val="ro-MD"/>
              </w:rPr>
              <w:t xml:space="preserve"> Legea privind pieţele instrumentelor financiare și activitățile de investiții</w:t>
            </w:r>
            <w:r w:rsidR="00F22AEF" w:rsidRPr="00C011B2">
              <w:rPr>
                <w:rFonts w:ascii="Times New Roman" w:hAnsi="Times New Roman" w:cs="Times New Roman"/>
                <w:bCs/>
                <w:color w:val="000000" w:themeColor="text1"/>
                <w:lang w:val="ro-MD"/>
              </w:rPr>
              <w:t>;</w:t>
            </w:r>
            <w:bookmarkEnd w:id="21"/>
          </w:p>
        </w:tc>
        <w:tc>
          <w:tcPr>
            <w:tcW w:w="450" w:type="pct"/>
          </w:tcPr>
          <w:p w14:paraId="12658438" w14:textId="5C56A1CC" w:rsidR="00F22AEF"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B8E0BD1" w14:textId="77777777" w:rsidR="00F22AEF" w:rsidRPr="00C011B2" w:rsidRDefault="00F22AEF" w:rsidP="00FB5B1C">
            <w:pPr>
              <w:spacing w:line="276" w:lineRule="auto"/>
              <w:jc w:val="both"/>
              <w:rPr>
                <w:rFonts w:ascii="Times New Roman" w:hAnsi="Times New Roman" w:cs="Times New Roman"/>
                <w:bCs/>
                <w:color w:val="000000" w:themeColor="text1"/>
                <w:lang w:val="ro-MD"/>
              </w:rPr>
            </w:pPr>
          </w:p>
        </w:tc>
      </w:tr>
      <w:tr w:rsidR="000473A8" w:rsidRPr="00C011B2" w14:paraId="43796CE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8012B4" w14:textId="77777777" w:rsidR="000473A8" w:rsidRPr="00C011B2" w:rsidRDefault="000473A8" w:rsidP="000473A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655E7E13" w14:textId="24BAAE54" w:rsidR="000473A8" w:rsidRPr="00C011B2" w:rsidRDefault="000473A8" w:rsidP="000473A8">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96.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acoperire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care compenseaz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mod semnificativ elementele de risc componente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una sau mai multe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sau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ntre dou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birouri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tc>
        <w:tc>
          <w:tcPr>
            <w:tcW w:w="1692" w:type="pct"/>
            <w:shd w:val="clear" w:color="auto" w:fill="auto"/>
          </w:tcPr>
          <w:p w14:paraId="751780C1" w14:textId="3B11E069" w:rsidR="000473A8" w:rsidRPr="00C011B2" w:rsidRDefault="005F4788" w:rsidP="000473A8">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5.1.</w:t>
            </w:r>
            <w:r w:rsidR="000473A8" w:rsidRPr="00C011B2">
              <w:rPr>
                <w:rFonts w:ascii="Times New Roman" w:hAnsi="Times New Roman" w:cs="Times New Roman"/>
                <w:bCs/>
                <w:color w:val="000000" w:themeColor="text1"/>
                <w:lang w:val="ro-MD"/>
              </w:rPr>
              <w:t xml:space="preserve"> </w:t>
            </w:r>
            <w:r w:rsidR="000473A8" w:rsidRPr="00C011B2">
              <w:rPr>
                <w:rFonts w:ascii="Times New Roman" w:hAnsi="Times New Roman" w:cs="Times New Roman" w:hint="eastAsia"/>
                <w:bCs/>
                <w:color w:val="000000" w:themeColor="text1"/>
                <w:lang w:val="ro-MD"/>
              </w:rPr>
              <w:t>„</w:t>
            </w:r>
            <w:r w:rsidR="000473A8" w:rsidRPr="00C011B2">
              <w:rPr>
                <w:rFonts w:ascii="Times New Roman" w:hAnsi="Times New Roman" w:cs="Times New Roman"/>
                <w:bCs/>
                <w:color w:val="000000" w:themeColor="text1"/>
                <w:lang w:val="ro-MD"/>
              </w:rPr>
              <w:t>acoperire intern</w:t>
            </w:r>
            <w:r w:rsidR="000473A8" w:rsidRPr="00C011B2">
              <w:rPr>
                <w:rFonts w:ascii="Times New Roman" w:hAnsi="Times New Roman" w:cs="Times New Roman" w:hint="eastAsia"/>
                <w:bCs/>
                <w:color w:val="000000" w:themeColor="text1"/>
                <w:lang w:val="ro-MD"/>
              </w:rPr>
              <w:t>ă</w:t>
            </w:r>
            <w:r w:rsidR="000473A8" w:rsidRPr="00C011B2">
              <w:rPr>
                <w:rFonts w:ascii="Times New Roman" w:hAnsi="Times New Roman" w:cs="Times New Roman" w:hint="eastAsia"/>
                <w:bCs/>
                <w:color w:val="000000" w:themeColor="text1"/>
                <w:lang w:val="ro-MD"/>
              </w:rPr>
              <w:t>”</w:t>
            </w:r>
            <w:r w:rsidR="000473A8" w:rsidRPr="00C011B2">
              <w:rPr>
                <w:rFonts w:ascii="Times New Roman" w:hAnsi="Times New Roman" w:cs="Times New Roman"/>
                <w:bCs/>
                <w:color w:val="000000" w:themeColor="text1"/>
                <w:lang w:val="ro-MD"/>
              </w:rPr>
              <w:t xml:space="preserve">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nseamn</w:t>
            </w:r>
            <w:r w:rsidR="000473A8" w:rsidRPr="00C011B2">
              <w:rPr>
                <w:rFonts w:ascii="Times New Roman" w:hAnsi="Times New Roman" w:cs="Times New Roman" w:hint="eastAsia"/>
                <w:bCs/>
                <w:color w:val="000000" w:themeColor="text1"/>
                <w:lang w:val="ro-MD"/>
              </w:rPr>
              <w:t>ă</w:t>
            </w:r>
            <w:r w:rsidR="000473A8" w:rsidRPr="00C011B2">
              <w:rPr>
                <w:rFonts w:ascii="Times New Roman" w:hAnsi="Times New Roman" w:cs="Times New Roman"/>
                <w:bCs/>
                <w:color w:val="000000" w:themeColor="text1"/>
                <w:lang w:val="ro-MD"/>
              </w:rPr>
              <w:t xml:space="preserve"> o pozi</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ie care compenseaz</w:t>
            </w:r>
            <w:r w:rsidR="000473A8" w:rsidRPr="00C011B2">
              <w:rPr>
                <w:rFonts w:ascii="Times New Roman" w:hAnsi="Times New Roman" w:cs="Times New Roman" w:hint="eastAsia"/>
                <w:bCs/>
                <w:color w:val="000000" w:themeColor="text1"/>
                <w:lang w:val="ro-MD"/>
              </w:rPr>
              <w:t>ă</w:t>
            </w:r>
            <w:r w:rsidR="000473A8" w:rsidRPr="00C011B2">
              <w:rPr>
                <w:rFonts w:ascii="Times New Roman" w:hAnsi="Times New Roman" w:cs="Times New Roman"/>
                <w:bCs/>
                <w:color w:val="000000" w:themeColor="text1"/>
                <w:lang w:val="ro-MD"/>
              </w:rPr>
              <w:t xml:space="preserve">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 xml:space="preserve">n mod semnificativ elementele de risc componente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ntre o pozi</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ie din portofoliul de tranzac</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 xml:space="preserve">ionare </w:t>
            </w:r>
            <w:r w:rsidR="000473A8" w:rsidRPr="00C011B2">
              <w:rPr>
                <w:rFonts w:ascii="Times New Roman" w:hAnsi="Times New Roman" w:cs="Times New Roman" w:hint="eastAsia"/>
                <w:bCs/>
                <w:color w:val="000000" w:themeColor="text1"/>
                <w:lang w:val="ro-MD"/>
              </w:rPr>
              <w:t>ș</w:t>
            </w:r>
            <w:r w:rsidR="000473A8" w:rsidRPr="00C011B2">
              <w:rPr>
                <w:rFonts w:ascii="Times New Roman" w:hAnsi="Times New Roman" w:cs="Times New Roman"/>
                <w:bCs/>
                <w:color w:val="000000" w:themeColor="text1"/>
                <w:lang w:val="ro-MD"/>
              </w:rPr>
              <w:t>i una sau mai multe pozi</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ii din afara portofoliului de tranzac</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 xml:space="preserve">ionare sau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ntre dou</w:t>
            </w:r>
            <w:r w:rsidR="000473A8" w:rsidRPr="00C011B2">
              <w:rPr>
                <w:rFonts w:ascii="Times New Roman" w:hAnsi="Times New Roman" w:cs="Times New Roman" w:hint="eastAsia"/>
                <w:bCs/>
                <w:color w:val="000000" w:themeColor="text1"/>
                <w:lang w:val="ro-MD"/>
              </w:rPr>
              <w:t>ă</w:t>
            </w:r>
            <w:r w:rsidR="000473A8" w:rsidRPr="00C011B2">
              <w:rPr>
                <w:rFonts w:ascii="Times New Roman" w:hAnsi="Times New Roman" w:cs="Times New Roman"/>
                <w:bCs/>
                <w:color w:val="000000" w:themeColor="text1"/>
                <w:lang w:val="ro-MD"/>
              </w:rPr>
              <w:t xml:space="preserve"> birouri de tranzac</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ionare;</w:t>
            </w:r>
          </w:p>
        </w:tc>
        <w:tc>
          <w:tcPr>
            <w:tcW w:w="450" w:type="pct"/>
          </w:tcPr>
          <w:p w14:paraId="21B374DC" w14:textId="27609284" w:rsidR="000473A8"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7C96E26D" w14:textId="77777777" w:rsidR="000473A8" w:rsidRPr="00C011B2" w:rsidRDefault="000473A8" w:rsidP="00FB5B1C">
            <w:pPr>
              <w:spacing w:line="276" w:lineRule="auto"/>
              <w:jc w:val="both"/>
              <w:rPr>
                <w:rFonts w:ascii="Times New Roman" w:hAnsi="Times New Roman" w:cs="Times New Roman"/>
                <w:bCs/>
                <w:color w:val="000000" w:themeColor="text1"/>
                <w:lang w:val="ro-MD"/>
              </w:rPr>
            </w:pPr>
          </w:p>
        </w:tc>
      </w:tr>
      <w:tr w:rsidR="000473A8" w:rsidRPr="00C011B2" w14:paraId="38AEDEC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74AF0F" w14:textId="77777777" w:rsidR="000473A8" w:rsidRPr="00C011B2" w:rsidRDefault="000473A8" w:rsidP="000473A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1761047B" w14:textId="4147B219" w:rsidR="000473A8" w:rsidRPr="00C011B2" w:rsidRDefault="000473A8" w:rsidP="000473A8">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97.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obliga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referin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obliga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folosit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vederea stabilirii valorii de decontare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numerar a unui instrument financiar derivat de credit.</w:t>
            </w:r>
          </w:p>
        </w:tc>
        <w:tc>
          <w:tcPr>
            <w:tcW w:w="1692" w:type="pct"/>
            <w:shd w:val="clear" w:color="auto" w:fill="auto"/>
          </w:tcPr>
          <w:p w14:paraId="7FF5A6A4" w14:textId="25C6713D" w:rsidR="000473A8" w:rsidRPr="00C011B2" w:rsidRDefault="007C531C" w:rsidP="000473A8">
            <w:pPr>
              <w:spacing w:after="0" w:line="276" w:lineRule="auto"/>
              <w:jc w:val="both"/>
              <w:rPr>
                <w:rFonts w:ascii="Times New Roman" w:hAnsi="Times New Roman" w:cs="Times New Roman"/>
                <w:bCs/>
                <w:color w:val="000000" w:themeColor="text1"/>
                <w:lang w:val="ro-MD"/>
              </w:rPr>
            </w:pPr>
            <w:bookmarkStart w:id="23" w:name="_Hlk200468359"/>
            <w:r w:rsidRPr="00C011B2">
              <w:rPr>
                <w:rFonts w:ascii="Times New Roman" w:hAnsi="Times New Roman" w:cs="Times New Roman"/>
                <w:bCs/>
                <w:color w:val="000000" w:themeColor="text1"/>
                <w:lang w:val="ro-MD"/>
              </w:rPr>
              <w:t>5.9.</w:t>
            </w:r>
            <w:r w:rsidR="000473A8" w:rsidRPr="00C011B2">
              <w:rPr>
                <w:rFonts w:ascii="Times New Roman" w:hAnsi="Times New Roman" w:cs="Times New Roman"/>
                <w:bCs/>
                <w:color w:val="000000" w:themeColor="text1"/>
                <w:lang w:val="ro-MD"/>
              </w:rPr>
              <w:t xml:space="preserve"> </w:t>
            </w:r>
            <w:r w:rsidR="000473A8" w:rsidRPr="00C011B2">
              <w:rPr>
                <w:rFonts w:ascii="Times New Roman" w:hAnsi="Times New Roman" w:cs="Times New Roman" w:hint="eastAsia"/>
                <w:bCs/>
                <w:color w:val="000000" w:themeColor="text1"/>
                <w:lang w:val="ro-MD"/>
              </w:rPr>
              <w:t>„</w:t>
            </w:r>
            <w:r w:rsidR="000473A8" w:rsidRPr="00C011B2">
              <w:rPr>
                <w:rFonts w:ascii="Times New Roman" w:hAnsi="Times New Roman" w:cs="Times New Roman"/>
                <w:bCs/>
                <w:color w:val="000000" w:themeColor="text1"/>
                <w:lang w:val="ro-MD"/>
              </w:rPr>
              <w:t>obliga</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ie de referin</w:t>
            </w:r>
            <w:r w:rsidR="000473A8" w:rsidRPr="00C011B2">
              <w:rPr>
                <w:rFonts w:ascii="Times New Roman" w:hAnsi="Times New Roman" w:cs="Times New Roman" w:hint="eastAsia"/>
                <w:bCs/>
                <w:color w:val="000000" w:themeColor="text1"/>
                <w:lang w:val="ro-MD"/>
              </w:rPr>
              <w:t>ţă</w:t>
            </w:r>
            <w:r w:rsidR="000473A8" w:rsidRPr="00C011B2">
              <w:rPr>
                <w:rFonts w:ascii="Times New Roman" w:hAnsi="Times New Roman" w:cs="Times New Roman" w:hint="eastAsia"/>
                <w:bCs/>
                <w:color w:val="000000" w:themeColor="text1"/>
                <w:lang w:val="ro-MD"/>
              </w:rPr>
              <w:t>”</w:t>
            </w:r>
            <w:r w:rsidR="000473A8" w:rsidRPr="00C011B2">
              <w:rPr>
                <w:rFonts w:ascii="Times New Roman" w:hAnsi="Times New Roman" w:cs="Times New Roman"/>
                <w:bCs/>
                <w:color w:val="000000" w:themeColor="text1"/>
                <w:lang w:val="ro-MD"/>
              </w:rPr>
              <w:t xml:space="preserve">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nseamn</w:t>
            </w:r>
            <w:r w:rsidR="000473A8" w:rsidRPr="00C011B2">
              <w:rPr>
                <w:rFonts w:ascii="Times New Roman" w:hAnsi="Times New Roman" w:cs="Times New Roman" w:hint="eastAsia"/>
                <w:bCs/>
                <w:color w:val="000000" w:themeColor="text1"/>
                <w:lang w:val="ro-MD"/>
              </w:rPr>
              <w:t>ă</w:t>
            </w:r>
            <w:r w:rsidR="000473A8" w:rsidRPr="00C011B2">
              <w:rPr>
                <w:rFonts w:ascii="Times New Roman" w:hAnsi="Times New Roman" w:cs="Times New Roman"/>
                <w:bCs/>
                <w:color w:val="000000" w:themeColor="text1"/>
                <w:lang w:val="ro-MD"/>
              </w:rPr>
              <w:t xml:space="preserve"> o obliga</w:t>
            </w:r>
            <w:r w:rsidR="000473A8" w:rsidRPr="00C011B2">
              <w:rPr>
                <w:rFonts w:ascii="Times New Roman" w:hAnsi="Times New Roman" w:cs="Times New Roman" w:hint="eastAsia"/>
                <w:bCs/>
                <w:color w:val="000000" w:themeColor="text1"/>
                <w:lang w:val="ro-MD"/>
              </w:rPr>
              <w:t>ţ</w:t>
            </w:r>
            <w:r w:rsidR="000473A8" w:rsidRPr="00C011B2">
              <w:rPr>
                <w:rFonts w:ascii="Times New Roman" w:hAnsi="Times New Roman" w:cs="Times New Roman"/>
                <w:bCs/>
                <w:color w:val="000000" w:themeColor="text1"/>
                <w:lang w:val="ro-MD"/>
              </w:rPr>
              <w:t>ie folosit</w:t>
            </w:r>
            <w:r w:rsidR="000473A8" w:rsidRPr="00C011B2">
              <w:rPr>
                <w:rFonts w:ascii="Times New Roman" w:hAnsi="Times New Roman" w:cs="Times New Roman" w:hint="eastAsia"/>
                <w:bCs/>
                <w:color w:val="000000" w:themeColor="text1"/>
                <w:lang w:val="ro-MD"/>
              </w:rPr>
              <w:t>ă</w:t>
            </w:r>
            <w:r w:rsidR="000473A8" w:rsidRPr="00C011B2">
              <w:rPr>
                <w:rFonts w:ascii="Times New Roman" w:hAnsi="Times New Roman" w:cs="Times New Roman"/>
                <w:bCs/>
                <w:color w:val="000000" w:themeColor="text1"/>
                <w:lang w:val="ro-MD"/>
              </w:rPr>
              <w:t xml:space="preserve">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 xml:space="preserve">n vederea stabilirii valorii de decontare </w:t>
            </w:r>
            <w:r w:rsidR="000473A8" w:rsidRPr="00C011B2">
              <w:rPr>
                <w:rFonts w:ascii="Times New Roman" w:hAnsi="Times New Roman" w:cs="Times New Roman" w:hint="eastAsia"/>
                <w:bCs/>
                <w:color w:val="000000" w:themeColor="text1"/>
                <w:lang w:val="ro-MD"/>
              </w:rPr>
              <w:t>î</w:t>
            </w:r>
            <w:r w:rsidR="000473A8" w:rsidRPr="00C011B2">
              <w:rPr>
                <w:rFonts w:ascii="Times New Roman" w:hAnsi="Times New Roman" w:cs="Times New Roman"/>
                <w:bCs/>
                <w:color w:val="000000" w:themeColor="text1"/>
                <w:lang w:val="ro-MD"/>
              </w:rPr>
              <w:t>n numerar a unui instrument financiar derivat de credit</w:t>
            </w:r>
            <w:r w:rsidRPr="00C011B2">
              <w:rPr>
                <w:rFonts w:ascii="Times New Roman" w:hAnsi="Times New Roman" w:cs="Times New Roman"/>
                <w:bCs/>
                <w:color w:val="000000" w:themeColor="text1"/>
                <w:lang w:val="ro-MD"/>
              </w:rPr>
              <w:t>;</w:t>
            </w:r>
            <w:bookmarkEnd w:id="23"/>
          </w:p>
        </w:tc>
        <w:tc>
          <w:tcPr>
            <w:tcW w:w="450" w:type="pct"/>
          </w:tcPr>
          <w:p w14:paraId="0E06D81E" w14:textId="006CCDC3" w:rsidR="000473A8"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379DB829" w14:textId="77777777" w:rsidR="000473A8" w:rsidRPr="00C011B2" w:rsidRDefault="000473A8" w:rsidP="00FB5B1C">
            <w:pPr>
              <w:spacing w:line="276" w:lineRule="auto"/>
              <w:jc w:val="both"/>
              <w:rPr>
                <w:rFonts w:ascii="Times New Roman" w:hAnsi="Times New Roman" w:cs="Times New Roman"/>
                <w:bCs/>
                <w:color w:val="000000" w:themeColor="text1"/>
                <w:lang w:val="ro-MD"/>
              </w:rPr>
            </w:pPr>
          </w:p>
        </w:tc>
      </w:tr>
      <w:tr w:rsidR="000473A8" w:rsidRPr="00C011B2" w14:paraId="19F1E66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52E59F" w14:textId="5D8B6832" w:rsidR="000473A8" w:rsidRPr="00C011B2" w:rsidRDefault="000473A8" w:rsidP="00514D42">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139.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opera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iune de finan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are prin instrumente financiare</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rare, o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de dare sau luare cu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mprumut de titluri de valoare sau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rfuri sau o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w:t>
            </w:r>
            <w:r w:rsidR="00514D42"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creditare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marj</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tc>
        <w:tc>
          <w:tcPr>
            <w:tcW w:w="1692" w:type="pct"/>
            <w:shd w:val="clear" w:color="auto" w:fill="auto"/>
          </w:tcPr>
          <w:p w14:paraId="7E4002B6" w14:textId="48F2FCFD" w:rsidR="000473A8" w:rsidRPr="00C011B2" w:rsidRDefault="00A51DB2" w:rsidP="00FB5B1C">
            <w:pPr>
              <w:spacing w:after="0" w:line="276" w:lineRule="auto"/>
              <w:jc w:val="both"/>
              <w:rPr>
                <w:rFonts w:ascii="Times New Roman" w:hAnsi="Times New Roman" w:cs="Times New Roman"/>
                <w:bCs/>
                <w:color w:val="000000" w:themeColor="text1"/>
                <w:lang w:val="ro-MD"/>
              </w:rPr>
            </w:pPr>
            <w:bookmarkStart w:id="24" w:name="_Hlk200611229"/>
            <w:r w:rsidRPr="00C011B2">
              <w:rPr>
                <w:rFonts w:ascii="Times New Roman" w:hAnsi="Times New Roman" w:cs="Times New Roman"/>
                <w:bCs/>
                <w:color w:val="000000" w:themeColor="text1"/>
                <w:lang w:val="ro-MD"/>
              </w:rPr>
              <w:t>5.10.</w:t>
            </w:r>
            <w:r w:rsidR="00514D42" w:rsidRPr="00C011B2">
              <w:rPr>
                <w:rFonts w:ascii="Times New Roman" w:hAnsi="Times New Roman" w:cs="Times New Roman"/>
                <w:bCs/>
                <w:color w:val="000000" w:themeColor="text1"/>
                <w:lang w:val="ro-MD"/>
              </w:rPr>
              <w:t xml:space="preserve"> </w:t>
            </w:r>
            <w:r w:rsidR="00514D42" w:rsidRPr="00C011B2">
              <w:rPr>
                <w:rFonts w:ascii="Times New Roman" w:hAnsi="Times New Roman" w:cs="Times New Roman" w:hint="eastAsia"/>
                <w:bCs/>
                <w:color w:val="000000" w:themeColor="text1"/>
                <w:lang w:val="ro-MD"/>
              </w:rPr>
              <w:t>„</w:t>
            </w:r>
            <w:r w:rsidR="00514D42" w:rsidRPr="00C011B2">
              <w:rPr>
                <w:rFonts w:ascii="Times New Roman" w:hAnsi="Times New Roman" w:cs="Times New Roman"/>
                <w:bCs/>
                <w:color w:val="000000" w:themeColor="text1"/>
                <w:lang w:val="ro-MD"/>
              </w:rPr>
              <w:t>opera</w:t>
            </w:r>
            <w:r w:rsidR="00514D42" w:rsidRPr="00C011B2">
              <w:rPr>
                <w:rFonts w:ascii="Times New Roman" w:hAnsi="Times New Roman" w:cs="Times New Roman" w:hint="eastAsia"/>
                <w:bCs/>
                <w:color w:val="000000" w:themeColor="text1"/>
                <w:lang w:val="ro-MD"/>
              </w:rPr>
              <w:t>ţ</w:t>
            </w:r>
            <w:r w:rsidR="00514D42" w:rsidRPr="00C011B2">
              <w:rPr>
                <w:rFonts w:ascii="Times New Roman" w:hAnsi="Times New Roman" w:cs="Times New Roman"/>
                <w:bCs/>
                <w:color w:val="000000" w:themeColor="text1"/>
                <w:lang w:val="ro-MD"/>
              </w:rPr>
              <w:t>iune de finan</w:t>
            </w:r>
            <w:r w:rsidR="00514D42" w:rsidRPr="00C011B2">
              <w:rPr>
                <w:rFonts w:ascii="Times New Roman" w:hAnsi="Times New Roman" w:cs="Times New Roman" w:hint="eastAsia"/>
                <w:bCs/>
                <w:color w:val="000000" w:themeColor="text1"/>
                <w:lang w:val="ro-MD"/>
              </w:rPr>
              <w:t>ţ</w:t>
            </w:r>
            <w:r w:rsidR="00514D42" w:rsidRPr="00C011B2">
              <w:rPr>
                <w:rFonts w:ascii="Times New Roman" w:hAnsi="Times New Roman" w:cs="Times New Roman"/>
                <w:bCs/>
                <w:color w:val="000000" w:themeColor="text1"/>
                <w:lang w:val="ro-MD"/>
              </w:rPr>
              <w:t>are prin instrumente financiare</w:t>
            </w:r>
            <w:r w:rsidR="00514D42" w:rsidRPr="00C011B2">
              <w:rPr>
                <w:rFonts w:ascii="Times New Roman" w:hAnsi="Times New Roman" w:cs="Times New Roman" w:hint="eastAsia"/>
                <w:bCs/>
                <w:color w:val="000000" w:themeColor="text1"/>
                <w:lang w:val="ro-MD"/>
              </w:rPr>
              <w:t>”</w:t>
            </w:r>
            <w:r w:rsidR="00514D42" w:rsidRPr="00C011B2">
              <w:rPr>
                <w:rFonts w:ascii="Times New Roman" w:hAnsi="Times New Roman" w:cs="Times New Roman"/>
                <w:bCs/>
                <w:color w:val="000000" w:themeColor="text1"/>
                <w:lang w:val="ro-MD"/>
              </w:rPr>
              <w:t xml:space="preserve"> </w:t>
            </w:r>
            <w:r w:rsidR="00514D42" w:rsidRPr="00C011B2">
              <w:rPr>
                <w:rFonts w:ascii="Times New Roman" w:hAnsi="Times New Roman" w:cs="Times New Roman" w:hint="eastAsia"/>
                <w:bCs/>
                <w:color w:val="000000" w:themeColor="text1"/>
                <w:lang w:val="ro-MD"/>
              </w:rPr>
              <w:t>î</w:t>
            </w:r>
            <w:r w:rsidR="00514D42" w:rsidRPr="00C011B2">
              <w:rPr>
                <w:rFonts w:ascii="Times New Roman" w:hAnsi="Times New Roman" w:cs="Times New Roman"/>
                <w:bCs/>
                <w:color w:val="000000" w:themeColor="text1"/>
                <w:lang w:val="ro-MD"/>
              </w:rPr>
              <w:t>nseamn</w:t>
            </w:r>
            <w:r w:rsidR="00514D42" w:rsidRPr="00C011B2">
              <w:rPr>
                <w:rFonts w:ascii="Times New Roman" w:hAnsi="Times New Roman" w:cs="Times New Roman" w:hint="eastAsia"/>
                <w:bCs/>
                <w:color w:val="000000" w:themeColor="text1"/>
                <w:lang w:val="ro-MD"/>
              </w:rPr>
              <w:t>ă</w:t>
            </w:r>
            <w:r w:rsidR="00514D42" w:rsidRPr="00C011B2">
              <w:rPr>
                <w:rFonts w:ascii="Times New Roman" w:hAnsi="Times New Roman" w:cs="Times New Roman"/>
                <w:bCs/>
                <w:color w:val="000000" w:themeColor="text1"/>
                <w:lang w:val="ro-MD"/>
              </w:rPr>
              <w:t xml:space="preserve"> o tranzac</w:t>
            </w:r>
            <w:r w:rsidR="00514D42" w:rsidRPr="00C011B2">
              <w:rPr>
                <w:rFonts w:ascii="Times New Roman" w:hAnsi="Times New Roman" w:cs="Times New Roman" w:hint="eastAsia"/>
                <w:bCs/>
                <w:color w:val="000000" w:themeColor="text1"/>
                <w:lang w:val="ro-MD"/>
              </w:rPr>
              <w:t>ţ</w:t>
            </w:r>
            <w:r w:rsidR="00514D42" w:rsidRPr="00C011B2">
              <w:rPr>
                <w:rFonts w:ascii="Times New Roman" w:hAnsi="Times New Roman" w:cs="Times New Roman"/>
                <w:bCs/>
                <w:color w:val="000000" w:themeColor="text1"/>
                <w:lang w:val="ro-MD"/>
              </w:rPr>
              <w:t>ie de r</w:t>
            </w:r>
            <w:r w:rsidR="00514D42" w:rsidRPr="00C011B2">
              <w:rPr>
                <w:rFonts w:ascii="Times New Roman" w:hAnsi="Times New Roman" w:cs="Times New Roman" w:hint="eastAsia"/>
                <w:bCs/>
                <w:color w:val="000000" w:themeColor="text1"/>
                <w:lang w:val="ro-MD"/>
              </w:rPr>
              <w:t>ă</w:t>
            </w:r>
            <w:r w:rsidR="00514D42" w:rsidRPr="00C011B2">
              <w:rPr>
                <w:rFonts w:ascii="Times New Roman" w:hAnsi="Times New Roman" w:cs="Times New Roman"/>
                <w:bCs/>
                <w:color w:val="000000" w:themeColor="text1"/>
                <w:lang w:val="ro-MD"/>
              </w:rPr>
              <w:t>scump</w:t>
            </w:r>
            <w:r w:rsidR="00514D42" w:rsidRPr="00C011B2">
              <w:rPr>
                <w:rFonts w:ascii="Times New Roman" w:hAnsi="Times New Roman" w:cs="Times New Roman" w:hint="eastAsia"/>
                <w:bCs/>
                <w:color w:val="000000" w:themeColor="text1"/>
                <w:lang w:val="ro-MD"/>
              </w:rPr>
              <w:t>ă</w:t>
            </w:r>
            <w:r w:rsidR="00514D42" w:rsidRPr="00C011B2">
              <w:rPr>
                <w:rFonts w:ascii="Times New Roman" w:hAnsi="Times New Roman" w:cs="Times New Roman"/>
                <w:bCs/>
                <w:color w:val="000000" w:themeColor="text1"/>
                <w:lang w:val="ro-MD"/>
              </w:rPr>
              <w:t>rare, o tranzac</w:t>
            </w:r>
            <w:r w:rsidR="00514D42" w:rsidRPr="00C011B2">
              <w:rPr>
                <w:rFonts w:ascii="Times New Roman" w:hAnsi="Times New Roman" w:cs="Times New Roman" w:hint="eastAsia"/>
                <w:bCs/>
                <w:color w:val="000000" w:themeColor="text1"/>
                <w:lang w:val="ro-MD"/>
              </w:rPr>
              <w:t>ţ</w:t>
            </w:r>
            <w:r w:rsidR="00514D42" w:rsidRPr="00C011B2">
              <w:rPr>
                <w:rFonts w:ascii="Times New Roman" w:hAnsi="Times New Roman" w:cs="Times New Roman"/>
                <w:bCs/>
                <w:color w:val="000000" w:themeColor="text1"/>
                <w:lang w:val="ro-MD"/>
              </w:rPr>
              <w:t xml:space="preserve">ie de dare sau luare cu </w:t>
            </w:r>
            <w:r w:rsidR="00514D42" w:rsidRPr="00C011B2">
              <w:rPr>
                <w:rFonts w:ascii="Times New Roman" w:hAnsi="Times New Roman" w:cs="Times New Roman" w:hint="eastAsia"/>
                <w:bCs/>
                <w:color w:val="000000" w:themeColor="text1"/>
                <w:lang w:val="ro-MD"/>
              </w:rPr>
              <w:t>î</w:t>
            </w:r>
            <w:r w:rsidR="00514D42" w:rsidRPr="00C011B2">
              <w:rPr>
                <w:rFonts w:ascii="Times New Roman" w:hAnsi="Times New Roman" w:cs="Times New Roman"/>
                <w:bCs/>
                <w:color w:val="000000" w:themeColor="text1"/>
                <w:lang w:val="ro-MD"/>
              </w:rPr>
              <w:t>mprumut de titluri de valoare sau m</w:t>
            </w:r>
            <w:r w:rsidR="00514D42" w:rsidRPr="00C011B2">
              <w:rPr>
                <w:rFonts w:ascii="Times New Roman" w:hAnsi="Times New Roman" w:cs="Times New Roman" w:hint="eastAsia"/>
                <w:bCs/>
                <w:color w:val="000000" w:themeColor="text1"/>
                <w:lang w:val="ro-MD"/>
              </w:rPr>
              <w:t>ă</w:t>
            </w:r>
            <w:r w:rsidR="00514D42" w:rsidRPr="00C011B2">
              <w:rPr>
                <w:rFonts w:ascii="Times New Roman" w:hAnsi="Times New Roman" w:cs="Times New Roman"/>
                <w:bCs/>
                <w:color w:val="000000" w:themeColor="text1"/>
                <w:lang w:val="ro-MD"/>
              </w:rPr>
              <w:t>rfuri sau o tranzac</w:t>
            </w:r>
            <w:r w:rsidR="00514D42" w:rsidRPr="00C011B2">
              <w:rPr>
                <w:rFonts w:ascii="Times New Roman" w:hAnsi="Times New Roman" w:cs="Times New Roman" w:hint="eastAsia"/>
                <w:bCs/>
                <w:color w:val="000000" w:themeColor="text1"/>
                <w:lang w:val="ro-MD"/>
              </w:rPr>
              <w:t>ţ</w:t>
            </w:r>
            <w:r w:rsidR="00514D42" w:rsidRPr="00C011B2">
              <w:rPr>
                <w:rFonts w:ascii="Times New Roman" w:hAnsi="Times New Roman" w:cs="Times New Roman"/>
                <w:bCs/>
                <w:color w:val="000000" w:themeColor="text1"/>
                <w:lang w:val="ro-MD"/>
              </w:rPr>
              <w:t xml:space="preserve">ie de creditare </w:t>
            </w:r>
            <w:r w:rsidR="00514D42" w:rsidRPr="00C011B2">
              <w:rPr>
                <w:rFonts w:ascii="Times New Roman" w:hAnsi="Times New Roman" w:cs="Times New Roman" w:hint="eastAsia"/>
                <w:bCs/>
                <w:color w:val="000000" w:themeColor="text1"/>
                <w:lang w:val="ro-MD"/>
              </w:rPr>
              <w:t>î</w:t>
            </w:r>
            <w:r w:rsidR="00514D42" w:rsidRPr="00C011B2">
              <w:rPr>
                <w:rFonts w:ascii="Times New Roman" w:hAnsi="Times New Roman" w:cs="Times New Roman"/>
                <w:bCs/>
                <w:color w:val="000000" w:themeColor="text1"/>
                <w:lang w:val="ro-MD"/>
              </w:rPr>
              <w:t>n marj</w:t>
            </w:r>
            <w:r w:rsidR="00514D42" w:rsidRPr="00C011B2">
              <w:rPr>
                <w:rFonts w:ascii="Times New Roman" w:hAnsi="Times New Roman" w:cs="Times New Roman" w:hint="eastAsia"/>
                <w:bCs/>
                <w:color w:val="000000" w:themeColor="text1"/>
                <w:lang w:val="ro-MD"/>
              </w:rPr>
              <w:t>ă</w:t>
            </w:r>
            <w:r w:rsidR="00514D42" w:rsidRPr="00C011B2">
              <w:rPr>
                <w:rFonts w:ascii="Times New Roman" w:hAnsi="Times New Roman" w:cs="Times New Roman"/>
                <w:bCs/>
                <w:color w:val="000000" w:themeColor="text1"/>
                <w:lang w:val="ro-MD"/>
              </w:rPr>
              <w:t>;</w:t>
            </w:r>
            <w:bookmarkEnd w:id="24"/>
          </w:p>
        </w:tc>
        <w:tc>
          <w:tcPr>
            <w:tcW w:w="450" w:type="pct"/>
          </w:tcPr>
          <w:p w14:paraId="78B50D47" w14:textId="4E2DA763" w:rsidR="000473A8"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4CB6516" w14:textId="77777777" w:rsidR="000473A8" w:rsidRPr="00C011B2" w:rsidRDefault="000473A8" w:rsidP="00FB5B1C">
            <w:pPr>
              <w:spacing w:line="276" w:lineRule="auto"/>
              <w:jc w:val="both"/>
              <w:rPr>
                <w:rFonts w:ascii="Times New Roman" w:hAnsi="Times New Roman" w:cs="Times New Roman"/>
                <w:bCs/>
                <w:color w:val="000000" w:themeColor="text1"/>
                <w:lang w:val="ro-MD"/>
              </w:rPr>
            </w:pPr>
          </w:p>
        </w:tc>
      </w:tr>
      <w:tr w:rsidR="00FB5B1C" w:rsidRPr="00C011B2" w14:paraId="0C08B96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C11450" w14:textId="4E6E230F"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141. „risc de piaţă” înseamnă riscul de pierderi rezultate din variaţiile preţurilor de piaţă, inclusiv ale cursurilor de schimb valutar sau ale preţurilor mărfurilor;</w:t>
            </w:r>
          </w:p>
        </w:tc>
        <w:tc>
          <w:tcPr>
            <w:tcW w:w="1692" w:type="pct"/>
            <w:shd w:val="clear" w:color="auto" w:fill="auto"/>
          </w:tcPr>
          <w:p w14:paraId="32352F6F" w14:textId="32A30F2C" w:rsidR="00FB5B1C" w:rsidRPr="00C011B2" w:rsidRDefault="00FB5B1C" w:rsidP="00FB5B1C">
            <w:pPr>
              <w:spacing w:after="0" w:line="276" w:lineRule="auto"/>
              <w:jc w:val="both"/>
              <w:rPr>
                <w:rFonts w:ascii="Times New Roman" w:hAnsi="Times New Roman" w:cs="Times New Roman"/>
                <w:bCs/>
                <w:color w:val="000000" w:themeColor="text1"/>
                <w:lang w:val="ro-RO"/>
              </w:rPr>
            </w:pPr>
            <w:commentRangeStart w:id="25"/>
            <w:r w:rsidRPr="00C011B2">
              <w:rPr>
                <w:rFonts w:ascii="Times New Roman" w:hAnsi="Times New Roman" w:cs="Times New Roman"/>
                <w:bCs/>
                <w:color w:val="000000" w:themeColor="text1"/>
                <w:lang w:val="ro-MD"/>
              </w:rPr>
              <w:t xml:space="preserve">141. </w:t>
            </w:r>
            <w:bookmarkStart w:id="26" w:name="_Hlk200625749"/>
            <w:r w:rsidRPr="00C011B2">
              <w:rPr>
                <w:rFonts w:ascii="Times New Roman" w:hAnsi="Times New Roman" w:cs="Times New Roman"/>
                <w:bCs/>
                <w:color w:val="000000" w:themeColor="text1"/>
                <w:lang w:val="ro-MD"/>
              </w:rPr>
              <w:t xml:space="preserve">„risc de piaţă” </w:t>
            </w:r>
            <w:commentRangeEnd w:id="25"/>
            <w:r w:rsidR="00514D42" w:rsidRPr="00C011B2">
              <w:rPr>
                <w:rStyle w:val="CommentReference"/>
              </w:rPr>
              <w:commentReference w:id="25"/>
            </w:r>
            <w:r w:rsidRPr="00C011B2">
              <w:rPr>
                <w:rFonts w:ascii="Times New Roman" w:hAnsi="Times New Roman" w:cs="Times New Roman"/>
                <w:bCs/>
                <w:color w:val="000000" w:themeColor="text1"/>
                <w:lang w:val="ro-MD"/>
              </w:rPr>
              <w:t>înseamnă riscul de pierderi rezultate din variaţiile preţurilor de piaţă, inclusiv ale cursurilor de schimb valutar sau ale preţurilor mărfurilor;</w:t>
            </w:r>
            <w:bookmarkEnd w:id="26"/>
          </w:p>
        </w:tc>
        <w:tc>
          <w:tcPr>
            <w:tcW w:w="450" w:type="pct"/>
          </w:tcPr>
          <w:p w14:paraId="3D697E28" w14:textId="4B6D9B1D"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13198D4A" w14:textId="6BA56BAA" w:rsidR="00FB5B1C" w:rsidRPr="00C011B2" w:rsidRDefault="00AF0DB0"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Definiție modificată în Regulamentul nr.322/2018</w:t>
            </w:r>
          </w:p>
        </w:tc>
      </w:tr>
      <w:tr w:rsidR="00FB5B1C" w:rsidRPr="00C011B2" w14:paraId="6833AC0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CFA450" w14:textId="4FD5CC0C" w:rsidR="00FB5B1C" w:rsidRPr="00C011B2" w:rsidRDefault="00FB5B1C" w:rsidP="00FB5B1C">
            <w:pPr>
              <w:spacing w:after="0" w:line="276" w:lineRule="auto"/>
              <w:jc w:val="both"/>
              <w:rPr>
                <w:rFonts w:ascii="Times New Roman" w:hAnsi="Times New Roman" w:cs="Times New Roman"/>
                <w:bCs/>
                <w:color w:val="000000" w:themeColor="text1"/>
                <w:lang w:val="ro-MD"/>
              </w:rPr>
            </w:pPr>
            <w:bookmarkStart w:id="27" w:name="_Hlk191458623"/>
            <w:r w:rsidRPr="00C011B2">
              <w:rPr>
                <w:rFonts w:ascii="Times New Roman" w:hAnsi="Times New Roman" w:cs="Times New Roman"/>
                <w:bCs/>
                <w:color w:val="000000" w:themeColor="text1"/>
                <w:lang w:val="ro-MD"/>
              </w:rPr>
              <w:t xml:space="preserve">142.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risc valutar</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riscul de pierderi rezultate din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cursurilor de schimb valutar;</w:t>
            </w:r>
          </w:p>
        </w:tc>
        <w:tc>
          <w:tcPr>
            <w:tcW w:w="1692" w:type="pct"/>
            <w:shd w:val="clear" w:color="auto" w:fill="auto"/>
          </w:tcPr>
          <w:p w14:paraId="67DF9742" w14:textId="0D64D58E" w:rsidR="00FB5B1C" w:rsidRPr="00C011B2" w:rsidRDefault="00CD6FDD" w:rsidP="00FB5B1C">
            <w:pPr>
              <w:spacing w:after="0" w:line="276" w:lineRule="auto"/>
              <w:jc w:val="both"/>
              <w:rPr>
                <w:rFonts w:ascii="Times New Roman" w:hAnsi="Times New Roman" w:cs="Times New Roman"/>
                <w:bCs/>
                <w:color w:val="000000" w:themeColor="text1"/>
                <w:lang w:val="ro-MD"/>
              </w:rPr>
            </w:pPr>
            <w:bookmarkStart w:id="28" w:name="_Hlk200614096"/>
            <w:r w:rsidRPr="00C011B2">
              <w:rPr>
                <w:rFonts w:ascii="Times New Roman" w:hAnsi="Times New Roman" w:cs="Times New Roman"/>
                <w:bCs/>
                <w:color w:val="000000" w:themeColor="text1"/>
                <w:lang w:val="ro-MD"/>
              </w:rPr>
              <w:t>5.15.</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risc valutar</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nseamn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riscul de pierderi rezultate din varia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cursurilor de schimb valutar;</w:t>
            </w:r>
            <w:bookmarkEnd w:id="28"/>
          </w:p>
        </w:tc>
        <w:tc>
          <w:tcPr>
            <w:tcW w:w="450" w:type="pct"/>
          </w:tcPr>
          <w:p w14:paraId="07BAA51C" w14:textId="5211A127"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1E5CC664"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01938B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78DD99" w14:textId="1F2C85C1"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Arial" w:hAnsi="Arial" w:cs="Arial"/>
                <w:b/>
                <w:bCs/>
                <w:sz w:val="19"/>
                <w:szCs w:val="19"/>
                <w:lang w:val="ro-MD"/>
              </w:rPr>
              <w:t>▼</w:t>
            </w:r>
            <w:r w:rsidRPr="00C011B2">
              <w:rPr>
                <w:rFonts w:ascii="TimesNewRomanPS-BoldMT2" w:hAnsi="TimesNewRomanPS-BoldMT2" w:cs="TimesNewRomanPS-BoldMT2"/>
                <w:b/>
                <w:bCs/>
                <w:sz w:val="19"/>
                <w:szCs w:val="19"/>
                <w:lang w:val="ro-MD"/>
              </w:rPr>
              <w:t>M8</w:t>
            </w:r>
          </w:p>
          <w:p w14:paraId="4859F649" w14:textId="27766120"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143.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risc de marf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riscul de pierderi rezultate din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urilor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rfurilor;</w:t>
            </w:r>
          </w:p>
        </w:tc>
        <w:tc>
          <w:tcPr>
            <w:tcW w:w="1692" w:type="pct"/>
            <w:shd w:val="clear" w:color="auto" w:fill="auto"/>
          </w:tcPr>
          <w:p w14:paraId="3E4A3C5D" w14:textId="6EE36907" w:rsidR="00FB5B1C" w:rsidRPr="00C011B2" w:rsidDel="00567C92" w:rsidRDefault="00CD6FDD" w:rsidP="00FB5B1C">
            <w:pPr>
              <w:spacing w:after="0" w:line="276" w:lineRule="auto"/>
              <w:jc w:val="both"/>
              <w:rPr>
                <w:rFonts w:ascii="Times New Roman" w:hAnsi="Times New Roman" w:cs="Times New Roman"/>
                <w:bCs/>
                <w:color w:val="000000" w:themeColor="text1"/>
                <w:lang w:val="ro-MD"/>
              </w:rPr>
            </w:pPr>
            <w:bookmarkStart w:id="29" w:name="_Hlk200613966"/>
            <w:r w:rsidRPr="00C011B2">
              <w:rPr>
                <w:rFonts w:ascii="Times New Roman" w:hAnsi="Times New Roman" w:cs="Times New Roman"/>
                <w:bCs/>
                <w:color w:val="000000" w:themeColor="text1"/>
                <w:lang w:val="ro-MD"/>
              </w:rPr>
              <w:t>5.14.</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risc de marf</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nseamn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riscul de pierderi rezultate din varia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pre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urilor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rfurilor;</w:t>
            </w:r>
            <w:bookmarkEnd w:id="29"/>
          </w:p>
        </w:tc>
        <w:tc>
          <w:tcPr>
            <w:tcW w:w="450" w:type="pct"/>
          </w:tcPr>
          <w:p w14:paraId="40FAA090" w14:textId="152AB568"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9EE99EA"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4FC28DF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A865B7" w14:textId="7267D9C5" w:rsidR="00FB5B1C" w:rsidRPr="00C011B2" w:rsidRDefault="00FB5B1C" w:rsidP="00FB5B1C">
            <w:pPr>
              <w:spacing w:after="0" w:line="276" w:lineRule="auto"/>
              <w:jc w:val="both"/>
              <w:rPr>
                <w:rFonts w:ascii="Times New Roman" w:hAnsi="Times New Roman" w:cs="Times New Roman"/>
                <w:bCs/>
                <w:color w:val="000000" w:themeColor="text1"/>
                <w:lang w:val="ro-MD"/>
              </w:rPr>
            </w:pPr>
            <w:bookmarkStart w:id="30" w:name="_Hlk193444103"/>
            <w:r w:rsidRPr="00C011B2">
              <w:rPr>
                <w:rFonts w:ascii="Arial" w:hAnsi="Arial" w:cs="Arial"/>
                <w:b/>
                <w:bCs/>
                <w:sz w:val="19"/>
                <w:szCs w:val="19"/>
                <w:lang w:val="ro-MD"/>
              </w:rPr>
              <w:t>▼</w:t>
            </w:r>
            <w:r w:rsidRPr="00C011B2">
              <w:rPr>
                <w:rFonts w:ascii="TimesNewRomanPS-BoldMT2" w:hAnsi="TimesNewRomanPS-BoldMT2" w:cs="TimesNewRomanPS-BoldMT2"/>
                <w:b/>
                <w:bCs/>
                <w:sz w:val="19"/>
                <w:szCs w:val="19"/>
                <w:lang w:val="ro-MD"/>
              </w:rPr>
              <w:t>M17</w:t>
            </w:r>
          </w:p>
          <w:p w14:paraId="4807EF91" w14:textId="3EE1B34D"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144.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nseamn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 grup de dealeri clar identificat, care este creat de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articolul 104b alineatul (1) pentru a gestiona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mpreun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 portofoliu 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alineatele (5)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(6) de la articolul respectiv,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w:t>
            </w:r>
          </w:p>
          <w:p w14:paraId="4D9A6262" w14:textId="6BB2A145"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o strategie de afaceri bine definit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coerent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care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desf</w:t>
            </w:r>
            <w:r w:rsidRPr="00C011B2">
              <w:rPr>
                <w:rFonts w:ascii="Times New Roman" w:hAnsi="Times New Roman" w:cs="Times New Roman" w:hint="eastAsia"/>
                <w:bCs/>
                <w:color w:val="000000" w:themeColor="text1"/>
                <w:lang w:val="ro-MD"/>
              </w:rPr>
              <w:t>ăș</w:t>
            </w:r>
            <w:r w:rsidRPr="00C011B2">
              <w:rPr>
                <w:rFonts w:ascii="Times New Roman" w:hAnsi="Times New Roman" w:cs="Times New Roman"/>
                <w:bCs/>
                <w:color w:val="000000" w:themeColor="text1"/>
                <w:lang w:val="ro-MD"/>
              </w:rPr>
              <w:t>oar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activitatea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cadrul aceleia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structuri de gestionare a riscurilor;</w:t>
            </w:r>
          </w:p>
        </w:tc>
        <w:tc>
          <w:tcPr>
            <w:tcW w:w="1692" w:type="pct"/>
            <w:shd w:val="clear" w:color="auto" w:fill="auto"/>
          </w:tcPr>
          <w:p w14:paraId="36BD3892" w14:textId="6910C654" w:rsidR="00FB5B1C" w:rsidRPr="00C011B2" w:rsidRDefault="005F4788" w:rsidP="00FB5B1C">
            <w:pPr>
              <w:spacing w:after="0" w:line="276" w:lineRule="auto"/>
              <w:jc w:val="both"/>
              <w:rPr>
                <w:rFonts w:ascii="Times New Roman" w:hAnsi="Times New Roman" w:cs="Times New Roman"/>
                <w:bCs/>
                <w:color w:val="000000" w:themeColor="text1"/>
                <w:lang w:val="ro-MD"/>
              </w:rPr>
            </w:pPr>
            <w:bookmarkStart w:id="31" w:name="_Hlk200466717"/>
            <w:r w:rsidRPr="00C011B2">
              <w:rPr>
                <w:rFonts w:ascii="Times New Roman" w:hAnsi="Times New Roman" w:cs="Times New Roman"/>
                <w:bCs/>
                <w:color w:val="000000" w:themeColor="text1"/>
                <w:lang w:val="ro-MD"/>
              </w:rPr>
              <w:t>5.4.</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birou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nseamn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un grup de dealeri clar identificat, care este creat de </w:t>
            </w:r>
            <w:r w:rsidR="00781056"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conformitate cu </w:t>
            </w:r>
            <w:r w:rsidR="00880EF6" w:rsidRPr="00C011B2">
              <w:rPr>
                <w:rFonts w:ascii="Times New Roman" w:hAnsi="Times New Roman" w:cs="Times New Roman"/>
                <w:bCs/>
                <w:color w:val="000000" w:themeColor="text1"/>
                <w:lang w:val="ro-MD"/>
              </w:rPr>
              <w:t>pct.32</w:t>
            </w:r>
            <w:r w:rsidR="00FB5B1C" w:rsidRPr="00C011B2">
              <w:rPr>
                <w:rFonts w:ascii="Times New Roman" w:hAnsi="Times New Roman" w:cs="Times New Roman"/>
                <w:bCs/>
                <w:color w:val="000000" w:themeColor="text1"/>
                <w:lang w:val="ro-MD"/>
              </w:rPr>
              <w:t xml:space="preserve"> pentru a gestiona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mpreun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un portofoliu de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sau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din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00880EF6" w:rsidRPr="00C011B2">
              <w:rPr>
                <w:rFonts w:ascii="Times New Roman" w:hAnsi="Times New Roman" w:cs="Times New Roman"/>
                <w:bCs/>
                <w:color w:val="000000" w:themeColor="text1"/>
                <w:lang w:val="ro-MD"/>
              </w:rPr>
              <w:t>pct.36 și 37</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conformitate cu</w:t>
            </w:r>
            <w:r w:rsidR="00781056"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bCs/>
                <w:color w:val="000000" w:themeColor="text1"/>
                <w:lang w:val="ro-MD"/>
              </w:rPr>
              <w:t>o strategie de afaceri bine definit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coerent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 xml:space="preserve">i care </w:t>
            </w:r>
            <w:r w:rsidR="00FB5B1C" w:rsidRPr="00C011B2">
              <w:rPr>
                <w:rFonts w:ascii="Times New Roman" w:hAnsi="Times New Roman" w:cs="Times New Roman" w:hint="eastAsia"/>
                <w:bCs/>
                <w:color w:val="000000" w:themeColor="text1"/>
                <w:lang w:val="ro-MD"/>
              </w:rPr>
              <w:t>îș</w:t>
            </w:r>
            <w:r w:rsidR="00FB5B1C" w:rsidRPr="00C011B2">
              <w:rPr>
                <w:rFonts w:ascii="Times New Roman" w:hAnsi="Times New Roman" w:cs="Times New Roman"/>
                <w:bCs/>
                <w:color w:val="000000" w:themeColor="text1"/>
                <w:lang w:val="ro-MD"/>
              </w:rPr>
              <w:t>i desf</w:t>
            </w:r>
            <w:r w:rsidR="00FB5B1C" w:rsidRPr="00C011B2">
              <w:rPr>
                <w:rFonts w:ascii="Times New Roman" w:hAnsi="Times New Roman" w:cs="Times New Roman" w:hint="eastAsia"/>
                <w:bCs/>
                <w:color w:val="000000" w:themeColor="text1"/>
                <w:lang w:val="ro-MD"/>
              </w:rPr>
              <w:t>ăș</w:t>
            </w:r>
            <w:r w:rsidR="00FB5B1C" w:rsidRPr="00C011B2">
              <w:rPr>
                <w:rFonts w:ascii="Times New Roman" w:hAnsi="Times New Roman" w:cs="Times New Roman"/>
                <w:bCs/>
                <w:color w:val="000000" w:themeColor="text1"/>
                <w:lang w:val="ro-MD"/>
              </w:rPr>
              <w:t>oar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activitatea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cadrul aceleia</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structuri de gestionare a riscurilor;</w:t>
            </w:r>
            <w:bookmarkEnd w:id="31"/>
          </w:p>
        </w:tc>
        <w:tc>
          <w:tcPr>
            <w:tcW w:w="450" w:type="pct"/>
          </w:tcPr>
          <w:p w14:paraId="14301341" w14:textId="19DECB9C"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135F72C4" w14:textId="7637B5B6" w:rsidR="00FB5B1C" w:rsidRPr="00C011B2" w:rsidRDefault="00FB5B1C" w:rsidP="00FB5B1C">
            <w:pPr>
              <w:spacing w:line="276" w:lineRule="auto"/>
              <w:jc w:val="both"/>
              <w:rPr>
                <w:rFonts w:ascii="Times New Roman" w:hAnsi="Times New Roman" w:cs="Times New Roman"/>
                <w:bCs/>
                <w:color w:val="000000" w:themeColor="text1"/>
                <w:lang w:val="ro-MD"/>
              </w:rPr>
            </w:pPr>
          </w:p>
        </w:tc>
      </w:tr>
      <w:bookmarkEnd w:id="30"/>
      <w:bookmarkEnd w:id="27"/>
      <w:bookmarkEnd w:id="9"/>
      <w:tr w:rsidR="00FB5B1C" w:rsidRPr="00FA7D23" w14:paraId="3429D76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9A6E5ED" w14:textId="77777777" w:rsidR="00FB5B1C" w:rsidRPr="00C011B2" w:rsidRDefault="00FB5B1C" w:rsidP="00FB5B1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
                <w:bCs/>
                <w:i/>
                <w:iCs/>
                <w:color w:val="000000" w:themeColor="text1"/>
                <w:lang w:val="ro-MD"/>
              </w:rPr>
              <w:t xml:space="preserve">▼M8 </w:t>
            </w:r>
            <w:r w:rsidRPr="00C011B2">
              <w:rPr>
                <w:rFonts w:ascii="Times New Roman" w:hAnsi="Times New Roman" w:cs="Times New Roman"/>
                <w:bCs/>
                <w:i/>
                <w:iCs/>
                <w:color w:val="000000" w:themeColor="text1"/>
                <w:lang w:val="ro-MD"/>
              </w:rPr>
              <w:t>__________</w:t>
            </w:r>
          </w:p>
          <w:p w14:paraId="7F9EA43E" w14:textId="77777777" w:rsidR="00FB5B1C" w:rsidRPr="00C011B2" w:rsidRDefault="00FB5B1C" w:rsidP="00FB5B1C">
            <w:pPr>
              <w:spacing w:after="0" w:line="276" w:lineRule="auto"/>
              <w:jc w:val="both"/>
              <w:rPr>
                <w:rFonts w:ascii="Times New Roman" w:hAnsi="Times New Roman" w:cs="Times New Roman"/>
                <w:b/>
                <w:bCs/>
                <w:i/>
                <w:iCs/>
                <w:color w:val="000000" w:themeColor="text1"/>
                <w:lang w:val="ro-MD"/>
              </w:rPr>
            </w:pPr>
            <w:r w:rsidRPr="00C011B2">
              <w:rPr>
                <w:rFonts w:ascii="Times New Roman" w:hAnsi="Times New Roman" w:cs="Times New Roman"/>
                <w:b/>
                <w:bCs/>
                <w:i/>
                <w:iCs/>
                <w:color w:val="000000" w:themeColor="text1"/>
                <w:lang w:val="ro-MD"/>
              </w:rPr>
              <w:t>▼C2</w:t>
            </w:r>
          </w:p>
          <w:p w14:paraId="515D665D" w14:textId="509F0564" w:rsidR="00FB5B1C" w:rsidRPr="00C011B2" w:rsidRDefault="00FB5B1C" w:rsidP="00FB5B1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CAPITOLUL 3</w:t>
            </w:r>
          </w:p>
          <w:p w14:paraId="4FE9A6E7" w14:textId="072CD82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i/>
                <w:iCs/>
                <w:color w:val="000000" w:themeColor="text1"/>
                <w:lang w:val="ro-MD"/>
              </w:rPr>
              <w:t>Portofoliul de tranzacţionare</w:t>
            </w:r>
          </w:p>
        </w:tc>
        <w:tc>
          <w:tcPr>
            <w:tcW w:w="1692" w:type="pct"/>
            <w:shd w:val="clear" w:color="auto" w:fill="auto"/>
          </w:tcPr>
          <w:p w14:paraId="51B4CB4D" w14:textId="4CB56F07" w:rsidR="00FB5B1C" w:rsidRPr="00C011B2" w:rsidRDefault="00A96F83" w:rsidP="00FB5B1C">
            <w:pPr>
              <w:spacing w:after="0" w:line="276" w:lineRule="auto"/>
              <w:jc w:val="both"/>
              <w:rPr>
                <w:rFonts w:ascii="Times New Roman" w:hAnsi="Times New Roman" w:cs="Times New Roman"/>
                <w:bCs/>
                <w:color w:val="000000" w:themeColor="text1"/>
                <w:lang w:val="ro-RO"/>
              </w:rPr>
            </w:pPr>
            <w:bookmarkStart w:id="32" w:name="_Hlk200704340"/>
            <w:r w:rsidRPr="00C011B2">
              <w:rPr>
                <w:rFonts w:ascii="Times New Roman" w:hAnsi="Times New Roman" w:cs="Times New Roman"/>
                <w:b/>
                <w:bCs/>
                <w:i/>
                <w:iCs/>
                <w:color w:val="000000" w:themeColor="text1"/>
                <w:lang w:val="ro-MD"/>
              </w:rPr>
              <w:t>Capitolul III PORTOFOLIUL DE TRANZACŢIONARE</w:t>
            </w:r>
            <w:bookmarkEnd w:id="32"/>
          </w:p>
        </w:tc>
        <w:tc>
          <w:tcPr>
            <w:tcW w:w="450" w:type="pct"/>
          </w:tcPr>
          <w:p w14:paraId="1FE82B95"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28DCA81B"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4FD56D0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366232" w14:textId="77777777" w:rsidR="00FB5B1C" w:rsidRPr="00C011B2" w:rsidRDefault="00FB5B1C" w:rsidP="00FB5B1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lastRenderedPageBreak/>
              <w:t>Articolul 102</w:t>
            </w:r>
          </w:p>
          <w:p w14:paraId="24253AEF" w14:textId="5461E2B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Cerinţe pentru portofoliul de tranzacţionare</w:t>
            </w:r>
          </w:p>
        </w:tc>
        <w:tc>
          <w:tcPr>
            <w:tcW w:w="1692" w:type="pct"/>
            <w:shd w:val="clear" w:color="auto" w:fill="auto"/>
          </w:tcPr>
          <w:p w14:paraId="43529FE4" w14:textId="00AFD3E0" w:rsidR="00FB5B1C" w:rsidRPr="00C011B2" w:rsidRDefault="00374DF3" w:rsidP="00FB5B1C">
            <w:pPr>
              <w:spacing w:after="0" w:line="276" w:lineRule="auto"/>
              <w:jc w:val="both"/>
              <w:rPr>
                <w:rFonts w:ascii="Times New Roman" w:hAnsi="Times New Roman" w:cs="Times New Roman"/>
                <w:bCs/>
                <w:color w:val="000000" w:themeColor="text1"/>
                <w:lang w:val="ro-MD"/>
              </w:rPr>
            </w:pPr>
            <w:bookmarkStart w:id="33" w:name="_Hlk200705315"/>
            <w:r w:rsidRPr="00C011B2">
              <w:rPr>
                <w:rFonts w:ascii="Times New Roman" w:hAnsi="Times New Roman" w:cs="Times New Roman"/>
                <w:bCs/>
                <w:i/>
                <w:iCs/>
                <w:color w:val="000000" w:themeColor="text1"/>
                <w:lang w:val="ro-MD"/>
              </w:rPr>
              <w:t>Secţiunea 1</w:t>
            </w:r>
            <w:r w:rsidR="00DA56D5" w:rsidRPr="00C011B2">
              <w:rPr>
                <w:rFonts w:ascii="Times New Roman" w:hAnsi="Times New Roman" w:cs="Times New Roman"/>
                <w:bCs/>
                <w:i/>
                <w:iCs/>
                <w:color w:val="000000" w:themeColor="text1"/>
                <w:lang w:val="ro-MD"/>
              </w:rPr>
              <w:t>.</w:t>
            </w:r>
            <w:r w:rsidR="00FB5B1C" w:rsidRPr="00C011B2">
              <w:rPr>
                <w:rFonts w:ascii="Times New Roman" w:hAnsi="Times New Roman" w:cs="Times New Roman"/>
                <w:b/>
                <w:bCs/>
                <w:color w:val="000000" w:themeColor="text1"/>
                <w:lang w:val="ro-MD"/>
              </w:rPr>
              <w:t>Cerinţe pentru portofoliul de tranzacţionare</w:t>
            </w:r>
            <w:bookmarkEnd w:id="33"/>
          </w:p>
        </w:tc>
        <w:tc>
          <w:tcPr>
            <w:tcW w:w="450" w:type="pct"/>
          </w:tcPr>
          <w:p w14:paraId="53CCC917"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724B5A55"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7BFE892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4ADA493" w14:textId="4A4AA21F"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fie sunt lipsite de restric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la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fie pot beneficia de acoperire.</w:t>
            </w:r>
          </w:p>
        </w:tc>
        <w:tc>
          <w:tcPr>
            <w:tcW w:w="1692" w:type="pct"/>
            <w:shd w:val="clear" w:color="auto" w:fill="auto"/>
          </w:tcPr>
          <w:p w14:paraId="148F58EC" w14:textId="745FFBBC" w:rsidR="00FB5B1C" w:rsidRPr="00C011B2" w:rsidRDefault="00374DF3" w:rsidP="00FB5B1C">
            <w:pPr>
              <w:spacing w:after="0" w:line="276" w:lineRule="auto"/>
              <w:jc w:val="both"/>
              <w:rPr>
                <w:rFonts w:ascii="Times New Roman" w:hAnsi="Times New Roman" w:cs="Times New Roman"/>
                <w:bCs/>
                <w:color w:val="000000" w:themeColor="text1"/>
                <w:lang w:val="ro-MD"/>
              </w:rPr>
            </w:pPr>
            <w:bookmarkStart w:id="34" w:name="_Hlk200704418"/>
            <w:r w:rsidRPr="00C011B2">
              <w:rPr>
                <w:rFonts w:ascii="Times New Roman" w:hAnsi="Times New Roman" w:cs="Times New Roman"/>
                <w:bCs/>
                <w:color w:val="000000" w:themeColor="text1"/>
                <w:lang w:val="ro-MD"/>
              </w:rPr>
              <w:t>6.</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fie sunt lipsite de restric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la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fie pot beneficia de acoperire.</w:t>
            </w:r>
            <w:bookmarkEnd w:id="34"/>
          </w:p>
        </w:tc>
        <w:tc>
          <w:tcPr>
            <w:tcW w:w="450" w:type="pct"/>
          </w:tcPr>
          <w:p w14:paraId="5A530E14" w14:textId="2BE24711"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3F5005E2"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24F16F0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A1B017" w14:textId="77777777" w:rsidR="00FB5B1C" w:rsidRPr="00C011B2" w:rsidRDefault="00FB5B1C" w:rsidP="00FB5B1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7E76F877" w14:textId="310F42E9"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se demonstreaz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baza strategiilor, politicilor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procedurilor elaborate de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pentru a administra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sau portofoliul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articolele 103, 104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104a.</w:t>
            </w:r>
          </w:p>
        </w:tc>
        <w:tc>
          <w:tcPr>
            <w:tcW w:w="1692" w:type="pct"/>
            <w:shd w:val="clear" w:color="auto" w:fill="auto"/>
          </w:tcPr>
          <w:p w14:paraId="3526D8D4" w14:textId="2991ED74" w:rsidR="00FB5B1C" w:rsidRPr="00C011B2" w:rsidRDefault="00374DF3"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7.</w:t>
            </w:r>
            <w:r w:rsidR="00FB5B1C" w:rsidRPr="00C011B2">
              <w:rPr>
                <w:rFonts w:ascii="Times New Roman" w:hAnsi="Times New Roman" w:cs="Times New Roman"/>
                <w:bCs/>
                <w:color w:val="000000" w:themeColor="text1"/>
                <w:lang w:val="ro-MD"/>
              </w:rPr>
              <w:t xml:space="preserve"> </w:t>
            </w:r>
            <w:bookmarkStart w:id="35" w:name="_Hlk200704775"/>
            <w:r w:rsidR="00FB5B1C" w:rsidRPr="00C011B2">
              <w:rPr>
                <w:rFonts w:ascii="Times New Roman" w:hAnsi="Times New Roman" w:cs="Times New Roman"/>
                <w:bCs/>
                <w:color w:val="000000" w:themeColor="text1"/>
                <w:lang w:val="ro-MD"/>
              </w:rPr>
              <w:t>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se demonstreaz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pe baza strategiilor, politicilor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 xml:space="preserve">i procedurilor elaborate de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pentru a administra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ia sau portofoliul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secțiunile 1, 2 și 3</w:t>
            </w:r>
            <w:r w:rsidR="00FB5B1C" w:rsidRPr="00C011B2">
              <w:rPr>
                <w:rFonts w:ascii="Times New Roman" w:hAnsi="Times New Roman" w:cs="Times New Roman"/>
                <w:bCs/>
                <w:color w:val="000000" w:themeColor="text1"/>
                <w:lang w:val="ro-MD"/>
              </w:rPr>
              <w:t>.</w:t>
            </w:r>
            <w:bookmarkEnd w:id="35"/>
          </w:p>
        </w:tc>
        <w:tc>
          <w:tcPr>
            <w:tcW w:w="450" w:type="pct"/>
          </w:tcPr>
          <w:p w14:paraId="2E591090" w14:textId="5C0C8383"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29DD2C18"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FA7D23" w14:paraId="7DB172C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1BF1FB" w14:textId="391C2FE2"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pun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func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iune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 sisteme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controale pentru 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gestiona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103.</w:t>
            </w:r>
          </w:p>
        </w:tc>
        <w:tc>
          <w:tcPr>
            <w:tcW w:w="1692" w:type="pct"/>
            <w:shd w:val="clear" w:color="auto" w:fill="auto"/>
          </w:tcPr>
          <w:p w14:paraId="231EF364" w14:textId="1143E8F3" w:rsidR="00FB5B1C" w:rsidRPr="00C011B2" w:rsidRDefault="00900762" w:rsidP="00FB5B1C">
            <w:pPr>
              <w:spacing w:after="0" w:line="276" w:lineRule="auto"/>
              <w:jc w:val="both"/>
              <w:rPr>
                <w:rFonts w:ascii="Times New Roman" w:hAnsi="Times New Roman" w:cs="Times New Roman"/>
                <w:bCs/>
                <w:color w:val="000000" w:themeColor="text1"/>
                <w:lang w:val="ro-MD"/>
              </w:rPr>
            </w:pPr>
            <w:bookmarkStart w:id="36" w:name="_Hlk200704849"/>
            <w:r w:rsidRPr="00C011B2">
              <w:rPr>
                <w:rFonts w:ascii="Times New Roman" w:hAnsi="Times New Roman" w:cs="Times New Roman"/>
                <w:bCs/>
                <w:color w:val="000000" w:themeColor="text1"/>
                <w:lang w:val="ro-MD"/>
              </w:rPr>
              <w:t>8.</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 xml:space="preserve">pun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func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iune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in sisteme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controale pentru a-</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gestiona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secțiunea 2</w:t>
            </w:r>
            <w:r w:rsidR="00FB5B1C" w:rsidRPr="00C011B2">
              <w:rPr>
                <w:rFonts w:ascii="Times New Roman" w:hAnsi="Times New Roman" w:cs="Times New Roman"/>
                <w:bCs/>
                <w:color w:val="000000" w:themeColor="text1"/>
                <w:lang w:val="ro-MD"/>
              </w:rPr>
              <w:t>.</w:t>
            </w:r>
            <w:bookmarkEnd w:id="36"/>
          </w:p>
        </w:tc>
        <w:tc>
          <w:tcPr>
            <w:tcW w:w="450" w:type="pct"/>
          </w:tcPr>
          <w:p w14:paraId="756C088F"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4C914FDB"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53E126B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D3CE7F" w14:textId="77777777" w:rsidR="00FB5B1C" w:rsidRPr="00C011B2" w:rsidRDefault="00FB5B1C" w:rsidP="00FB5B1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2498C7FF" w14:textId="08A64F28"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(4)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abordarea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325 alineatul (1) litera (b),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sunt atribuite birourilor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tc>
        <w:tc>
          <w:tcPr>
            <w:tcW w:w="1692" w:type="pct"/>
            <w:shd w:val="clear" w:color="auto" w:fill="auto"/>
          </w:tcPr>
          <w:p w14:paraId="143D447A" w14:textId="236F3460" w:rsidR="00FB5B1C" w:rsidRPr="00C011B2" w:rsidRDefault="00900762" w:rsidP="00FB5B1C">
            <w:pPr>
              <w:spacing w:after="0" w:line="276" w:lineRule="auto"/>
              <w:jc w:val="both"/>
              <w:rPr>
                <w:rFonts w:ascii="Times New Roman" w:hAnsi="Times New Roman" w:cs="Times New Roman"/>
                <w:bCs/>
                <w:color w:val="000000" w:themeColor="text1"/>
                <w:lang w:val="ro-MD"/>
              </w:rPr>
            </w:pPr>
            <w:bookmarkStart w:id="37" w:name="_Hlk200704906"/>
            <w:r w:rsidRPr="00C011B2">
              <w:rPr>
                <w:rFonts w:ascii="Times New Roman" w:hAnsi="Times New Roman" w:cs="Times New Roman"/>
                <w:bCs/>
                <w:color w:val="000000" w:themeColor="text1"/>
                <w:lang w:val="ro-MD"/>
              </w:rPr>
              <w:t>9.</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scopul calcul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elor de fonduri proprii pentru riscul de pia</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conformitate cu abordarea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la </w:t>
            </w:r>
            <w:r w:rsidR="00880EF6" w:rsidRPr="00C011B2">
              <w:rPr>
                <w:rFonts w:ascii="Times New Roman" w:hAnsi="Times New Roman" w:cs="Times New Roman"/>
                <w:bCs/>
                <w:color w:val="000000" w:themeColor="text1"/>
                <w:lang w:val="ro-RO"/>
              </w:rPr>
              <w:t>subpct.69.2</w:t>
            </w:r>
            <w:r w:rsidR="00FB5B1C" w:rsidRPr="00C011B2">
              <w:rPr>
                <w:rFonts w:ascii="Times New Roman" w:hAnsi="Times New Roman" w:cs="Times New Roman"/>
                <w:bCs/>
                <w:color w:val="000000" w:themeColor="text1"/>
                <w:lang w:val="ro-MD"/>
              </w:rPr>
              <w:t>,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sunt atribuite birourilor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bookmarkEnd w:id="37"/>
          </w:p>
        </w:tc>
        <w:tc>
          <w:tcPr>
            <w:tcW w:w="450" w:type="pct"/>
          </w:tcPr>
          <w:p w14:paraId="0D78B0B3" w14:textId="26D08998"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A1F753A"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FA7D23" w14:paraId="2F522A0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B06E43" w14:textId="77777777" w:rsidR="00FB5B1C" w:rsidRPr="00C011B2" w:rsidRDefault="00FB5B1C" w:rsidP="00FB5B1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616F013C" w14:textId="64027F9F"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fac obiectul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evaluare prudent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specificate la articolul 105.</w:t>
            </w:r>
          </w:p>
        </w:tc>
        <w:tc>
          <w:tcPr>
            <w:tcW w:w="1692" w:type="pct"/>
            <w:shd w:val="clear" w:color="auto" w:fill="auto"/>
          </w:tcPr>
          <w:p w14:paraId="7A8F5201" w14:textId="6893BF4A" w:rsidR="00FB5B1C" w:rsidRPr="00C011B2" w:rsidRDefault="00900762" w:rsidP="00FB5B1C">
            <w:pPr>
              <w:spacing w:after="0" w:line="276" w:lineRule="auto"/>
              <w:jc w:val="both"/>
              <w:rPr>
                <w:rFonts w:ascii="Times New Roman" w:hAnsi="Times New Roman" w:cs="Times New Roman"/>
                <w:bCs/>
                <w:color w:val="000000" w:themeColor="text1"/>
                <w:lang w:val="ro-MD"/>
              </w:rPr>
            </w:pPr>
            <w:bookmarkStart w:id="38" w:name="_Hlk200705086"/>
            <w:r w:rsidRPr="00C011B2">
              <w:rPr>
                <w:rFonts w:ascii="Times New Roman" w:hAnsi="Times New Roman" w:cs="Times New Roman"/>
                <w:bCs/>
                <w:color w:val="000000" w:themeColor="text1"/>
                <w:lang w:val="ro-MD"/>
              </w:rPr>
              <w:t>10.</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fac obiectul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elor de evaluare prudent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specificate la </w:t>
            </w:r>
            <w:r w:rsidRPr="00C011B2">
              <w:rPr>
                <w:rFonts w:ascii="Times New Roman" w:hAnsi="Times New Roman" w:cs="Times New Roman"/>
                <w:bCs/>
                <w:color w:val="000000" w:themeColor="text1"/>
                <w:lang w:val="ro-MD"/>
              </w:rPr>
              <w:t>secțiunea 7</w:t>
            </w:r>
            <w:r w:rsidR="00FB5B1C" w:rsidRPr="00C011B2">
              <w:rPr>
                <w:rFonts w:ascii="Times New Roman" w:hAnsi="Times New Roman" w:cs="Times New Roman"/>
                <w:bCs/>
                <w:color w:val="000000" w:themeColor="text1"/>
                <w:lang w:val="ro-MD"/>
              </w:rPr>
              <w:t>.</w:t>
            </w:r>
            <w:bookmarkEnd w:id="38"/>
          </w:p>
        </w:tc>
        <w:tc>
          <w:tcPr>
            <w:tcW w:w="450" w:type="pct"/>
          </w:tcPr>
          <w:p w14:paraId="6749F030"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1A905D26"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FA7D23" w14:paraId="08A8EC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4706317" w14:textId="142B18A4"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trateaz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acoperirile interne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106.</w:t>
            </w:r>
          </w:p>
        </w:tc>
        <w:tc>
          <w:tcPr>
            <w:tcW w:w="1692" w:type="pct"/>
            <w:shd w:val="clear" w:color="auto" w:fill="auto"/>
          </w:tcPr>
          <w:p w14:paraId="369631D0" w14:textId="684A3C9F" w:rsidR="00FB5B1C" w:rsidRPr="00C011B2" w:rsidRDefault="00900762" w:rsidP="00FB5B1C">
            <w:pPr>
              <w:spacing w:after="0" w:line="276" w:lineRule="auto"/>
              <w:jc w:val="both"/>
              <w:rPr>
                <w:rFonts w:ascii="Times New Roman" w:hAnsi="Times New Roman" w:cs="Times New Roman"/>
                <w:bCs/>
                <w:color w:val="000000" w:themeColor="text1"/>
                <w:lang w:val="ro-MD"/>
              </w:rPr>
            </w:pPr>
            <w:bookmarkStart w:id="39" w:name="_Hlk200705140"/>
            <w:r w:rsidRPr="00C011B2">
              <w:rPr>
                <w:rFonts w:ascii="Times New Roman" w:hAnsi="Times New Roman" w:cs="Times New Roman"/>
                <w:bCs/>
                <w:color w:val="000000" w:themeColor="text1"/>
                <w:lang w:val="ro-MD"/>
              </w:rPr>
              <w:t>11.</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trateaz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acoperirile interne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secțiunea 8</w:t>
            </w:r>
            <w:r w:rsidR="00FB5B1C" w:rsidRPr="00C011B2">
              <w:rPr>
                <w:rFonts w:ascii="Times New Roman" w:hAnsi="Times New Roman" w:cs="Times New Roman"/>
                <w:bCs/>
                <w:color w:val="000000" w:themeColor="text1"/>
                <w:lang w:val="ro-MD"/>
              </w:rPr>
              <w:t>.</w:t>
            </w:r>
            <w:bookmarkEnd w:id="39"/>
          </w:p>
        </w:tc>
        <w:tc>
          <w:tcPr>
            <w:tcW w:w="450" w:type="pct"/>
          </w:tcPr>
          <w:p w14:paraId="3B01C4D7"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4DE9427F"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32182F9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6D089F" w14:textId="77777777" w:rsidR="00FB5B1C" w:rsidRPr="00C011B2" w:rsidRDefault="00FB5B1C" w:rsidP="00FB5B1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lastRenderedPageBreak/>
              <w:t>Articolul 103</w:t>
            </w:r>
          </w:p>
          <w:p w14:paraId="1CC6EA61" w14:textId="7FF0A7A8"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Administrarea portofoliului de tranzacţionare</w:t>
            </w:r>
          </w:p>
        </w:tc>
        <w:tc>
          <w:tcPr>
            <w:tcW w:w="1692" w:type="pct"/>
            <w:shd w:val="clear" w:color="auto" w:fill="auto"/>
          </w:tcPr>
          <w:p w14:paraId="161A3F9E" w14:textId="5E7D51D2" w:rsidR="00FB5B1C" w:rsidRPr="00C011B2" w:rsidRDefault="00900762" w:rsidP="00FB5B1C">
            <w:pPr>
              <w:spacing w:after="0" w:line="276" w:lineRule="auto"/>
              <w:jc w:val="both"/>
              <w:rPr>
                <w:rFonts w:ascii="Times New Roman" w:hAnsi="Times New Roman" w:cs="Times New Roman"/>
                <w:bCs/>
                <w:color w:val="000000" w:themeColor="text1"/>
                <w:lang w:val="ro-MD"/>
              </w:rPr>
            </w:pPr>
            <w:bookmarkStart w:id="40" w:name="_Hlk200705440"/>
            <w:r w:rsidRPr="00C011B2">
              <w:rPr>
                <w:rFonts w:ascii="Times New Roman" w:hAnsi="Times New Roman" w:cs="Times New Roman"/>
                <w:bCs/>
                <w:i/>
                <w:iCs/>
                <w:color w:val="000000" w:themeColor="text1"/>
                <w:lang w:val="ro-MD"/>
              </w:rPr>
              <w:t>Secţiunea 2</w:t>
            </w:r>
            <w:r w:rsidR="00DA56D5" w:rsidRPr="00C011B2">
              <w:rPr>
                <w:rFonts w:ascii="Times New Roman" w:hAnsi="Times New Roman" w:cs="Times New Roman"/>
                <w:bCs/>
                <w:i/>
                <w:iCs/>
                <w:color w:val="000000" w:themeColor="text1"/>
                <w:lang w:val="ro-MD"/>
              </w:rPr>
              <w:t>.</w:t>
            </w:r>
            <w:r w:rsidR="00FB5B1C" w:rsidRPr="00C011B2">
              <w:rPr>
                <w:rFonts w:ascii="Times New Roman" w:hAnsi="Times New Roman" w:cs="Times New Roman"/>
                <w:b/>
                <w:bCs/>
                <w:color w:val="000000" w:themeColor="text1"/>
                <w:lang w:val="ro-MD"/>
              </w:rPr>
              <w:t>Administrarea portofoliului de tranzacţionare</w:t>
            </w:r>
            <w:bookmarkEnd w:id="40"/>
          </w:p>
        </w:tc>
        <w:tc>
          <w:tcPr>
            <w:tcW w:w="450" w:type="pct"/>
          </w:tcPr>
          <w:p w14:paraId="0807429B"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1992DC40"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7CA2FEF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02C1E6C" w14:textId="77777777" w:rsidR="00FB5B1C" w:rsidRPr="00C011B2" w:rsidRDefault="00FB5B1C" w:rsidP="00FB5B1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75C2AD8B" w14:textId="5571A3B9"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dispun de politici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 clar definite pentru administrarea global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Politicile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procedurile respective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w:t>
            </w:r>
          </w:p>
          <w:p w14:paraId="56806BF3" w14:textId="2D4D1D44"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activit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ile pe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le consider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fi activit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parte constitutiv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w:t>
            </w:r>
          </w:p>
          <w:p w14:paraId="59A0160E" w14:textId="7D84549C"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poate fi marcat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zilnic la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 prin referin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la o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bidirec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lichid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p w14:paraId="2096447A" w14:textId="47223E8D"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care se marcheaz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model,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poate:</w:t>
            </w:r>
          </w:p>
          <w:p w14:paraId="62E2508C"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identifice toate riscurile semnificative ale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w:t>
            </w:r>
          </w:p>
          <w:p w14:paraId="3502F26C" w14:textId="199E74FD"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acopere toate riscurile semnificative ale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cu instrumente pentru care exist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bidirec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lichid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p w14:paraId="1CC3DEE6" w14:textId="28719B41"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(iii)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derive estim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 fiabile pentru ipotezele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parametrii cheie folosi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model;</w:t>
            </w:r>
          </w:p>
          <w:p w14:paraId="4E8F8E16" w14:textId="102B5B2A"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(d)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poate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trebuie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genereze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care pot fi validate extern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consecvent;</w:t>
            </w:r>
          </w:p>
          <w:p w14:paraId="0079E545" w14:textId="471444BC"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restric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legale sau alte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 opera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ionale ar afecta capacitatea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de a lichida sau a acoperi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pe termen scurt;</w:t>
            </w:r>
          </w:p>
          <w:p w14:paraId="18997FF6" w14:textId="0EC19300"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(f)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poate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trebuie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procedeze la administrarea activ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riscurilor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cadrul opera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iunilor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p w14:paraId="3F06CD4D" w14:textId="1D409CB8"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(g)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poate reclasifica riscul sau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afara acestuia sau invers, precum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pentru astfel de reclasific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astfel cum sunt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articolul 104a.</w:t>
            </w:r>
          </w:p>
        </w:tc>
        <w:tc>
          <w:tcPr>
            <w:tcW w:w="1692" w:type="pct"/>
            <w:shd w:val="clear" w:color="auto" w:fill="auto"/>
          </w:tcPr>
          <w:p w14:paraId="62BDA03A" w14:textId="2519410A" w:rsidR="00FB5B1C" w:rsidRPr="00C011B2" w:rsidRDefault="00DA56D5" w:rsidP="00FB5B1C">
            <w:pPr>
              <w:spacing w:after="0" w:line="276" w:lineRule="auto"/>
              <w:jc w:val="both"/>
              <w:rPr>
                <w:rFonts w:ascii="Times New Roman" w:hAnsi="Times New Roman" w:cs="Times New Roman"/>
                <w:bCs/>
                <w:color w:val="000000" w:themeColor="text1"/>
                <w:lang w:val="ro-MD"/>
              </w:rPr>
            </w:pPr>
            <w:bookmarkStart w:id="41" w:name="_Hlk200706283"/>
            <w:r w:rsidRPr="00C011B2">
              <w:rPr>
                <w:rFonts w:ascii="Times New Roman" w:hAnsi="Times New Roman" w:cs="Times New Roman"/>
                <w:bCs/>
                <w:color w:val="000000" w:themeColor="text1"/>
                <w:lang w:val="ro-MD"/>
              </w:rPr>
              <w:lastRenderedPageBreak/>
              <w:t>12.</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 xml:space="preserve">dispun de politici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 clar definite pentru administrarea global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Politicile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procedurile respective acoper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cel pu</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w:t>
            </w:r>
          </w:p>
          <w:p w14:paraId="1FB8AB83" w14:textId="0FC65CD0"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12.1.</w:t>
            </w:r>
            <w:r w:rsidR="00FB5B1C" w:rsidRPr="00C011B2">
              <w:rPr>
                <w:rFonts w:ascii="Times New Roman" w:hAnsi="Times New Roman" w:cs="Times New Roman"/>
                <w:bCs/>
                <w:color w:val="000000" w:themeColor="text1"/>
                <w:lang w:val="ro-MD"/>
              </w:rPr>
              <w:t xml:space="preserve"> activit</w:t>
            </w:r>
            <w:r w:rsidR="00FB5B1C" w:rsidRPr="00C011B2">
              <w:rPr>
                <w:rFonts w:ascii="Times New Roman" w:hAnsi="Times New Roman" w:cs="Times New Roman" w:hint="eastAsia"/>
                <w:bCs/>
                <w:color w:val="000000" w:themeColor="text1"/>
                <w:lang w:val="ro-MD"/>
              </w:rPr>
              <w:t>ăţ</w:t>
            </w:r>
            <w:r w:rsidR="00FB5B1C" w:rsidRPr="00C011B2">
              <w:rPr>
                <w:rFonts w:ascii="Times New Roman" w:hAnsi="Times New Roman" w:cs="Times New Roman"/>
                <w:bCs/>
                <w:color w:val="000000" w:themeColor="text1"/>
                <w:lang w:val="ro-MD"/>
              </w:rPr>
              <w:t xml:space="preserve">ile pe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le consider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 fi activit</w:t>
            </w:r>
            <w:r w:rsidR="00FB5B1C" w:rsidRPr="00C011B2">
              <w:rPr>
                <w:rFonts w:ascii="Times New Roman" w:hAnsi="Times New Roman" w:cs="Times New Roman" w:hint="eastAsia"/>
                <w:bCs/>
                <w:color w:val="000000" w:themeColor="text1"/>
                <w:lang w:val="ro-MD"/>
              </w:rPr>
              <w:t>ăţ</w:t>
            </w:r>
            <w:r w:rsidR="00FB5B1C" w:rsidRPr="00C011B2">
              <w:rPr>
                <w:rFonts w:ascii="Times New Roman" w:hAnsi="Times New Roman" w:cs="Times New Roman"/>
                <w:bCs/>
                <w:color w:val="000000" w:themeColor="text1"/>
                <w:lang w:val="ro-MD"/>
              </w:rPr>
              <w:t>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parte constitutiv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scopul calcul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elor de fonduri proprii;</w:t>
            </w:r>
          </w:p>
          <w:p w14:paraId="0A987D49" w14:textId="47E3621E"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12.2.</w:t>
            </w:r>
            <w:r w:rsidR="00FB5B1C" w:rsidRPr="00C011B2">
              <w:rPr>
                <w:rFonts w:ascii="Times New Roman" w:hAnsi="Times New Roman" w:cs="Times New Roman"/>
                <w:bCs/>
                <w:color w:val="000000" w:themeColor="text1"/>
                <w:lang w:val="ro-MD"/>
              </w:rPr>
              <w:t xml:space="preserve">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sura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care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poate fi marcat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zilnic la pre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ul pie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ei prin referin</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la o pia</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bidirec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activ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lichid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w:t>
            </w:r>
          </w:p>
          <w:p w14:paraId="170B11F2" w14:textId="6A018E35"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12.3.</w:t>
            </w:r>
            <w:r w:rsidR="00FB5B1C" w:rsidRPr="00C011B2">
              <w:rPr>
                <w:rFonts w:ascii="Times New Roman" w:hAnsi="Times New Roman" w:cs="Times New Roman"/>
                <w:bCs/>
                <w:color w:val="000000" w:themeColor="text1"/>
                <w:lang w:val="ro-MD"/>
              </w:rPr>
              <w:t xml:space="preserve"> pentru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care se marcheaz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la model,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sura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poate:</w:t>
            </w:r>
          </w:p>
          <w:p w14:paraId="1EBC1BC7" w14:textId="58B965E3"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12.3.1.</w:t>
            </w:r>
            <w:r w:rsidR="00FB5B1C" w:rsidRPr="00C011B2">
              <w:rPr>
                <w:rFonts w:ascii="Times New Roman" w:hAnsi="Times New Roman" w:cs="Times New Roman"/>
                <w:bCs/>
                <w:color w:val="000000" w:themeColor="text1"/>
                <w:lang w:val="ro-MD"/>
              </w:rPr>
              <w:t xml:space="preserv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identifice toate riscurile semnificative ale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iei;</w:t>
            </w:r>
          </w:p>
          <w:p w14:paraId="318250E0" w14:textId="5B869F1D"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12.3.2.</w:t>
            </w:r>
            <w:r w:rsidR="00FB5B1C" w:rsidRPr="00C011B2">
              <w:rPr>
                <w:rFonts w:ascii="Times New Roman" w:hAnsi="Times New Roman" w:cs="Times New Roman"/>
                <w:bCs/>
                <w:color w:val="000000" w:themeColor="text1"/>
                <w:lang w:val="ro-MD"/>
              </w:rPr>
              <w:t xml:space="preserv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acopere toate riscurile semnificative ale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iei cu instrumente pentru care exist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o pia</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bidirec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activ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lichid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w:t>
            </w:r>
          </w:p>
          <w:p w14:paraId="6F6561F6" w14:textId="5692F9B8"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12.3.3.</w:t>
            </w:r>
            <w:r w:rsidR="00FB5B1C" w:rsidRPr="00C011B2">
              <w:rPr>
                <w:rFonts w:ascii="Times New Roman" w:hAnsi="Times New Roman" w:cs="Times New Roman"/>
                <w:bCs/>
                <w:color w:val="000000" w:themeColor="text1"/>
                <w:lang w:val="ro-MD"/>
              </w:rPr>
              <w:t xml:space="preserv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derive estim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ri fiabile pentru ipotezele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parametrii cheie folosi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model;</w:t>
            </w:r>
          </w:p>
          <w:p w14:paraId="1F6C0A3D" w14:textId="4B790D79"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12.4.</w:t>
            </w:r>
            <w:r w:rsidR="00FB5B1C" w:rsidRPr="00C011B2">
              <w:rPr>
                <w:rFonts w:ascii="Times New Roman" w:hAnsi="Times New Roman" w:cs="Times New Roman"/>
                <w:bCs/>
                <w:color w:val="000000" w:themeColor="text1"/>
                <w:lang w:val="ro-MD"/>
              </w:rPr>
              <w:t xml:space="preserve">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sura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poate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trebuie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genereze evalu</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 pentru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ie care pot fi validate extern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mod consecvent;</w:t>
            </w:r>
          </w:p>
          <w:p w14:paraId="0ED180FB" w14:textId="52EF05F1"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12.5.</w:t>
            </w:r>
            <w:r w:rsidR="00FB5B1C" w:rsidRPr="00C011B2">
              <w:rPr>
                <w:rFonts w:ascii="Times New Roman" w:hAnsi="Times New Roman" w:cs="Times New Roman"/>
                <w:bCs/>
                <w:color w:val="000000" w:themeColor="text1"/>
                <w:lang w:val="ro-MD"/>
              </w:rPr>
              <w:t xml:space="preserve">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sura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care restric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legale sau alte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 opera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ionale ar afecta capacitatea </w:t>
            </w:r>
            <w:r w:rsidRPr="00C011B2">
              <w:rPr>
                <w:rFonts w:ascii="Times New Roman" w:hAnsi="Times New Roman" w:cs="Times New Roman"/>
                <w:bCs/>
                <w:color w:val="000000" w:themeColor="text1"/>
                <w:lang w:val="ro-MD"/>
              </w:rPr>
              <w:t xml:space="preserve">băncii </w:t>
            </w:r>
            <w:r w:rsidR="00FB5B1C" w:rsidRPr="00C011B2">
              <w:rPr>
                <w:rFonts w:ascii="Times New Roman" w:hAnsi="Times New Roman" w:cs="Times New Roman"/>
                <w:bCs/>
                <w:color w:val="000000" w:themeColor="text1"/>
                <w:lang w:val="ro-MD"/>
              </w:rPr>
              <w:t>de a lichida sau a acoperi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pe termen scurt;</w:t>
            </w:r>
          </w:p>
          <w:p w14:paraId="164DE737" w14:textId="1EED6AE7"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12.6.</w:t>
            </w:r>
            <w:r w:rsidR="00FB5B1C" w:rsidRPr="00C011B2">
              <w:rPr>
                <w:rFonts w:ascii="Times New Roman" w:hAnsi="Times New Roman" w:cs="Times New Roman"/>
                <w:bCs/>
                <w:color w:val="000000" w:themeColor="text1"/>
                <w:lang w:val="ro-MD"/>
              </w:rPr>
              <w:t xml:space="preserve">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sura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poate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trebuie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procedeze la administrarea activ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 riscurilor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iilor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cadrul opera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iunilor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p>
          <w:p w14:paraId="02FECFA1" w14:textId="631F2A2C"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12.7.</w:t>
            </w:r>
            <w:r w:rsidR="00FB5B1C" w:rsidRPr="00C011B2">
              <w:rPr>
                <w:rFonts w:ascii="Times New Roman" w:hAnsi="Times New Roman" w:cs="Times New Roman"/>
                <w:bCs/>
                <w:color w:val="000000" w:themeColor="text1"/>
                <w:lang w:val="ro-MD"/>
              </w:rPr>
              <w:t xml:space="preserve">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sura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poate reclasifica riscul sau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afara acestuia sau invers, precum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ele pentru astfel de reclasific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 astfel cum sunt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secțiunea 4</w:t>
            </w:r>
            <w:r w:rsidR="00FB5B1C" w:rsidRPr="00C011B2">
              <w:rPr>
                <w:rFonts w:ascii="Times New Roman" w:hAnsi="Times New Roman" w:cs="Times New Roman"/>
                <w:bCs/>
                <w:color w:val="000000" w:themeColor="text1"/>
                <w:lang w:val="ro-MD"/>
              </w:rPr>
              <w:t>.</w:t>
            </w:r>
            <w:bookmarkEnd w:id="41"/>
          </w:p>
        </w:tc>
        <w:tc>
          <w:tcPr>
            <w:tcW w:w="450" w:type="pct"/>
          </w:tcPr>
          <w:p w14:paraId="04700000" w14:textId="28D410B2"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57BCAF6E"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3D56A88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785428F" w14:textId="477399EC"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(2)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administrarea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sau a portofoliilor 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respect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toate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w:t>
            </w:r>
          </w:p>
          <w:p w14:paraId="551239D6" w14:textId="12C07EAF"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dispune de o strategie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clar documentat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ceea ce prive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sau portofoliile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fie aprobat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conducerea superioar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includ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perioada de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p w14:paraId="19416531" w14:textId="05092B2F"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dispune de politici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 clar definite pentru administrarea activ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sau a </w:t>
            </w:r>
            <w:r w:rsidRPr="00C011B2">
              <w:rPr>
                <w:rFonts w:ascii="Times New Roman" w:hAnsi="Times New Roman" w:cs="Times New Roman"/>
                <w:bCs/>
                <w:color w:val="000000" w:themeColor="text1"/>
                <w:lang w:val="ro-MD"/>
              </w:rPr>
              <w:lastRenderedPageBreak/>
              <w:t>portofoliilor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aceste politici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d:</w:t>
            </w:r>
          </w:p>
          <w:p w14:paraId="34AB1629" w14:textId="102535C6"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sau portofoliile 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care pot fi deschise de fiecare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dup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caz, de dealeri desemna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w:t>
            </w:r>
          </w:p>
          <w:p w14:paraId="52FFD061" w14:textId="73295081"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(ii) stabilirea unor limite ale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monitorizarea acestora pentru a asigura caracterul adecvat al acestora;</w:t>
            </w:r>
          </w:p>
          <w:p w14:paraId="5EC56B97" w14:textId="5C58F3B9"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(iii) asigurarea faptului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dealerii au autonomia de a deschide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administra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limitele agreate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conform strategiei aprobate;</w:t>
            </w:r>
          </w:p>
          <w:p w14:paraId="74144EAA" w14:textId="7F793E7B"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(iv) asigurarea faptului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sunt raportate conducerii superioare ca parte integrant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procesului de gestionare a riscurilor al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w:t>
            </w:r>
          </w:p>
          <w:p w14:paraId="0DA8FC12"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(v) asigurarea faptului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sunt monitorizate activ cu trimitere la sursele de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se efectueaz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evaluare a caracterului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ionabil sau a capacit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de acoperire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sau a componentelor lor de risc, inclusiv aprecierea, calitatea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disponibilitatea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pentru procesul de evaluare, rulajul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 dimensiunile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pe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w:t>
            </w:r>
          </w:p>
          <w:p w14:paraId="27BB230B"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(vi) proceduri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mecanisme de control antifraud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active;</w:t>
            </w:r>
          </w:p>
          <w:p w14:paraId="71885846" w14:textId="142C26BD"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dispune de politici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 clar definite pentru monitorizarea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raport cu </w:t>
            </w:r>
            <w:r w:rsidRPr="00C011B2">
              <w:rPr>
                <w:rFonts w:ascii="Times New Roman" w:hAnsi="Times New Roman" w:cs="Times New Roman"/>
                <w:bCs/>
                <w:color w:val="000000" w:themeColor="text1"/>
                <w:lang w:val="ro-MD"/>
              </w:rPr>
              <w:lastRenderedPageBreak/>
              <w:t>strategia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inclusiv monitorizarea rulajului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pentru care perioada de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inere avut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vedere ini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ial a fost dep</w:t>
            </w:r>
            <w:r w:rsidRPr="00C011B2">
              <w:rPr>
                <w:rFonts w:ascii="Times New Roman" w:hAnsi="Times New Roman" w:cs="Times New Roman" w:hint="eastAsia"/>
                <w:bCs/>
                <w:color w:val="000000" w:themeColor="text1"/>
                <w:lang w:val="ro-MD"/>
              </w:rPr>
              <w:t>ăș</w:t>
            </w:r>
            <w:r w:rsidRPr="00C011B2">
              <w:rPr>
                <w:rFonts w:ascii="Times New Roman" w:hAnsi="Times New Roman" w:cs="Times New Roman"/>
                <w:bCs/>
                <w:color w:val="000000" w:themeColor="text1"/>
                <w:lang w:val="ro-MD"/>
              </w:rPr>
              <w:t>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tc>
        <w:tc>
          <w:tcPr>
            <w:tcW w:w="1692" w:type="pct"/>
            <w:shd w:val="clear" w:color="auto" w:fill="auto"/>
          </w:tcPr>
          <w:p w14:paraId="6FDBA7A7" w14:textId="35B97248" w:rsidR="00FB5B1C" w:rsidRPr="00C011B2" w:rsidRDefault="00DA56D5" w:rsidP="00FB5B1C">
            <w:pPr>
              <w:spacing w:after="0" w:line="276" w:lineRule="auto"/>
              <w:jc w:val="both"/>
              <w:rPr>
                <w:rFonts w:ascii="Times New Roman" w:hAnsi="Times New Roman" w:cs="Times New Roman"/>
                <w:bCs/>
                <w:color w:val="000000" w:themeColor="text1"/>
                <w:lang w:val="ro-MD"/>
              </w:rPr>
            </w:pPr>
            <w:bookmarkStart w:id="42" w:name="_Hlk200706586"/>
            <w:r w:rsidRPr="00C011B2">
              <w:rPr>
                <w:rFonts w:ascii="Times New Roman" w:hAnsi="Times New Roman" w:cs="Times New Roman"/>
                <w:bCs/>
                <w:color w:val="000000" w:themeColor="text1"/>
                <w:lang w:val="ro-MD"/>
              </w:rPr>
              <w:lastRenderedPageBreak/>
              <w:t>13.</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administrarea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iilor sau a portofoliilor de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respect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toate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ele urm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toare:</w:t>
            </w:r>
          </w:p>
          <w:p w14:paraId="58BBA3EF" w14:textId="36380277"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13.1.</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dispune de o strategie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clar documentat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ceea ce prive</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te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sau portofoliile 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care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fie aprobat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de conducerea superioar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includ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perioada de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inere prev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zut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w:t>
            </w:r>
          </w:p>
          <w:p w14:paraId="318CE1D0" w14:textId="2BD2032B"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dispune de politici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 clar definite pentru administrarea activ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iilor sau a portofoliilor </w:t>
            </w:r>
            <w:r w:rsidR="00FB5B1C" w:rsidRPr="00C011B2">
              <w:rPr>
                <w:rFonts w:ascii="Times New Roman" w:hAnsi="Times New Roman" w:cs="Times New Roman"/>
                <w:bCs/>
                <w:color w:val="000000" w:themeColor="text1"/>
                <w:lang w:val="ro-MD"/>
              </w:rPr>
              <w:lastRenderedPageBreak/>
              <w:t>din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aceste politici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 prev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d:</w:t>
            </w:r>
          </w:p>
          <w:p w14:paraId="04BFC82D" w14:textId="32D044B7"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13.2.1.</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sau portofoliile de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care pot fi deschise de fiecare birou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sau, dup</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caz, de dealeri desemna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w:t>
            </w:r>
          </w:p>
          <w:p w14:paraId="4C6F1122" w14:textId="7AE8EDE1"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13.2.2.</w:t>
            </w:r>
            <w:r w:rsidR="00FB5B1C" w:rsidRPr="00C011B2">
              <w:rPr>
                <w:rFonts w:ascii="Times New Roman" w:hAnsi="Times New Roman" w:cs="Times New Roman"/>
                <w:bCs/>
                <w:color w:val="000000" w:themeColor="text1"/>
                <w:lang w:val="ro-MD"/>
              </w:rPr>
              <w:t xml:space="preserve"> stabilirea unor limite ale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iilor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monitorizarea acestora pentru a asigura caracterul adecvat al acestora;</w:t>
            </w:r>
          </w:p>
          <w:p w14:paraId="5BF11453" w14:textId="54FAC2EE"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13.2.3.</w:t>
            </w:r>
            <w:r w:rsidR="00FB5B1C" w:rsidRPr="00C011B2">
              <w:rPr>
                <w:rFonts w:ascii="Times New Roman" w:hAnsi="Times New Roman" w:cs="Times New Roman"/>
                <w:bCs/>
                <w:color w:val="000000" w:themeColor="text1"/>
                <w:lang w:val="ro-MD"/>
              </w:rPr>
              <w:t xml:space="preserve"> asigurarea faptului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dealerii au autonomia de a deschide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administra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limitele agreate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conform strategiei aprobate;</w:t>
            </w:r>
          </w:p>
          <w:p w14:paraId="4AA59F39" w14:textId="424C8873"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13.2.4.</w:t>
            </w:r>
            <w:r w:rsidR="00FB5B1C" w:rsidRPr="00C011B2">
              <w:rPr>
                <w:rFonts w:ascii="Times New Roman" w:hAnsi="Times New Roman" w:cs="Times New Roman"/>
                <w:bCs/>
                <w:color w:val="000000" w:themeColor="text1"/>
                <w:lang w:val="ro-MD"/>
              </w:rPr>
              <w:t xml:space="preserve"> asigurarea faptului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sunt raportate conducerii superioare ca parte integrant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 procesului de gestionare a riscurilor al </w:t>
            </w:r>
            <w:r w:rsidRPr="00C011B2">
              <w:rPr>
                <w:rFonts w:ascii="Times New Roman" w:hAnsi="Times New Roman" w:cs="Times New Roman"/>
                <w:bCs/>
                <w:color w:val="000000" w:themeColor="text1"/>
                <w:lang w:val="ro-MD"/>
              </w:rPr>
              <w:t>băncii</w:t>
            </w:r>
            <w:r w:rsidR="00FB5B1C" w:rsidRPr="00C011B2">
              <w:rPr>
                <w:rFonts w:ascii="Times New Roman" w:hAnsi="Times New Roman" w:cs="Times New Roman"/>
                <w:bCs/>
                <w:color w:val="000000" w:themeColor="text1"/>
                <w:lang w:val="ro-MD"/>
              </w:rPr>
              <w:t>;</w:t>
            </w:r>
          </w:p>
          <w:p w14:paraId="4EDA3D33" w14:textId="0D1B809E"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13.2.5.</w:t>
            </w:r>
            <w:r w:rsidR="00FB5B1C" w:rsidRPr="00C011B2">
              <w:rPr>
                <w:rFonts w:ascii="Times New Roman" w:hAnsi="Times New Roman" w:cs="Times New Roman"/>
                <w:bCs/>
                <w:color w:val="000000" w:themeColor="text1"/>
                <w:lang w:val="ro-MD"/>
              </w:rPr>
              <w:t xml:space="preserve"> asigurarea faptului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sunt monitorizate activ cu trimitere la sursele de informa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de pia</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se efectueaz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o evaluare a caracterului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ionabil sau a capacit</w:t>
            </w:r>
            <w:r w:rsidR="00FB5B1C" w:rsidRPr="00C011B2">
              <w:rPr>
                <w:rFonts w:ascii="Times New Roman" w:hAnsi="Times New Roman" w:cs="Times New Roman" w:hint="eastAsia"/>
                <w:bCs/>
                <w:color w:val="000000" w:themeColor="text1"/>
                <w:lang w:val="ro-MD"/>
              </w:rPr>
              <w:t>ăţ</w:t>
            </w:r>
            <w:r w:rsidR="00FB5B1C" w:rsidRPr="00C011B2">
              <w:rPr>
                <w:rFonts w:ascii="Times New Roman" w:hAnsi="Times New Roman" w:cs="Times New Roman"/>
                <w:bCs/>
                <w:color w:val="000000" w:themeColor="text1"/>
                <w:lang w:val="ro-MD"/>
              </w:rPr>
              <w:t>ii de acoperire 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iilor sau a componentelor lor de risc, inclusiv aprecierea, calitatea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disponibilitatea informa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iilor de pia</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pentru procesul de evaluare, rulajul pie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ei, dimensiunile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iilor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ionate pe pia</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w:t>
            </w:r>
          </w:p>
          <w:p w14:paraId="256AB228" w14:textId="7321E2E5"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13.2.6.</w:t>
            </w:r>
            <w:r w:rsidR="00FB5B1C" w:rsidRPr="00C011B2">
              <w:rPr>
                <w:rFonts w:ascii="Times New Roman" w:hAnsi="Times New Roman" w:cs="Times New Roman"/>
                <w:bCs/>
                <w:color w:val="000000" w:themeColor="text1"/>
                <w:lang w:val="ro-MD"/>
              </w:rPr>
              <w:t xml:space="preserve"> proceduri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mecanisme de control antifraud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active;</w:t>
            </w:r>
          </w:p>
          <w:p w14:paraId="16AF6C58" w14:textId="49CDF6DA" w:rsidR="00FB5B1C" w:rsidRPr="00C011B2" w:rsidRDefault="00DA56D5"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13.3.</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dispune de politici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 clar definite pentru monitorizarea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iilor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raport cu strategia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a </w:t>
            </w:r>
            <w:r w:rsidRPr="00C011B2">
              <w:rPr>
                <w:rFonts w:ascii="Times New Roman" w:hAnsi="Times New Roman" w:cs="Times New Roman"/>
                <w:bCs/>
                <w:color w:val="000000" w:themeColor="text1"/>
                <w:lang w:val="ro-MD"/>
              </w:rPr>
              <w:t>băncii</w:t>
            </w:r>
            <w:r w:rsidR="00FB5B1C" w:rsidRPr="00C011B2">
              <w:rPr>
                <w:rFonts w:ascii="Times New Roman" w:hAnsi="Times New Roman" w:cs="Times New Roman"/>
                <w:bCs/>
                <w:color w:val="000000" w:themeColor="text1"/>
                <w:lang w:val="ro-MD"/>
              </w:rPr>
              <w:t xml:space="preserve">, inclusiv monitorizarea rulajului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 xml:space="preserve">i </w:t>
            </w:r>
            <w:r w:rsidR="00FB5B1C" w:rsidRPr="00C011B2">
              <w:rPr>
                <w:rFonts w:ascii="Times New Roman" w:hAnsi="Times New Roman" w:cs="Times New Roman"/>
                <w:bCs/>
                <w:color w:val="000000" w:themeColor="text1"/>
                <w:lang w:val="ro-MD"/>
              </w:rPr>
              <w:lastRenderedPageBreak/>
              <w:t>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iilor pentru care perioada de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inere avut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vedere ini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ial a fost dep</w:t>
            </w:r>
            <w:r w:rsidR="00FB5B1C" w:rsidRPr="00C011B2">
              <w:rPr>
                <w:rFonts w:ascii="Times New Roman" w:hAnsi="Times New Roman" w:cs="Times New Roman" w:hint="eastAsia"/>
                <w:bCs/>
                <w:color w:val="000000" w:themeColor="text1"/>
                <w:lang w:val="ro-MD"/>
              </w:rPr>
              <w:t>ăș</w:t>
            </w:r>
            <w:r w:rsidR="00FB5B1C" w:rsidRPr="00C011B2">
              <w:rPr>
                <w:rFonts w:ascii="Times New Roman" w:hAnsi="Times New Roman" w:cs="Times New Roman"/>
                <w:bCs/>
                <w:color w:val="000000" w:themeColor="text1"/>
                <w:lang w:val="ro-MD"/>
              </w:rPr>
              <w:t>it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w:t>
            </w:r>
            <w:bookmarkEnd w:id="42"/>
          </w:p>
        </w:tc>
        <w:tc>
          <w:tcPr>
            <w:tcW w:w="450" w:type="pct"/>
          </w:tcPr>
          <w:p w14:paraId="62DC29A2" w14:textId="4504762F"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33361880"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FA7D23" w14:paraId="6F75F33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AE7B750" w14:textId="77777777" w:rsidR="00FB5B1C" w:rsidRPr="00C011B2" w:rsidRDefault="00FB5B1C" w:rsidP="00FB5B1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▼M17</w:t>
            </w:r>
          </w:p>
          <w:p w14:paraId="26706F5A" w14:textId="77777777" w:rsidR="00FB5B1C" w:rsidRPr="00C011B2" w:rsidRDefault="00FB5B1C" w:rsidP="00FB5B1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104</w:t>
            </w:r>
          </w:p>
          <w:p w14:paraId="13864ACC" w14:textId="426C89C4"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Includerea în portofoliul de tranzacţionare</w:t>
            </w:r>
          </w:p>
        </w:tc>
        <w:tc>
          <w:tcPr>
            <w:tcW w:w="1692" w:type="pct"/>
            <w:shd w:val="clear" w:color="auto" w:fill="auto"/>
          </w:tcPr>
          <w:p w14:paraId="196B0DA3" w14:textId="466D702B" w:rsidR="00FB5B1C" w:rsidRPr="00C011B2" w:rsidRDefault="00F32CA1" w:rsidP="00FB5B1C">
            <w:pPr>
              <w:spacing w:after="0" w:line="276" w:lineRule="auto"/>
              <w:jc w:val="both"/>
              <w:rPr>
                <w:rFonts w:ascii="Times New Roman" w:hAnsi="Times New Roman" w:cs="Times New Roman"/>
                <w:bCs/>
                <w:i/>
                <w:iCs/>
                <w:color w:val="000000" w:themeColor="text1"/>
                <w:lang w:val="ro-MD"/>
              </w:rPr>
            </w:pPr>
            <w:bookmarkStart w:id="43" w:name="_Hlk200706985"/>
            <w:r w:rsidRPr="00C011B2">
              <w:rPr>
                <w:rFonts w:ascii="Times New Roman" w:hAnsi="Times New Roman" w:cs="Times New Roman"/>
                <w:bCs/>
                <w:i/>
                <w:iCs/>
                <w:color w:val="000000" w:themeColor="text1"/>
                <w:lang w:val="ro-MD"/>
              </w:rPr>
              <w:t>Secțiunea 3.</w:t>
            </w:r>
          </w:p>
          <w:p w14:paraId="21F039F2" w14:textId="3AF6E993"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Includerea în portofoliul de tranzacţionare</w:t>
            </w:r>
            <w:bookmarkEnd w:id="43"/>
          </w:p>
        </w:tc>
        <w:tc>
          <w:tcPr>
            <w:tcW w:w="450" w:type="pct"/>
          </w:tcPr>
          <w:p w14:paraId="17EBB77B"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c>
          <w:tcPr>
            <w:tcW w:w="1261" w:type="pct"/>
          </w:tcPr>
          <w:p w14:paraId="48EAB6DC"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44EF4D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1175D32" w14:textId="130433A8"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are instituite politici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 clar definite pentru a determina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pe care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le includ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vederea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elor de fonduri proprii,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w:t>
            </w:r>
          </w:p>
          <w:p w14:paraId="02B6CAAE" w14:textId="290A9076"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cu articolul 102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cu prezentul articol, </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seama de capacit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practicile sale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materie de gestionare a riscurilor.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documenteaz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deplin respectarea politicilor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procedurilor respective, le supune unui audit intern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o dat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an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pune rezultatele auditului la dispozi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ilor competente.</w:t>
            </w:r>
          </w:p>
          <w:p w14:paraId="22C75A46" w14:textId="0C19C84A"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dispune de o func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independent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control al riscului care evalueaz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continuu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instrumentele sale sunt atribuite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corespunz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ca apar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sau fiind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afara acestuia.</w:t>
            </w:r>
          </w:p>
        </w:tc>
        <w:tc>
          <w:tcPr>
            <w:tcW w:w="1692" w:type="pct"/>
            <w:shd w:val="clear" w:color="auto" w:fill="auto"/>
          </w:tcPr>
          <w:p w14:paraId="12BBD6AC" w14:textId="63449E15" w:rsidR="00FB5B1C" w:rsidRPr="00C011B2" w:rsidRDefault="00F32CA1" w:rsidP="00FB5B1C">
            <w:pPr>
              <w:spacing w:after="0" w:line="276" w:lineRule="auto"/>
              <w:jc w:val="both"/>
              <w:rPr>
                <w:rFonts w:ascii="Times New Roman" w:hAnsi="Times New Roman" w:cs="Times New Roman"/>
                <w:bCs/>
                <w:color w:val="000000" w:themeColor="text1"/>
                <w:lang w:val="ro-MD"/>
              </w:rPr>
            </w:pPr>
            <w:bookmarkStart w:id="44" w:name="_Hlk200708341"/>
            <w:r w:rsidRPr="00C011B2">
              <w:rPr>
                <w:rFonts w:ascii="Times New Roman" w:hAnsi="Times New Roman" w:cs="Times New Roman"/>
                <w:bCs/>
                <w:color w:val="000000" w:themeColor="text1"/>
                <w:lang w:val="ro-MD"/>
              </w:rPr>
              <w:t>14.</w:t>
            </w:r>
            <w:r w:rsidR="00FB5B1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 xml:space="preserve">are instituite politici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 clar definite pentru a determina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pe care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le includ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vederea calcul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cerin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elor de fonduri proprii,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conformitate</w:t>
            </w:r>
            <w:r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bCs/>
                <w:color w:val="000000" w:themeColor="text1"/>
                <w:lang w:val="ro-MD"/>
              </w:rPr>
              <w:t xml:space="preserve">cu </w:t>
            </w:r>
            <w:r w:rsidRPr="00C011B2">
              <w:rPr>
                <w:rFonts w:ascii="Times New Roman" w:hAnsi="Times New Roman" w:cs="Times New Roman"/>
                <w:bCs/>
                <w:color w:val="000000" w:themeColor="text1"/>
                <w:lang w:val="ro-MD"/>
              </w:rPr>
              <w:t>secțiunea 1</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 xml:space="preserve">i cu </w:t>
            </w:r>
            <w:r w:rsidRPr="00C011B2">
              <w:rPr>
                <w:rFonts w:ascii="Times New Roman" w:hAnsi="Times New Roman" w:cs="Times New Roman"/>
                <w:bCs/>
                <w:color w:val="000000" w:themeColor="text1"/>
                <w:lang w:val="ro-MD"/>
              </w:rPr>
              <w:t>prezenta secțiune</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nd seama de capacit</w:t>
            </w:r>
            <w:r w:rsidR="00FB5B1C" w:rsidRPr="00C011B2">
              <w:rPr>
                <w:rFonts w:ascii="Times New Roman" w:hAnsi="Times New Roman" w:cs="Times New Roman" w:hint="eastAsia"/>
                <w:bCs/>
                <w:color w:val="000000" w:themeColor="text1"/>
                <w:lang w:val="ro-MD"/>
              </w:rPr>
              <w:t>ăţ</w:t>
            </w:r>
            <w:r w:rsidR="00FB5B1C" w:rsidRPr="00C011B2">
              <w:rPr>
                <w:rFonts w:ascii="Times New Roman" w:hAnsi="Times New Roman" w:cs="Times New Roman"/>
                <w:bCs/>
                <w:color w:val="000000" w:themeColor="text1"/>
                <w:lang w:val="ro-MD"/>
              </w:rPr>
              <w:t xml:space="preserve">ile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 xml:space="preserve">i practicile sale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materie de gestionare a riscurilor. </w:t>
            </w:r>
            <w:r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documenteaz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pe deplin respectarea politicilor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procedurilor respective, le supune unui audit intern cel pu</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 o dat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pe an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pune rezultatele auditului la dispozi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ia </w:t>
            </w:r>
            <w:r w:rsidR="003A2736" w:rsidRPr="00C011B2">
              <w:rPr>
                <w:rFonts w:ascii="Times New Roman" w:hAnsi="Times New Roman" w:cs="Times New Roman"/>
                <w:bCs/>
                <w:color w:val="000000" w:themeColor="text1"/>
                <w:lang w:val="ro-MD"/>
              </w:rPr>
              <w:t>BNM</w:t>
            </w:r>
            <w:r w:rsidR="00A15E08" w:rsidRPr="00C011B2">
              <w:rPr>
                <w:lang w:val="ro-MD"/>
              </w:rPr>
              <w:t xml:space="preserve"> </w:t>
            </w:r>
            <w:r w:rsidR="00A15E08" w:rsidRPr="00C011B2">
              <w:rPr>
                <w:rFonts w:ascii="Times New Roman" w:hAnsi="Times New Roman" w:cs="Times New Roman"/>
                <w:bCs/>
                <w:color w:val="000000" w:themeColor="text1"/>
                <w:lang w:val="ro-MD"/>
              </w:rPr>
              <w:t>în conformitate cu pct. 394, subpct. 1), lit. c) al Regulamentului nr. 322/2018</w:t>
            </w:r>
            <w:r w:rsidR="00FB5B1C" w:rsidRPr="00C011B2">
              <w:rPr>
                <w:rFonts w:ascii="Times New Roman" w:hAnsi="Times New Roman" w:cs="Times New Roman"/>
                <w:bCs/>
                <w:color w:val="000000" w:themeColor="text1"/>
                <w:lang w:val="ro-MD"/>
              </w:rPr>
              <w:t>.</w:t>
            </w:r>
          </w:p>
          <w:p w14:paraId="54DEEA2C" w14:textId="7B497665" w:rsidR="00FB5B1C" w:rsidRPr="00C011B2" w:rsidRDefault="003A2736" w:rsidP="00FB5B1C">
            <w:pPr>
              <w:spacing w:after="0" w:line="276" w:lineRule="auto"/>
              <w:jc w:val="both"/>
              <w:rPr>
                <w:rFonts w:ascii="Times New Roman" w:hAnsi="Times New Roman" w:cs="Times New Roman"/>
                <w:bCs/>
                <w:color w:val="000000" w:themeColor="text1"/>
                <w:lang w:val="ro-MD"/>
              </w:rPr>
            </w:pPr>
            <w:bookmarkStart w:id="45" w:name="_Hlk200708358"/>
            <w:bookmarkEnd w:id="44"/>
            <w:r w:rsidRPr="00C011B2">
              <w:rPr>
                <w:rFonts w:ascii="Times New Roman" w:hAnsi="Times New Roman" w:cs="Times New Roman"/>
                <w:bCs/>
                <w:color w:val="000000" w:themeColor="text1"/>
                <w:lang w:val="ro-MD"/>
              </w:rPr>
              <w:t xml:space="preserve">15. </w:t>
            </w:r>
            <w:r w:rsidR="00A15E08" w:rsidRPr="00C011B2">
              <w:rPr>
                <w:rFonts w:ascii="Times New Roman" w:hAnsi="Times New Roman" w:cs="Times New Roman"/>
                <w:bCs/>
                <w:color w:val="000000" w:themeColor="text1"/>
                <w:lang w:val="ro-MD"/>
              </w:rPr>
              <w:t xml:space="preserve">Funcția de administrare a riscurilor va evalua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mod continuu dac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instrumentele sale sunt atribuite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mod corespunz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tor ca apar</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nd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sau fiind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afara acestuia.</w:t>
            </w:r>
            <w:bookmarkEnd w:id="45"/>
          </w:p>
        </w:tc>
        <w:tc>
          <w:tcPr>
            <w:tcW w:w="450" w:type="pct"/>
          </w:tcPr>
          <w:p w14:paraId="06CA836A" w14:textId="4B30DC61"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22201C6D"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39E087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A949DE" w14:textId="6CFBFF36"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atribuie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pe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instrumente:</w:t>
            </w:r>
          </w:p>
          <w:p w14:paraId="304384F4" w14:textId="56A60AA2"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 xml:space="preserve">(a) instrumentele care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ndeplinesc criteriile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articolul 325 alineatele (6), (7)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(8) pentru includere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pe baz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corela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alternativ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ACTP</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w:t>
            </w:r>
          </w:p>
          <w:p w14:paraId="63E39326" w14:textId="5E360C51"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instrumentele care ar da na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tere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scurte nete de credit sau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scurte nete pe titluri de capital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cu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datoriilor proprii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mai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respective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ndeplinesc criteriile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litera (e);</w:t>
            </w:r>
          </w:p>
          <w:p w14:paraId="4D8D02DA" w14:textId="21D0CF91"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instrumentele care rezult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angajamente de subscriere a titlurilor de valoare,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angajamentele de subscriere respective se refer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numai la titlurile care se preconizeaz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vor fi achizi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de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la data decont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w:t>
            </w:r>
          </w:p>
          <w:p w14:paraId="36E260D3" w14:textId="3EB47CF8"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instrumentele clasificate 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echivoc ca fiind destinate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cadrul contabil aplicabil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w:t>
            </w:r>
          </w:p>
          <w:p w14:paraId="25A94BE8"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instrumentele care rezult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activit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ile de formare a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p w14:paraId="0D63C413" w14:textId="585296A4"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(f)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OPC-uri, cu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 respectivele OPC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ndeplineasc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una dintre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alineatul (8);</w:t>
            </w:r>
          </w:p>
          <w:p w14:paraId="4765C972"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(g) titlurile de capital cotate;</w:t>
            </w:r>
          </w:p>
          <w:p w14:paraId="26EDEB43"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(h) opera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iunile de finan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are prin instrumente financiare legate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p w14:paraId="15F5E0D5"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 op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iunile sau alte instrumente financiare derivate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ncorporate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datoriile proprii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sunt legate de riscul de credit sau de riscul privind titlurile de capital.</w:t>
            </w:r>
          </w:p>
          <w:p w14:paraId="2603F039" w14:textId="1FEE4E45"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sensul primului paragraf litera (b),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scurt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net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titluri de capital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sc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dere 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ului titlurilor de capital are ca rezultat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inerea unui profit de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scurt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net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credit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majorarea marjei de credit sau deteriorarea bonit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emitentului sau a grupului de emiten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are ca rezultat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inerea unui profit de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monitorizeaz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permanen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instrumentele dau na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tere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scurte nete de credit sau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 scurte nete pe titluri de capital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p w14:paraId="793815C1" w14:textId="5482B4B1"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sensul primului paragraf litera (i),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separ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iunea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ncorporat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alte instrumente financiare derivate de datoria proprie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este legat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riscul de credit sau de riscul privind titlurile de capital. Aceasta atribuie op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iunea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ncorporat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alte instrumente financiare derivate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las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datoria </w:t>
            </w:r>
            <w:r w:rsidRPr="00C011B2">
              <w:rPr>
                <w:rFonts w:ascii="Times New Roman" w:hAnsi="Times New Roman" w:cs="Times New Roman"/>
                <w:bCs/>
                <w:color w:val="000000" w:themeColor="text1"/>
                <w:lang w:val="ro-MD"/>
              </w:rPr>
              <w:lastRenderedPageBreak/>
              <w:t xml:space="preserve">proprie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virtutea naturii sale, nu este posibil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separarea instrumentului, atunci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atribuie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ntregul instrument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acest caz, aceasta documenteaz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corespunz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motivul aplic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tratamentului respectiv.</w:t>
            </w:r>
          </w:p>
        </w:tc>
        <w:tc>
          <w:tcPr>
            <w:tcW w:w="1692" w:type="pct"/>
            <w:shd w:val="clear" w:color="auto" w:fill="auto"/>
          </w:tcPr>
          <w:p w14:paraId="3944996E" w14:textId="3B0777CF" w:rsidR="00FB5B1C" w:rsidRPr="00C011B2" w:rsidRDefault="003A2736" w:rsidP="00FB5B1C">
            <w:pPr>
              <w:spacing w:after="0" w:line="276" w:lineRule="auto"/>
              <w:jc w:val="both"/>
              <w:rPr>
                <w:rFonts w:ascii="Times New Roman" w:hAnsi="Times New Roman" w:cs="Times New Roman"/>
                <w:bCs/>
                <w:color w:val="000000" w:themeColor="text1"/>
                <w:lang w:val="ro-MD"/>
              </w:rPr>
            </w:pPr>
            <w:bookmarkStart w:id="46" w:name="_Hlk200708386"/>
            <w:r w:rsidRPr="00C011B2">
              <w:rPr>
                <w:rFonts w:ascii="Times New Roman" w:hAnsi="Times New Roman" w:cs="Times New Roman"/>
                <w:bCs/>
                <w:color w:val="000000" w:themeColor="text1"/>
                <w:lang w:val="ro-MD"/>
              </w:rPr>
              <w:lastRenderedPageBreak/>
              <w:t>16.</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atribuie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pe urm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toarele instrumente:</w:t>
            </w:r>
          </w:p>
          <w:p w14:paraId="17BEE209" w14:textId="16D2FA4C"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16.1.</w:t>
            </w:r>
            <w:r w:rsidR="00FB5B1C" w:rsidRPr="00C011B2">
              <w:rPr>
                <w:rFonts w:ascii="Times New Roman" w:hAnsi="Times New Roman" w:cs="Times New Roman"/>
                <w:bCs/>
                <w:color w:val="000000" w:themeColor="text1"/>
                <w:lang w:val="ro-MD"/>
              </w:rPr>
              <w:t xml:space="preserve"> instrumentele care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ndeplinesc criteriile prev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zute la </w:t>
            </w:r>
            <w:r w:rsidR="00880EF6" w:rsidRPr="00C011B2">
              <w:rPr>
                <w:rFonts w:ascii="Times New Roman" w:hAnsi="Times New Roman" w:cs="Times New Roman"/>
                <w:bCs/>
                <w:color w:val="000000" w:themeColor="text1"/>
                <w:lang w:val="ro-RO"/>
              </w:rPr>
              <w:t xml:space="preserve">subpct.75-78 </w:t>
            </w:r>
            <w:r w:rsidR="00FB5B1C" w:rsidRPr="00C011B2">
              <w:rPr>
                <w:rFonts w:ascii="Times New Roman" w:hAnsi="Times New Roman" w:cs="Times New Roman"/>
                <w:bCs/>
                <w:color w:val="000000" w:themeColor="text1"/>
                <w:lang w:val="ro-MD"/>
              </w:rPr>
              <w:t xml:space="preserve">pentru includere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portofoliul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pe baz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de corela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alternativ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ACTP</w:t>
            </w:r>
            <w:r w:rsidR="00FB5B1C" w:rsidRPr="00C011B2">
              <w:rPr>
                <w:rFonts w:ascii="Times New Roman" w:hAnsi="Times New Roman" w:cs="Times New Roman" w:hint="eastAsia"/>
                <w:bCs/>
                <w:color w:val="000000" w:themeColor="text1"/>
                <w:lang w:val="ro-MD"/>
              </w:rPr>
              <w:t>”</w:t>
            </w:r>
            <w:r w:rsidR="00FB5B1C" w:rsidRPr="00C011B2">
              <w:rPr>
                <w:rFonts w:ascii="Times New Roman" w:hAnsi="Times New Roman" w:cs="Times New Roman"/>
                <w:bCs/>
                <w:color w:val="000000" w:themeColor="text1"/>
                <w:lang w:val="ro-MD"/>
              </w:rPr>
              <w:t>);</w:t>
            </w:r>
          </w:p>
          <w:p w14:paraId="10F23B47" w14:textId="3C8C9014"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16.2.</w:t>
            </w:r>
            <w:r w:rsidR="00FB5B1C" w:rsidRPr="00C011B2">
              <w:rPr>
                <w:rFonts w:ascii="Times New Roman" w:hAnsi="Times New Roman" w:cs="Times New Roman"/>
                <w:bCs/>
                <w:color w:val="000000" w:themeColor="text1"/>
                <w:lang w:val="ro-MD"/>
              </w:rPr>
              <w:t xml:space="preserve"> instrumentele care ar da na</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tere unei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scurte nete de credit sau unei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scurte nete pe titluri de capital din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cu excep</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ia datoriilor proprii ale </w:t>
            </w:r>
            <w:r w:rsidRPr="00C011B2">
              <w:rPr>
                <w:rFonts w:ascii="Times New Roman" w:hAnsi="Times New Roman" w:cs="Times New Roman"/>
                <w:bCs/>
                <w:color w:val="000000" w:themeColor="text1"/>
                <w:lang w:val="ro-MD"/>
              </w:rPr>
              <w:t>băncii</w:t>
            </w:r>
            <w:r w:rsidR="00FB5B1C" w:rsidRPr="00C011B2">
              <w:rPr>
                <w:rFonts w:ascii="Times New Roman" w:hAnsi="Times New Roman" w:cs="Times New Roman"/>
                <w:bCs/>
                <w:color w:val="000000" w:themeColor="text1"/>
                <w:lang w:val="ro-MD"/>
              </w:rPr>
              <w:t>, mai pu</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 atunci c</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nd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iile respective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ndeplinesc criteriile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subpct.16.5</w:t>
            </w:r>
            <w:r w:rsidR="00FB5B1C" w:rsidRPr="00C011B2">
              <w:rPr>
                <w:rFonts w:ascii="Times New Roman" w:hAnsi="Times New Roman" w:cs="Times New Roman"/>
                <w:bCs/>
                <w:color w:val="000000" w:themeColor="text1"/>
                <w:lang w:val="ro-MD"/>
              </w:rPr>
              <w:t>;</w:t>
            </w:r>
          </w:p>
          <w:p w14:paraId="37D8DBA0" w14:textId="7941626A"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16.3.</w:t>
            </w:r>
            <w:r w:rsidR="00FB5B1C" w:rsidRPr="00C011B2">
              <w:rPr>
                <w:rFonts w:ascii="Times New Roman" w:hAnsi="Times New Roman" w:cs="Times New Roman"/>
                <w:bCs/>
                <w:color w:val="000000" w:themeColor="text1"/>
                <w:lang w:val="ro-MD"/>
              </w:rPr>
              <w:t xml:space="preserve"> instrumentele care rezult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din angajamente de subscriere a titlurilor de valoare,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care angajamentele de subscriere respective se refer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numai la titlurile care se preconizeaz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vor fi achizi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ionate de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tre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la data decont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w:t>
            </w:r>
          </w:p>
          <w:p w14:paraId="156E51E2" w14:textId="44D9C502"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16.4.</w:t>
            </w:r>
            <w:r w:rsidR="00FB5B1C" w:rsidRPr="00C011B2">
              <w:rPr>
                <w:rFonts w:ascii="Times New Roman" w:hAnsi="Times New Roman" w:cs="Times New Roman"/>
                <w:bCs/>
                <w:color w:val="000000" w:themeColor="text1"/>
                <w:lang w:val="ro-MD"/>
              </w:rPr>
              <w:t xml:space="preserve"> instrumentele clasificate f</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echivoc ca fiind destinate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rii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conformitate cu cadrul contabil aplicabil </w:t>
            </w:r>
            <w:r w:rsidRPr="00C011B2">
              <w:rPr>
                <w:rFonts w:ascii="Times New Roman" w:hAnsi="Times New Roman" w:cs="Times New Roman"/>
                <w:bCs/>
                <w:color w:val="000000" w:themeColor="text1"/>
                <w:lang w:val="ro-MD"/>
              </w:rPr>
              <w:t>băncii</w:t>
            </w:r>
            <w:r w:rsidR="00FB5B1C" w:rsidRPr="00C011B2">
              <w:rPr>
                <w:rFonts w:ascii="Times New Roman" w:hAnsi="Times New Roman" w:cs="Times New Roman"/>
                <w:bCs/>
                <w:color w:val="000000" w:themeColor="text1"/>
                <w:lang w:val="ro-MD"/>
              </w:rPr>
              <w:t>;</w:t>
            </w:r>
          </w:p>
          <w:p w14:paraId="44480CE3" w14:textId="7167BD2F"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16.5.</w:t>
            </w:r>
            <w:r w:rsidR="00FB5B1C" w:rsidRPr="00C011B2">
              <w:rPr>
                <w:rFonts w:ascii="Times New Roman" w:hAnsi="Times New Roman" w:cs="Times New Roman"/>
                <w:bCs/>
                <w:color w:val="000000" w:themeColor="text1"/>
                <w:lang w:val="ro-MD"/>
              </w:rPr>
              <w:t xml:space="preserve"> instrumentele care rezult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din activit</w:t>
            </w:r>
            <w:r w:rsidR="00FB5B1C" w:rsidRPr="00C011B2">
              <w:rPr>
                <w:rFonts w:ascii="Times New Roman" w:hAnsi="Times New Roman" w:cs="Times New Roman" w:hint="eastAsia"/>
                <w:bCs/>
                <w:color w:val="000000" w:themeColor="text1"/>
                <w:lang w:val="ro-MD"/>
              </w:rPr>
              <w:t>ăţ</w:t>
            </w:r>
            <w:r w:rsidR="00FB5B1C" w:rsidRPr="00C011B2">
              <w:rPr>
                <w:rFonts w:ascii="Times New Roman" w:hAnsi="Times New Roman" w:cs="Times New Roman"/>
                <w:bCs/>
                <w:color w:val="000000" w:themeColor="text1"/>
                <w:lang w:val="ro-MD"/>
              </w:rPr>
              <w:t>ile de formare a pie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ei;</w:t>
            </w:r>
          </w:p>
          <w:p w14:paraId="1B234CBD" w14:textId="0B99C09A"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16.6.</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inute cu 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rii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OPC-uri, cu condi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ca respectivele OPC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ndeplineasc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cel pu</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 una dintre condi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prev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zute la </w:t>
            </w:r>
            <w:r w:rsidR="00377AB3" w:rsidRPr="00C011B2">
              <w:rPr>
                <w:rFonts w:ascii="Times New Roman" w:hAnsi="Times New Roman" w:cs="Times New Roman"/>
                <w:bCs/>
                <w:color w:val="000000" w:themeColor="text1"/>
                <w:lang w:val="ro-MD"/>
              </w:rPr>
              <w:t>pct.24</w:t>
            </w:r>
            <w:r w:rsidR="00FB5B1C" w:rsidRPr="00C011B2">
              <w:rPr>
                <w:rFonts w:ascii="Times New Roman" w:hAnsi="Times New Roman" w:cs="Times New Roman"/>
                <w:bCs/>
                <w:color w:val="000000" w:themeColor="text1"/>
                <w:lang w:val="ro-MD"/>
              </w:rPr>
              <w:t>;</w:t>
            </w:r>
          </w:p>
          <w:p w14:paraId="3443B432" w14:textId="247E7883"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16.7.</w:t>
            </w:r>
            <w:r w:rsidR="00FB5B1C" w:rsidRPr="00C011B2">
              <w:rPr>
                <w:rFonts w:ascii="Times New Roman" w:hAnsi="Times New Roman" w:cs="Times New Roman"/>
                <w:bCs/>
                <w:color w:val="000000" w:themeColor="text1"/>
                <w:lang w:val="ro-MD"/>
              </w:rPr>
              <w:t xml:space="preserve"> titlurile de capital cotate;</w:t>
            </w:r>
          </w:p>
          <w:p w14:paraId="2464AB39" w14:textId="22E205A5"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16.8.</w:t>
            </w:r>
            <w:r w:rsidR="00FB5B1C" w:rsidRPr="00C011B2">
              <w:rPr>
                <w:rFonts w:ascii="Times New Roman" w:hAnsi="Times New Roman" w:cs="Times New Roman"/>
                <w:bCs/>
                <w:color w:val="000000" w:themeColor="text1"/>
                <w:lang w:val="ro-MD"/>
              </w:rPr>
              <w:t xml:space="preserve"> opera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iunile de finan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are prin instrumente financiare legate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p>
          <w:p w14:paraId="45096101" w14:textId="41DCA19C"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16.9.</w:t>
            </w:r>
            <w:r w:rsidR="00FB5B1C" w:rsidRPr="00C011B2">
              <w:rPr>
                <w:rFonts w:ascii="Times New Roman" w:hAnsi="Times New Roman" w:cs="Times New Roman"/>
                <w:bCs/>
                <w:color w:val="000000" w:themeColor="text1"/>
                <w:lang w:val="ro-MD"/>
              </w:rPr>
              <w:t xml:space="preserve"> op</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iunile sau alte instrumente financiare derivate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ncorporate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datoriile proprii ale </w:t>
            </w:r>
            <w:r w:rsidRPr="00C011B2">
              <w:rPr>
                <w:rFonts w:ascii="Times New Roman" w:hAnsi="Times New Roman" w:cs="Times New Roman"/>
                <w:bCs/>
                <w:color w:val="000000" w:themeColor="text1"/>
                <w:lang w:val="ro-MD"/>
              </w:rPr>
              <w:t xml:space="preserve">băncii </w:t>
            </w:r>
            <w:r w:rsidR="00FB5B1C" w:rsidRPr="00C011B2">
              <w:rPr>
                <w:rFonts w:ascii="Times New Roman" w:hAnsi="Times New Roman" w:cs="Times New Roman"/>
                <w:bCs/>
                <w:color w:val="000000" w:themeColor="text1"/>
                <w:lang w:val="ro-MD"/>
              </w:rPr>
              <w:t>din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care sunt legate de riscul de credit sau de riscul privind titlurile de capital.</w:t>
            </w:r>
          </w:p>
          <w:p w14:paraId="13DB3F27" w14:textId="405073B9" w:rsidR="00FB5B1C" w:rsidRPr="00C011B2" w:rsidRDefault="003A2736"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17.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sensul</w:t>
            </w:r>
            <w:r w:rsidR="001E70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subpct.16.2</w:t>
            </w:r>
            <w:r w:rsidR="00FB5B1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scurt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net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pe titluri de capital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care o sc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dere a pre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ului titlurilor de capital are ca rezultat ob</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inerea unui profit de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tre </w:t>
            </w:r>
            <w:r w:rsidRPr="00C011B2">
              <w:rPr>
                <w:rFonts w:ascii="Times New Roman" w:hAnsi="Times New Roman" w:cs="Times New Roman"/>
                <w:bCs/>
                <w:color w:val="000000" w:themeColor="text1"/>
                <w:lang w:val="ro-MD"/>
              </w:rPr>
              <w:t>bancă</w:t>
            </w:r>
            <w:r w:rsidR="00FB5B1C" w:rsidRPr="00C011B2">
              <w:rPr>
                <w:rFonts w:ascii="Times New Roman" w:hAnsi="Times New Roman" w:cs="Times New Roman"/>
                <w:bCs/>
                <w:color w:val="000000" w:themeColor="text1"/>
                <w:lang w:val="ro-MD"/>
              </w:rPr>
              <w:t xml:space="preserve">. O </w:t>
            </w:r>
            <w:r w:rsidR="002767A9"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scurt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net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de credit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care majorarea marjei de credit sau deteriorarea bonit</w:t>
            </w:r>
            <w:r w:rsidR="00FB5B1C" w:rsidRPr="00C011B2">
              <w:rPr>
                <w:rFonts w:ascii="Times New Roman" w:hAnsi="Times New Roman" w:cs="Times New Roman" w:hint="eastAsia"/>
                <w:bCs/>
                <w:color w:val="000000" w:themeColor="text1"/>
                <w:lang w:val="ro-MD"/>
              </w:rPr>
              <w:t>ăţ</w:t>
            </w:r>
            <w:r w:rsidR="00FB5B1C" w:rsidRPr="00C011B2">
              <w:rPr>
                <w:rFonts w:ascii="Times New Roman" w:hAnsi="Times New Roman" w:cs="Times New Roman"/>
                <w:bCs/>
                <w:color w:val="000000" w:themeColor="text1"/>
                <w:lang w:val="ro-MD"/>
              </w:rPr>
              <w:t>ii emitentului sau a grupului de emiten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 are ca rezultat ob</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inerea unui profit de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tre </w:t>
            </w:r>
            <w:r w:rsidR="002767A9" w:rsidRPr="00C011B2">
              <w:rPr>
                <w:rFonts w:ascii="Times New Roman" w:hAnsi="Times New Roman" w:cs="Times New Roman"/>
                <w:bCs/>
                <w:color w:val="000000" w:themeColor="text1"/>
                <w:lang w:val="ro-MD"/>
              </w:rPr>
              <w:t>bancă</w:t>
            </w:r>
            <w:r w:rsidR="00FB5B1C" w:rsidRPr="00C011B2">
              <w:rPr>
                <w:rFonts w:ascii="Times New Roman" w:hAnsi="Times New Roman" w:cs="Times New Roman"/>
                <w:bCs/>
                <w:color w:val="000000" w:themeColor="text1"/>
                <w:lang w:val="ro-MD"/>
              </w:rPr>
              <w:t xml:space="preserve">. </w:t>
            </w:r>
            <w:r w:rsidR="002767A9"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monitorizeaz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permanen</w:t>
            </w:r>
            <w:r w:rsidR="00FB5B1C" w:rsidRPr="00C011B2">
              <w:rPr>
                <w:rFonts w:ascii="Times New Roman" w:hAnsi="Times New Roman" w:cs="Times New Roman" w:hint="eastAsia"/>
                <w:bCs/>
                <w:color w:val="000000" w:themeColor="text1"/>
                <w:lang w:val="ro-MD"/>
              </w:rPr>
              <w:t>ţă</w:t>
            </w:r>
            <w:r w:rsidR="00FB5B1C" w:rsidRPr="00C011B2">
              <w:rPr>
                <w:rFonts w:ascii="Times New Roman" w:hAnsi="Times New Roman" w:cs="Times New Roman"/>
                <w:bCs/>
                <w:color w:val="000000" w:themeColor="text1"/>
                <w:lang w:val="ro-MD"/>
              </w:rPr>
              <w:t xml:space="preserve"> dac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instrumentele dau na</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tere unei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scurte nete de credit sau unei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ii scurte nete pe titluri de capital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p>
          <w:p w14:paraId="77A77E7A" w14:textId="22F0410A" w:rsidR="00FB5B1C" w:rsidRPr="00C011B2" w:rsidRDefault="002767A9"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18.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sensul </w:t>
            </w:r>
            <w:r w:rsidRPr="00C011B2">
              <w:rPr>
                <w:rFonts w:ascii="Times New Roman" w:hAnsi="Times New Roman" w:cs="Times New Roman"/>
                <w:bCs/>
                <w:color w:val="000000" w:themeColor="text1"/>
                <w:lang w:val="ro-MD"/>
              </w:rPr>
              <w:t>subpct.16.9</w:t>
            </w:r>
            <w:r w:rsidR="00FB5B1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separ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op</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iunea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ncorporat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sau alte instrumente financiare derivate de datoria proprie din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care este legat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de riscul de credit sau de riscul privind titlurile de capital. Aceasta atribuie op</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iunea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ncorporat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sau alte instrumente financiare derivate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las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datoria proprie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Dac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virtutea naturii sale, nu este </w:t>
            </w:r>
            <w:r w:rsidR="00FB5B1C" w:rsidRPr="00C011B2">
              <w:rPr>
                <w:rFonts w:ascii="Times New Roman" w:hAnsi="Times New Roman" w:cs="Times New Roman"/>
                <w:bCs/>
                <w:color w:val="000000" w:themeColor="text1"/>
                <w:lang w:val="ro-MD"/>
              </w:rPr>
              <w:lastRenderedPageBreak/>
              <w:t>posibil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separarea instrumentului, atunci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atribuie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ntregul instrument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acest caz, aceasta documenteaz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mod corespunz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tor motivul aplic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tratamentului respectiv.</w:t>
            </w:r>
            <w:bookmarkEnd w:id="46"/>
          </w:p>
        </w:tc>
        <w:tc>
          <w:tcPr>
            <w:tcW w:w="450" w:type="pct"/>
          </w:tcPr>
          <w:p w14:paraId="6FAC07C7" w14:textId="0CBF4193"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35B34811"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45CAA8C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B81CA0B" w14:textId="18C38633"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(3)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nu atribuie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instrumente:</w:t>
            </w:r>
          </w:p>
          <w:p w14:paraId="1F645BDA" w14:textId="3E548A9E"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(a) instrumentele desemnate pentru includerea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ntr-un depozit de securitizare (</w:t>
            </w:r>
            <w:r w:rsidRPr="00C011B2">
              <w:rPr>
                <w:rFonts w:ascii="Times New Roman" w:hAnsi="Times New Roman" w:cs="Times New Roman"/>
                <w:bCs/>
                <w:i/>
                <w:iCs/>
                <w:color w:val="000000" w:themeColor="text1"/>
                <w:lang w:val="ro-MD"/>
              </w:rPr>
              <w:t>securitisation warehouse</w:t>
            </w:r>
            <w:r w:rsidRPr="00C011B2">
              <w:rPr>
                <w:rFonts w:ascii="Times New Roman" w:hAnsi="Times New Roman" w:cs="Times New Roman"/>
                <w:bCs/>
                <w:color w:val="000000" w:themeColor="text1"/>
                <w:lang w:val="ro-MD"/>
              </w:rPr>
              <w:t>);</w:t>
            </w:r>
          </w:p>
          <w:p w14:paraId="68246B32"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instrumentele legate de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inerile de bunuri imobile;</w:t>
            </w:r>
          </w:p>
          <w:p w14:paraId="5831556C"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titlurile de capital necotate;</w:t>
            </w:r>
          </w:p>
          <w:p w14:paraId="77A6FE87" w14:textId="7777777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(d) instrumentele legate de credite de retail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pentru IMM-uri;</w:t>
            </w:r>
          </w:p>
          <w:p w14:paraId="1EF64905" w14:textId="34E38C9B"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pe alte OPC-uri dec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cele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(2) litera (f);</w:t>
            </w:r>
          </w:p>
          <w:p w14:paraId="0B7322D7" w14:textId="4C27A818"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(f) contractele derivate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OPC-urile cu unul sau mai multe dintre instrumentele-suport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prezentul alineat literele (a)-(d);</w:t>
            </w:r>
          </w:p>
          <w:p w14:paraId="157AE8E2" w14:textId="7F822FF3"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(g) instrumentele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pentru acoperirea unui anumit risc aferent uneia sau mai multor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pe un instrument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 la prezentul alineat literele (a)-(f), (h)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(i);</w:t>
            </w:r>
          </w:p>
          <w:p w14:paraId="58696240" w14:textId="627A7B5C"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(h) datoriile proprii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cu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cazului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care astfel de instrumente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ndeplinesc criteriile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(2) litera (e) sau criteriile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(2) al treilea paragraf;</w:t>
            </w:r>
          </w:p>
          <w:p w14:paraId="6C8B30B2" w14:textId="5DEB2367"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 instrumentele din fonduri de hedging.</w:t>
            </w:r>
          </w:p>
        </w:tc>
        <w:tc>
          <w:tcPr>
            <w:tcW w:w="1692" w:type="pct"/>
            <w:shd w:val="clear" w:color="auto" w:fill="auto"/>
          </w:tcPr>
          <w:p w14:paraId="2A19BFDC" w14:textId="61173E07" w:rsidR="00FB5B1C" w:rsidRPr="00C011B2" w:rsidRDefault="00E26D2C" w:rsidP="00FB5B1C">
            <w:pPr>
              <w:spacing w:after="0" w:line="276" w:lineRule="auto"/>
              <w:jc w:val="both"/>
              <w:rPr>
                <w:rFonts w:ascii="Times New Roman" w:hAnsi="Times New Roman" w:cs="Times New Roman"/>
                <w:bCs/>
                <w:color w:val="000000" w:themeColor="text1"/>
                <w:lang w:val="ro-MD"/>
              </w:rPr>
            </w:pPr>
            <w:bookmarkStart w:id="47" w:name="_Hlk200713416"/>
            <w:r w:rsidRPr="00C011B2">
              <w:rPr>
                <w:rFonts w:ascii="Times New Roman" w:hAnsi="Times New Roman" w:cs="Times New Roman"/>
                <w:bCs/>
                <w:color w:val="000000" w:themeColor="text1"/>
                <w:lang w:val="ro-MD"/>
              </w:rPr>
              <w:lastRenderedPageBreak/>
              <w:t>19.</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FB5B1C" w:rsidRPr="00C011B2">
              <w:rPr>
                <w:rFonts w:ascii="Times New Roman" w:hAnsi="Times New Roman" w:cs="Times New Roman"/>
                <w:bCs/>
                <w:color w:val="000000" w:themeColor="text1"/>
                <w:lang w:val="ro-MD"/>
              </w:rPr>
              <w:t>nu atribuie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pe urm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toarele instrumente:</w:t>
            </w:r>
          </w:p>
          <w:p w14:paraId="38E232E3" w14:textId="53B36E54"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19.1.</w:t>
            </w:r>
            <w:r w:rsidR="00FB5B1C" w:rsidRPr="00C011B2">
              <w:rPr>
                <w:rFonts w:ascii="Times New Roman" w:hAnsi="Times New Roman" w:cs="Times New Roman"/>
                <w:bCs/>
                <w:color w:val="000000" w:themeColor="text1"/>
                <w:lang w:val="ro-MD"/>
              </w:rPr>
              <w:t xml:space="preserve"> instrumentele desemnate pentru includerea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ntr-un depozit de securitizare (</w:t>
            </w:r>
            <w:r w:rsidR="00FB5B1C" w:rsidRPr="00C011B2">
              <w:rPr>
                <w:rFonts w:ascii="Times New Roman" w:hAnsi="Times New Roman" w:cs="Times New Roman"/>
                <w:bCs/>
                <w:i/>
                <w:iCs/>
                <w:color w:val="000000" w:themeColor="text1"/>
                <w:lang w:val="ro-MD"/>
              </w:rPr>
              <w:t>securitisation warehouse</w:t>
            </w:r>
            <w:r w:rsidR="00FB5B1C" w:rsidRPr="00C011B2">
              <w:rPr>
                <w:rFonts w:ascii="Times New Roman" w:hAnsi="Times New Roman" w:cs="Times New Roman"/>
                <w:bCs/>
                <w:color w:val="000000" w:themeColor="text1"/>
                <w:lang w:val="ro-MD"/>
              </w:rPr>
              <w:t>);</w:t>
            </w:r>
          </w:p>
          <w:p w14:paraId="58C711BE" w14:textId="259C79EA"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19.2.</w:t>
            </w:r>
            <w:r w:rsidR="00FB5B1C" w:rsidRPr="00C011B2">
              <w:rPr>
                <w:rFonts w:ascii="Times New Roman" w:hAnsi="Times New Roman" w:cs="Times New Roman"/>
                <w:bCs/>
                <w:color w:val="000000" w:themeColor="text1"/>
                <w:lang w:val="ro-MD"/>
              </w:rPr>
              <w:t xml:space="preserve"> instrumentele legate de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inerile de bunuri imobile;</w:t>
            </w:r>
          </w:p>
          <w:p w14:paraId="680099B6" w14:textId="7EFDC0F9"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19.3.</w:t>
            </w:r>
            <w:r w:rsidR="00FB5B1C" w:rsidRPr="00C011B2">
              <w:rPr>
                <w:rFonts w:ascii="Times New Roman" w:hAnsi="Times New Roman" w:cs="Times New Roman"/>
                <w:bCs/>
                <w:color w:val="000000" w:themeColor="text1"/>
                <w:lang w:val="ro-MD"/>
              </w:rPr>
              <w:t xml:space="preserve"> titlurile de capital necotate;</w:t>
            </w:r>
          </w:p>
          <w:p w14:paraId="7A15C656" w14:textId="67E10EC9"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19.4.</w:t>
            </w:r>
            <w:r w:rsidR="00FB5B1C" w:rsidRPr="00C011B2">
              <w:rPr>
                <w:rFonts w:ascii="Times New Roman" w:hAnsi="Times New Roman" w:cs="Times New Roman"/>
                <w:bCs/>
                <w:color w:val="000000" w:themeColor="text1"/>
                <w:lang w:val="ro-MD"/>
              </w:rPr>
              <w:t xml:space="preserve"> instrumentele legate de credite de retail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pentru IMM-uri;</w:t>
            </w:r>
          </w:p>
          <w:p w14:paraId="3066CEAC" w14:textId="1F4A7FDA"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19.5.</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pe alte OPC-uri dec</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t cele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subpct.16.6</w:t>
            </w:r>
            <w:r w:rsidR="00FB5B1C" w:rsidRPr="00C011B2">
              <w:rPr>
                <w:rFonts w:ascii="Times New Roman" w:hAnsi="Times New Roman" w:cs="Times New Roman"/>
                <w:bCs/>
                <w:color w:val="000000" w:themeColor="text1"/>
                <w:lang w:val="ro-MD"/>
              </w:rPr>
              <w:t>;</w:t>
            </w:r>
          </w:p>
          <w:p w14:paraId="73137905" w14:textId="73B12B4F"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19.6.</w:t>
            </w:r>
            <w:r w:rsidR="00FB5B1C" w:rsidRPr="00C011B2">
              <w:rPr>
                <w:rFonts w:ascii="Times New Roman" w:hAnsi="Times New Roman" w:cs="Times New Roman"/>
                <w:bCs/>
                <w:color w:val="000000" w:themeColor="text1"/>
                <w:lang w:val="ro-MD"/>
              </w:rPr>
              <w:t xml:space="preserve"> contractele derivate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OPC-urile cu unul sau mai multe dintre instrumentele-suport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ionate la</w:t>
            </w:r>
            <w:r w:rsidR="00A34689"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subpct.19.1-19.4</w:t>
            </w:r>
            <w:r w:rsidR="00FB5B1C" w:rsidRPr="00C011B2">
              <w:rPr>
                <w:rFonts w:ascii="Times New Roman" w:hAnsi="Times New Roman" w:cs="Times New Roman"/>
                <w:bCs/>
                <w:color w:val="000000" w:themeColor="text1"/>
                <w:lang w:val="ro-MD"/>
              </w:rPr>
              <w:t>;</w:t>
            </w:r>
          </w:p>
          <w:p w14:paraId="4D169B2B" w14:textId="41CF72F3"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19.7.</w:t>
            </w:r>
            <w:r w:rsidR="00FB5B1C" w:rsidRPr="00C011B2">
              <w:rPr>
                <w:rFonts w:ascii="Times New Roman" w:hAnsi="Times New Roman" w:cs="Times New Roman"/>
                <w:bCs/>
                <w:color w:val="000000" w:themeColor="text1"/>
                <w:lang w:val="ro-MD"/>
              </w:rPr>
              <w:t xml:space="preserve"> instrumentele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inute pentru acoperirea unui anumit risc aferent uneia sau mai multor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pe un instrument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 la </w:t>
            </w:r>
            <w:r w:rsidRPr="00C011B2">
              <w:rPr>
                <w:rFonts w:ascii="Times New Roman" w:hAnsi="Times New Roman" w:cs="Times New Roman"/>
                <w:bCs/>
                <w:color w:val="000000" w:themeColor="text1"/>
                <w:lang w:val="ro-MD"/>
              </w:rPr>
              <w:t>subpct.19.1-19.6, 19.8 și 19.9</w:t>
            </w:r>
            <w:r w:rsidR="00FB5B1C" w:rsidRPr="00C011B2">
              <w:rPr>
                <w:rFonts w:ascii="Times New Roman" w:hAnsi="Times New Roman" w:cs="Times New Roman"/>
                <w:bCs/>
                <w:color w:val="000000" w:themeColor="text1"/>
                <w:lang w:val="ro-MD"/>
              </w:rPr>
              <w:t>;</w:t>
            </w:r>
          </w:p>
          <w:p w14:paraId="774B9F41" w14:textId="114CFD42"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19.8.</w:t>
            </w:r>
            <w:r w:rsidR="00FB5B1C" w:rsidRPr="00C011B2">
              <w:rPr>
                <w:rFonts w:ascii="Times New Roman" w:hAnsi="Times New Roman" w:cs="Times New Roman"/>
                <w:bCs/>
                <w:color w:val="000000" w:themeColor="text1"/>
                <w:lang w:val="ro-MD"/>
              </w:rPr>
              <w:t xml:space="preserve"> datoriile proprii ale </w:t>
            </w:r>
            <w:r w:rsidRPr="00C011B2">
              <w:rPr>
                <w:rFonts w:ascii="Times New Roman" w:hAnsi="Times New Roman" w:cs="Times New Roman"/>
                <w:bCs/>
                <w:color w:val="000000" w:themeColor="text1"/>
                <w:lang w:val="ro-MD"/>
              </w:rPr>
              <w:t>băncii</w:t>
            </w:r>
            <w:r w:rsidR="00FB5B1C" w:rsidRPr="00C011B2">
              <w:rPr>
                <w:rFonts w:ascii="Times New Roman" w:hAnsi="Times New Roman" w:cs="Times New Roman"/>
                <w:bCs/>
                <w:color w:val="000000" w:themeColor="text1"/>
                <w:lang w:val="ro-MD"/>
              </w:rPr>
              <w:t>, cu excep</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ia cazului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astfel de instrumente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ndeplinesc criteriile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 xml:space="preserve">subpct.16.5 </w:t>
            </w:r>
            <w:r w:rsidR="00FB5B1C" w:rsidRPr="00C011B2">
              <w:rPr>
                <w:rFonts w:ascii="Times New Roman" w:hAnsi="Times New Roman" w:cs="Times New Roman"/>
                <w:bCs/>
                <w:color w:val="000000" w:themeColor="text1"/>
                <w:lang w:val="ro-MD"/>
              </w:rPr>
              <w:t>sau criteriile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subpct.18</w:t>
            </w:r>
            <w:r w:rsidR="00FB5B1C" w:rsidRPr="00C011B2">
              <w:rPr>
                <w:rFonts w:ascii="Times New Roman" w:hAnsi="Times New Roman" w:cs="Times New Roman"/>
                <w:bCs/>
                <w:color w:val="000000" w:themeColor="text1"/>
                <w:lang w:val="ro-MD"/>
              </w:rPr>
              <w:t>;</w:t>
            </w:r>
          </w:p>
          <w:p w14:paraId="32D81467" w14:textId="519C87DF" w:rsidR="00FB5B1C" w:rsidRPr="00C011B2" w:rsidRDefault="00E26D2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19.9.</w:t>
            </w:r>
            <w:r w:rsidR="00FB5B1C" w:rsidRPr="00C011B2">
              <w:rPr>
                <w:rFonts w:ascii="Times New Roman" w:hAnsi="Times New Roman" w:cs="Times New Roman"/>
                <w:bCs/>
                <w:color w:val="000000" w:themeColor="text1"/>
                <w:lang w:val="ro-MD"/>
              </w:rPr>
              <w:t xml:space="preserve"> instrumentele din fonduri de hedging.</w:t>
            </w:r>
            <w:bookmarkEnd w:id="47"/>
          </w:p>
        </w:tc>
        <w:tc>
          <w:tcPr>
            <w:tcW w:w="450" w:type="pct"/>
          </w:tcPr>
          <w:p w14:paraId="26937116" w14:textId="7C5A38F3"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01661F47"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1EA1050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A51EA57" w14:textId="303C6930"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 Prin derogare de la alineatul (2),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poate 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un instrument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 la literele (d)-(i) de la alineatul respectiv, sub rezerva aprob</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de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tre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aprobarea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w:t>
            </w:r>
          </w:p>
          <w:p w14:paraId="624CCCD2" w14:textId="4AC1CB04"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a demonstrat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ntr-un mod considerat satisf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de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nu este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sau nu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w:t>
            </w:r>
          </w:p>
        </w:tc>
        <w:tc>
          <w:tcPr>
            <w:tcW w:w="1692" w:type="pct"/>
            <w:shd w:val="clear" w:color="auto" w:fill="auto"/>
          </w:tcPr>
          <w:p w14:paraId="375A83DC" w14:textId="572D4BF5" w:rsidR="00FB5B1C" w:rsidRPr="00C011B2" w:rsidRDefault="00965B75" w:rsidP="00FB5B1C">
            <w:pPr>
              <w:spacing w:after="0" w:line="276" w:lineRule="auto"/>
              <w:jc w:val="both"/>
              <w:rPr>
                <w:rFonts w:ascii="Times New Roman" w:hAnsi="Times New Roman" w:cs="Times New Roman"/>
                <w:bCs/>
                <w:color w:val="000000" w:themeColor="text1"/>
                <w:lang w:val="ro-MD"/>
              </w:rPr>
            </w:pPr>
            <w:bookmarkStart w:id="48" w:name="_Hlk200714232"/>
            <w:r w:rsidRPr="00C011B2">
              <w:rPr>
                <w:rFonts w:ascii="Times New Roman" w:hAnsi="Times New Roman" w:cs="Times New Roman"/>
                <w:bCs/>
                <w:color w:val="000000" w:themeColor="text1"/>
                <w:lang w:val="ro-MD"/>
              </w:rPr>
              <w:t>20.</w:t>
            </w:r>
            <w:r w:rsidR="00FB5B1C" w:rsidRPr="00C011B2">
              <w:rPr>
                <w:rFonts w:ascii="Times New Roman" w:hAnsi="Times New Roman" w:cs="Times New Roman"/>
                <w:bCs/>
                <w:color w:val="000000" w:themeColor="text1"/>
                <w:lang w:val="ro-MD"/>
              </w:rPr>
              <w:t xml:space="preserve"> Prin derogare de la</w:t>
            </w:r>
            <w:r w:rsidR="00A34689"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pct.16-18</w:t>
            </w:r>
            <w:r w:rsidR="00FB5B1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poate 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pe un instrument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 la </w:t>
            </w:r>
            <w:r w:rsidRPr="00C011B2">
              <w:rPr>
                <w:rFonts w:ascii="Times New Roman" w:hAnsi="Times New Roman" w:cs="Times New Roman"/>
                <w:bCs/>
                <w:color w:val="000000" w:themeColor="text1"/>
                <w:lang w:val="ro-MD"/>
              </w:rPr>
              <w:t>subpct.16.4-16.9</w:t>
            </w:r>
            <w:r w:rsidR="00FB5B1C" w:rsidRPr="00C011B2">
              <w:rPr>
                <w:rFonts w:ascii="Times New Roman" w:hAnsi="Times New Roman" w:cs="Times New Roman"/>
                <w:bCs/>
                <w:color w:val="000000" w:themeColor="text1"/>
                <w:lang w:val="ro-MD"/>
              </w:rPr>
              <w:t>, sub rezerva aprob</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de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tre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îș</w:t>
            </w:r>
            <w:r w:rsidR="00FB5B1C" w:rsidRPr="00C011B2">
              <w:rPr>
                <w:rFonts w:ascii="Times New Roman" w:hAnsi="Times New Roman" w:cs="Times New Roman"/>
                <w:bCs/>
                <w:color w:val="000000" w:themeColor="text1"/>
                <w:lang w:val="ro-MD"/>
              </w:rPr>
              <w:t>i 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aprobarea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w:t>
            </w:r>
            <w:r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bCs/>
                <w:color w:val="000000" w:themeColor="text1"/>
                <w:lang w:val="ro-MD"/>
              </w:rPr>
              <w:t xml:space="preserve">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a demonstrat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ntr-un mod considerat satisf</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tor de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nu este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cu 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sau nu acoper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inute cu 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w:t>
            </w:r>
            <w:bookmarkEnd w:id="48"/>
          </w:p>
        </w:tc>
        <w:tc>
          <w:tcPr>
            <w:tcW w:w="450" w:type="pct"/>
          </w:tcPr>
          <w:p w14:paraId="26815428" w14:textId="156C3FF9"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A865613"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684D52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A526D0" w14:textId="2CB6D36E"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 Prin derogare de la alineatul (3),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poate atribui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un instrument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 la litera (i) de la alineatul respectiv, sub rezerva aprob</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de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tre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aprobarea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a demonstrat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ntr-un mod considerat satisf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de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este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sau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w:t>
            </w:r>
            <w:r w:rsidRPr="00C011B2">
              <w:rPr>
                <w:rFonts w:ascii="Times New Roman" w:hAnsi="Times New Roman" w:cs="Times New Roman" w:hint="eastAsia"/>
                <w:bCs/>
                <w:color w:val="000000" w:themeColor="text1"/>
                <w:lang w:val="ro-MD"/>
              </w:rPr>
              <w:t>ă</w:t>
            </w:r>
          </w:p>
          <w:p w14:paraId="6283A0ED" w14:textId="4E741C4C"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ntrune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una dintre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(8) pentru respectiva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w:t>
            </w:r>
          </w:p>
        </w:tc>
        <w:tc>
          <w:tcPr>
            <w:tcW w:w="1692" w:type="pct"/>
            <w:shd w:val="clear" w:color="auto" w:fill="auto"/>
          </w:tcPr>
          <w:p w14:paraId="6EC19C21" w14:textId="7F1C6379" w:rsidR="00FB5B1C" w:rsidRPr="00C011B2" w:rsidRDefault="00965B75" w:rsidP="00FB5B1C">
            <w:pPr>
              <w:spacing w:after="0" w:line="276" w:lineRule="auto"/>
              <w:jc w:val="both"/>
              <w:rPr>
                <w:rFonts w:ascii="Times New Roman" w:hAnsi="Times New Roman" w:cs="Times New Roman"/>
                <w:bCs/>
                <w:color w:val="000000" w:themeColor="text1"/>
                <w:lang w:val="ro-MD"/>
              </w:rPr>
            </w:pPr>
            <w:bookmarkStart w:id="49" w:name="_Hlk200714554"/>
            <w:r w:rsidRPr="00C011B2">
              <w:rPr>
                <w:rFonts w:ascii="Times New Roman" w:hAnsi="Times New Roman" w:cs="Times New Roman"/>
                <w:bCs/>
                <w:color w:val="000000" w:themeColor="text1"/>
                <w:lang w:val="ro-MD"/>
              </w:rPr>
              <w:t>21.</w:t>
            </w:r>
            <w:r w:rsidR="00FB5B1C" w:rsidRPr="00C011B2">
              <w:rPr>
                <w:rFonts w:ascii="Times New Roman" w:hAnsi="Times New Roman" w:cs="Times New Roman"/>
                <w:bCs/>
                <w:color w:val="000000" w:themeColor="text1"/>
                <w:lang w:val="ro-MD"/>
              </w:rPr>
              <w:t xml:space="preserve"> Prin derogare de la </w:t>
            </w:r>
            <w:r w:rsidRPr="00C011B2">
              <w:rPr>
                <w:rFonts w:ascii="Times New Roman" w:hAnsi="Times New Roman" w:cs="Times New Roman"/>
                <w:bCs/>
                <w:color w:val="000000" w:themeColor="text1"/>
                <w:lang w:val="ro-MD"/>
              </w:rPr>
              <w:t>pct.19</w:t>
            </w:r>
            <w:r w:rsidR="00FB5B1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poate atribui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pe un instrument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 la </w:t>
            </w:r>
            <w:r w:rsidRPr="00C011B2">
              <w:rPr>
                <w:rFonts w:ascii="Times New Roman" w:hAnsi="Times New Roman" w:cs="Times New Roman"/>
                <w:bCs/>
                <w:color w:val="000000" w:themeColor="text1"/>
                <w:lang w:val="ro-MD"/>
              </w:rPr>
              <w:t>subpct.19.9</w:t>
            </w:r>
            <w:r w:rsidR="00FB5B1C" w:rsidRPr="00C011B2">
              <w:rPr>
                <w:rFonts w:ascii="Times New Roman" w:hAnsi="Times New Roman" w:cs="Times New Roman"/>
                <w:bCs/>
                <w:color w:val="000000" w:themeColor="text1"/>
                <w:lang w:val="ro-MD"/>
              </w:rPr>
              <w:t>, sub rezerva aprob</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de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tre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îș</w:t>
            </w:r>
            <w:r w:rsidR="00FB5B1C" w:rsidRPr="00C011B2">
              <w:rPr>
                <w:rFonts w:ascii="Times New Roman" w:hAnsi="Times New Roman" w:cs="Times New Roman"/>
                <w:bCs/>
                <w:color w:val="000000" w:themeColor="text1"/>
                <w:lang w:val="ro-MD"/>
              </w:rPr>
              <w:t>i d</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aprobarea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a demonstrat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ntr-un mod considerat satisf</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tor de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c</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este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cu 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rii sau acoper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inute cu 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rii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c</w:t>
            </w:r>
            <w:r w:rsidR="00FB5B1C"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banca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ntrune</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te cel pu</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 una dintre condi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00377AB3" w:rsidRPr="00C011B2">
              <w:rPr>
                <w:rFonts w:ascii="Times New Roman" w:hAnsi="Times New Roman" w:cs="Times New Roman"/>
                <w:bCs/>
                <w:color w:val="000000" w:themeColor="text1"/>
                <w:lang w:val="ro-MD"/>
              </w:rPr>
              <w:t>pct.24</w:t>
            </w:r>
            <w:r w:rsidR="00FB5B1C" w:rsidRPr="00C011B2">
              <w:rPr>
                <w:rFonts w:ascii="Times New Roman" w:hAnsi="Times New Roman" w:cs="Times New Roman"/>
                <w:bCs/>
                <w:color w:val="000000" w:themeColor="text1"/>
                <w:lang w:val="ro-MD"/>
              </w:rPr>
              <w:t xml:space="preserve"> pentru respectiva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w:t>
            </w:r>
            <w:bookmarkEnd w:id="49"/>
          </w:p>
        </w:tc>
        <w:tc>
          <w:tcPr>
            <w:tcW w:w="450" w:type="pct"/>
          </w:tcPr>
          <w:p w14:paraId="148F9DBE" w14:textId="1C3DA1C2"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4A35052"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4F39865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19F306" w14:textId="5DBB045D"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 xml:space="preserve">(6)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 atribuit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un alt instrument dec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instrumentele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(2) litera (a), (b) sau (c),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i poate solicita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furnizeze dovezi pentru a justifica o astfel de atribuire.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nu furnizeaz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dovezi adecvate,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i poate solicita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reatribuie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respectiv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tc>
        <w:tc>
          <w:tcPr>
            <w:tcW w:w="1692" w:type="pct"/>
            <w:shd w:val="clear" w:color="auto" w:fill="auto"/>
          </w:tcPr>
          <w:p w14:paraId="688D34CC" w14:textId="756BC9DA" w:rsidR="00FB5B1C" w:rsidRPr="00C011B2" w:rsidRDefault="00965B75" w:rsidP="00FB5B1C">
            <w:pPr>
              <w:spacing w:after="0" w:line="276" w:lineRule="auto"/>
              <w:jc w:val="both"/>
              <w:rPr>
                <w:rFonts w:ascii="Times New Roman" w:hAnsi="Times New Roman" w:cs="Times New Roman"/>
                <w:bCs/>
                <w:color w:val="000000" w:themeColor="text1"/>
                <w:lang w:val="ro-MD"/>
              </w:rPr>
            </w:pPr>
            <w:bookmarkStart w:id="50" w:name="_Hlk200714746"/>
            <w:r w:rsidRPr="00C011B2">
              <w:rPr>
                <w:rFonts w:ascii="Times New Roman" w:hAnsi="Times New Roman" w:cs="Times New Roman"/>
                <w:bCs/>
                <w:color w:val="000000" w:themeColor="text1"/>
                <w:lang w:val="ro-MD"/>
              </w:rPr>
              <w:t>22.</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a atribuit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pe un alt instrument dec</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t instrumentele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007C00A4" w:rsidRPr="00C011B2">
              <w:rPr>
                <w:rFonts w:ascii="Times New Roman" w:hAnsi="Times New Roman" w:cs="Times New Roman"/>
                <w:bCs/>
                <w:color w:val="000000" w:themeColor="text1"/>
                <w:lang w:val="ro-MD"/>
              </w:rPr>
              <w:t>subpct.16.1, 16.2</w:t>
            </w:r>
            <w:r w:rsidR="00FB5B1C" w:rsidRPr="00C011B2">
              <w:rPr>
                <w:rFonts w:ascii="Times New Roman" w:hAnsi="Times New Roman" w:cs="Times New Roman"/>
                <w:bCs/>
                <w:color w:val="000000" w:themeColor="text1"/>
                <w:lang w:val="ro-MD"/>
              </w:rPr>
              <w:t xml:space="preserve"> sau </w:t>
            </w:r>
            <w:r w:rsidR="007C00A4" w:rsidRPr="00C011B2">
              <w:rPr>
                <w:rFonts w:ascii="Times New Roman" w:hAnsi="Times New Roman" w:cs="Times New Roman"/>
                <w:bCs/>
                <w:color w:val="000000" w:themeColor="text1"/>
                <w:lang w:val="ro-MD"/>
              </w:rPr>
              <w:t>16.3</w:t>
            </w:r>
            <w:r w:rsidR="00FB5B1C" w:rsidRPr="00C011B2">
              <w:rPr>
                <w:rFonts w:ascii="Times New Roman" w:hAnsi="Times New Roman" w:cs="Times New Roman"/>
                <w:bCs/>
                <w:color w:val="000000" w:themeColor="text1"/>
                <w:lang w:val="ro-MD"/>
              </w:rPr>
              <w:t xml:space="preserve">, </w:t>
            </w:r>
            <w:r w:rsidR="007C00A4"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i poate solicita </w:t>
            </w:r>
            <w:r w:rsidR="007C00A4" w:rsidRPr="00C011B2">
              <w:rPr>
                <w:rFonts w:ascii="Times New Roman" w:hAnsi="Times New Roman" w:cs="Times New Roman"/>
                <w:bCs/>
                <w:color w:val="000000" w:themeColor="text1"/>
                <w:lang w:val="ro-MD"/>
              </w:rPr>
              <w:t xml:space="preserve">băncii </w:t>
            </w:r>
            <w:r w:rsidR="00FB5B1C" w:rsidRPr="00C011B2">
              <w:rPr>
                <w:rFonts w:ascii="Times New Roman" w:hAnsi="Times New Roman" w:cs="Times New Roman"/>
                <w:bCs/>
                <w:color w:val="000000" w:themeColor="text1"/>
                <w:lang w:val="ro-MD"/>
              </w:rPr>
              <w:t>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furnizeze dovezi pentru a justifica o astfel de atribuire.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007C00A4"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nu furnizeaz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dovezi adecvate, </w:t>
            </w:r>
            <w:r w:rsidR="007C00A4"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i poate solicita </w:t>
            </w:r>
            <w:bookmarkStart w:id="51" w:name="_Hlk200714799"/>
            <w:r w:rsidR="007C00A4" w:rsidRPr="00C011B2">
              <w:rPr>
                <w:rFonts w:ascii="Times New Roman" w:hAnsi="Times New Roman" w:cs="Times New Roman"/>
                <w:bCs/>
                <w:color w:val="000000" w:themeColor="text1"/>
                <w:lang w:val="ro-MD"/>
              </w:rPr>
              <w:t xml:space="preserve">băncii </w:t>
            </w:r>
            <w:bookmarkEnd w:id="51"/>
            <w:r w:rsidR="00FB5B1C" w:rsidRPr="00C011B2">
              <w:rPr>
                <w:rFonts w:ascii="Times New Roman" w:hAnsi="Times New Roman" w:cs="Times New Roman"/>
                <w:bCs/>
                <w:color w:val="000000" w:themeColor="text1"/>
                <w:lang w:val="ro-MD"/>
              </w:rPr>
              <w:t>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reatribuie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respectiv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bookmarkEnd w:id="50"/>
          </w:p>
        </w:tc>
        <w:tc>
          <w:tcPr>
            <w:tcW w:w="450" w:type="pct"/>
          </w:tcPr>
          <w:p w14:paraId="0C2F6DA0" w14:textId="39B39FF6" w:rsidR="00FB5B1C" w:rsidRPr="00C011B2" w:rsidRDefault="007953D9"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128D3BBD"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58A50FE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8B73F92" w14:textId="49DC2216"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(7)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 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un alt instrument dec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instrumentele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(3),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i poate solicita</w:t>
            </w:r>
          </w:p>
          <w:p w14:paraId="43FEFD5A" w14:textId="55D507F6"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furnizeze dovezi pentru a justifica o astfel de atribuire.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nu furnizeaz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dovezi adecvate,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i poate solicita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reatribuie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respectiv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tc>
        <w:tc>
          <w:tcPr>
            <w:tcW w:w="1692" w:type="pct"/>
            <w:shd w:val="clear" w:color="auto" w:fill="auto"/>
          </w:tcPr>
          <w:p w14:paraId="284A44EE" w14:textId="7BAD4840" w:rsidR="00FB5B1C" w:rsidRPr="00C011B2" w:rsidRDefault="007C00A4" w:rsidP="00FB5B1C">
            <w:pPr>
              <w:spacing w:after="0" w:line="276" w:lineRule="auto"/>
              <w:jc w:val="both"/>
              <w:rPr>
                <w:rFonts w:ascii="Times New Roman" w:hAnsi="Times New Roman" w:cs="Times New Roman"/>
                <w:bCs/>
                <w:color w:val="000000" w:themeColor="text1"/>
                <w:lang w:val="ro-MD"/>
              </w:rPr>
            </w:pPr>
            <w:bookmarkStart w:id="52" w:name="_Hlk200714933"/>
            <w:r w:rsidRPr="00C011B2">
              <w:rPr>
                <w:rFonts w:ascii="Times New Roman" w:hAnsi="Times New Roman" w:cs="Times New Roman"/>
                <w:bCs/>
                <w:color w:val="000000" w:themeColor="text1"/>
                <w:lang w:val="ro-MD"/>
              </w:rPr>
              <w:t>23.</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a l</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sat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afara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pe un alt instrument dec</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t instrumentele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ionate la</w:t>
            </w:r>
            <w:r w:rsidR="00A34689"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pct.19</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i poate solicita</w:t>
            </w:r>
            <w:r w:rsidRPr="00C011B2">
              <w:rPr>
                <w:rFonts w:ascii="Times New Roman" w:hAnsi="Times New Roman" w:cs="Times New Roman"/>
                <w:bCs/>
                <w:color w:val="000000" w:themeColor="text1"/>
                <w:lang w:val="ro-MD"/>
              </w:rPr>
              <w:t xml:space="preserve">băncii </w:t>
            </w:r>
            <w:r w:rsidR="00FB5B1C" w:rsidRPr="00C011B2">
              <w:rPr>
                <w:rFonts w:ascii="Times New Roman" w:hAnsi="Times New Roman" w:cs="Times New Roman"/>
                <w:bCs/>
                <w:color w:val="000000" w:themeColor="text1"/>
                <w:lang w:val="ro-MD"/>
              </w:rPr>
              <w:t>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furnizeze dovezi pentru a justifica o astfel de atribuire.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nu furnizeaz</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dovezi adecvate, </w:t>
            </w:r>
            <w:r w:rsidRPr="00C011B2">
              <w:rPr>
                <w:rFonts w:ascii="Times New Roman" w:hAnsi="Times New Roman" w:cs="Times New Roman"/>
                <w:bCs/>
                <w:color w:val="000000" w:themeColor="text1"/>
                <w:lang w:val="ro-MD"/>
              </w:rPr>
              <w:t>BNM</w:t>
            </w:r>
            <w:r w:rsidR="00FB5B1C" w:rsidRPr="00C011B2">
              <w:rPr>
                <w:rFonts w:ascii="Times New Roman" w:hAnsi="Times New Roman" w:cs="Times New Roman"/>
                <w:bCs/>
                <w:color w:val="000000" w:themeColor="text1"/>
                <w:lang w:val="ro-MD"/>
              </w:rPr>
              <w:t xml:space="preserv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i poate solicita </w:t>
            </w:r>
            <w:r w:rsidRPr="00C011B2">
              <w:rPr>
                <w:rFonts w:ascii="Times New Roman" w:hAnsi="Times New Roman" w:cs="Times New Roman"/>
                <w:bCs/>
                <w:color w:val="000000" w:themeColor="text1"/>
                <w:lang w:val="ro-MD"/>
              </w:rPr>
              <w:t xml:space="preserve">băncii </w:t>
            </w:r>
            <w:r w:rsidR="00FB5B1C" w:rsidRPr="00C011B2">
              <w:rPr>
                <w:rFonts w:ascii="Times New Roman" w:hAnsi="Times New Roman" w:cs="Times New Roman"/>
                <w:bCs/>
                <w:color w:val="000000" w:themeColor="text1"/>
                <w:lang w:val="ro-MD"/>
              </w:rPr>
              <w:t>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reatribuie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respectiv</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w:t>
            </w:r>
            <w:bookmarkEnd w:id="52"/>
          </w:p>
        </w:tc>
        <w:tc>
          <w:tcPr>
            <w:tcW w:w="450" w:type="pct"/>
          </w:tcPr>
          <w:p w14:paraId="44433321" w14:textId="376914F6" w:rsidR="00FB5B1C" w:rsidRPr="00C011B2" w:rsidRDefault="0057783C"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10D5C91"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FB5B1C" w:rsidRPr="00C011B2" w14:paraId="3C6F7B9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4D79E2" w14:textId="302BEC52"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(8)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atribuie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un OPC, alta dec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(3) litera (f), care este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cu inten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oricare dintre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w:t>
            </w:r>
          </w:p>
          <w:p w14:paraId="6DBE5CD0" w14:textId="012B60EF"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este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suficiente cu privire la expunerile-suport individuale ale OPC-ului;</w:t>
            </w:r>
          </w:p>
          <w:p w14:paraId="3E924388" w14:textId="25E04C0B" w:rsidR="00FB5B1C" w:rsidRPr="00C011B2" w:rsidRDefault="00FB5B1C"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nu este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suficiente cu privire la expunerile-suport individuale ale OPC-ului, dar cunoa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con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inutul mandatului OPC-ului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poate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 cota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 zilnice pentru OPC.</w:t>
            </w:r>
          </w:p>
        </w:tc>
        <w:tc>
          <w:tcPr>
            <w:tcW w:w="1692" w:type="pct"/>
            <w:shd w:val="clear" w:color="auto" w:fill="auto"/>
          </w:tcPr>
          <w:p w14:paraId="312FCE74" w14:textId="4B3EEFE7" w:rsidR="00FB5B1C" w:rsidRPr="00C011B2" w:rsidRDefault="007C00A4" w:rsidP="00FB5B1C">
            <w:pPr>
              <w:spacing w:after="0" w:line="276" w:lineRule="auto"/>
              <w:jc w:val="both"/>
              <w:rPr>
                <w:rFonts w:ascii="Times New Roman" w:hAnsi="Times New Roman" w:cs="Times New Roman"/>
                <w:bCs/>
                <w:color w:val="000000" w:themeColor="text1"/>
                <w:lang w:val="ro-MD"/>
              </w:rPr>
            </w:pPr>
            <w:bookmarkStart w:id="53" w:name="_Hlk222842259"/>
            <w:r w:rsidRPr="00C011B2">
              <w:rPr>
                <w:rFonts w:ascii="Times New Roman" w:hAnsi="Times New Roman" w:cs="Times New Roman"/>
                <w:bCs/>
                <w:color w:val="000000" w:themeColor="text1"/>
                <w:lang w:val="ro-MD"/>
              </w:rPr>
              <w:lastRenderedPageBreak/>
              <w:t>24.</w:t>
            </w:r>
            <w:r w:rsidR="00FB5B1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FB5B1C" w:rsidRPr="00C011B2">
              <w:rPr>
                <w:rFonts w:ascii="Times New Roman" w:hAnsi="Times New Roman" w:cs="Times New Roman"/>
                <w:bCs/>
                <w:color w:val="000000" w:themeColor="text1"/>
                <w:lang w:val="ro-MD"/>
              </w:rPr>
              <w:t>atribuie portofoliului de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ionare o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ie pe un OPC, alta dec</w:t>
            </w:r>
            <w:r w:rsidR="00FB5B1C" w:rsidRPr="00C011B2">
              <w:rPr>
                <w:rFonts w:ascii="Times New Roman" w:hAnsi="Times New Roman" w:cs="Times New Roman" w:hint="eastAsia"/>
                <w:bCs/>
                <w:color w:val="000000" w:themeColor="text1"/>
                <w:lang w:val="ro-MD"/>
              </w:rPr>
              <w:t>â</w:t>
            </w:r>
            <w:r w:rsidR="00FB5B1C" w:rsidRPr="00C011B2">
              <w:rPr>
                <w:rFonts w:ascii="Times New Roman" w:hAnsi="Times New Roman" w:cs="Times New Roman"/>
                <w:bCs/>
                <w:color w:val="000000" w:themeColor="text1"/>
                <w:lang w:val="ro-MD"/>
              </w:rPr>
              <w:t>t pozi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iile men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subpct.19.6</w:t>
            </w:r>
            <w:r w:rsidR="00FB5B1C" w:rsidRPr="00C011B2">
              <w:rPr>
                <w:rFonts w:ascii="Times New Roman" w:hAnsi="Times New Roman" w:cs="Times New Roman"/>
                <w:bCs/>
                <w:color w:val="000000" w:themeColor="text1"/>
                <w:lang w:val="ro-MD"/>
              </w:rPr>
              <w:t>, care este de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inut</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cu inten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ia tranzac</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ion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rii,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cazul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ndepline</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te oricare dintre urm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toarele condi</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w:t>
            </w:r>
          </w:p>
          <w:p w14:paraId="12101368" w14:textId="6E4B8233" w:rsidR="00FB5B1C" w:rsidRPr="00C011B2" w:rsidRDefault="007C00A4"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24.1.</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este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sur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ob</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informa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suficiente cu privire la expunerile-suport individuale ale OPC-ului;</w:t>
            </w:r>
          </w:p>
          <w:p w14:paraId="0C359CD0" w14:textId="4B8B4AE7" w:rsidR="00FB5B1C" w:rsidRPr="00C011B2" w:rsidRDefault="007C00A4" w:rsidP="00FB5B1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24.2.</w:t>
            </w:r>
            <w:r w:rsidR="00FB5B1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FB5B1C" w:rsidRPr="00C011B2">
              <w:rPr>
                <w:rFonts w:ascii="Times New Roman" w:hAnsi="Times New Roman" w:cs="Times New Roman"/>
                <w:bCs/>
                <w:color w:val="000000" w:themeColor="text1"/>
                <w:lang w:val="ro-MD"/>
              </w:rPr>
              <w:t xml:space="preserve">nu este </w:t>
            </w:r>
            <w:r w:rsidR="00FB5B1C" w:rsidRPr="00C011B2">
              <w:rPr>
                <w:rFonts w:ascii="Times New Roman" w:hAnsi="Times New Roman" w:cs="Times New Roman" w:hint="eastAsia"/>
                <w:bCs/>
                <w:color w:val="000000" w:themeColor="text1"/>
                <w:lang w:val="ro-MD"/>
              </w:rPr>
              <w:t>î</w:t>
            </w:r>
            <w:r w:rsidR="00FB5B1C" w:rsidRPr="00C011B2">
              <w:rPr>
                <w:rFonts w:ascii="Times New Roman" w:hAnsi="Times New Roman" w:cs="Times New Roman"/>
                <w:bCs/>
                <w:color w:val="000000" w:themeColor="text1"/>
                <w:lang w:val="ro-MD"/>
              </w:rPr>
              <w:t>n m</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sur</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s</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ob</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w:t>
            </w:r>
            <w:r w:rsidR="00FB5B1C" w:rsidRPr="00C011B2">
              <w:rPr>
                <w:rFonts w:ascii="Times New Roman" w:hAnsi="Times New Roman" w:cs="Times New Roman" w:hint="eastAsia"/>
                <w:bCs/>
                <w:color w:val="000000" w:themeColor="text1"/>
                <w:lang w:val="ro-MD"/>
              </w:rPr>
              <w:t>ă</w:t>
            </w:r>
            <w:r w:rsidR="00FB5B1C" w:rsidRPr="00C011B2">
              <w:rPr>
                <w:rFonts w:ascii="Times New Roman" w:hAnsi="Times New Roman" w:cs="Times New Roman"/>
                <w:bCs/>
                <w:color w:val="000000" w:themeColor="text1"/>
                <w:lang w:val="ro-MD"/>
              </w:rPr>
              <w:t xml:space="preserve"> informa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suficiente cu privire la expunerile-suport individuale ale OPC-ului, dar cunoa</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te con</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inutul mandatului OPC-ului </w:t>
            </w:r>
            <w:r w:rsidR="00FB5B1C" w:rsidRPr="00C011B2">
              <w:rPr>
                <w:rFonts w:ascii="Times New Roman" w:hAnsi="Times New Roman" w:cs="Times New Roman" w:hint="eastAsia"/>
                <w:bCs/>
                <w:color w:val="000000" w:themeColor="text1"/>
                <w:lang w:val="ro-MD"/>
              </w:rPr>
              <w:t>ș</w:t>
            </w:r>
            <w:r w:rsidR="00FB5B1C" w:rsidRPr="00C011B2">
              <w:rPr>
                <w:rFonts w:ascii="Times New Roman" w:hAnsi="Times New Roman" w:cs="Times New Roman"/>
                <w:bCs/>
                <w:color w:val="000000" w:themeColor="text1"/>
                <w:lang w:val="ro-MD"/>
              </w:rPr>
              <w:t>i poate ob</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ine cota</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ii de pre</w:t>
            </w:r>
            <w:r w:rsidR="00FB5B1C" w:rsidRPr="00C011B2">
              <w:rPr>
                <w:rFonts w:ascii="Times New Roman" w:hAnsi="Times New Roman" w:cs="Times New Roman" w:hint="eastAsia"/>
                <w:bCs/>
                <w:color w:val="000000" w:themeColor="text1"/>
                <w:lang w:val="ro-MD"/>
              </w:rPr>
              <w:t>ţ</w:t>
            </w:r>
            <w:r w:rsidR="00FB5B1C" w:rsidRPr="00C011B2">
              <w:rPr>
                <w:rFonts w:ascii="Times New Roman" w:hAnsi="Times New Roman" w:cs="Times New Roman"/>
                <w:bCs/>
                <w:color w:val="000000" w:themeColor="text1"/>
                <w:lang w:val="ro-MD"/>
              </w:rPr>
              <w:t xml:space="preserve"> zilnice pentru OPC.</w:t>
            </w:r>
            <w:bookmarkEnd w:id="53"/>
          </w:p>
        </w:tc>
        <w:tc>
          <w:tcPr>
            <w:tcW w:w="450" w:type="pct"/>
          </w:tcPr>
          <w:p w14:paraId="7FCD9A52" w14:textId="73165D02" w:rsidR="00FB5B1C" w:rsidRPr="00C011B2" w:rsidRDefault="0057783C" w:rsidP="00FB5B1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0DA635ED" w14:textId="77777777" w:rsidR="00FB5B1C" w:rsidRPr="00C011B2" w:rsidRDefault="00FB5B1C" w:rsidP="00FB5B1C">
            <w:pPr>
              <w:spacing w:line="276" w:lineRule="auto"/>
              <w:jc w:val="both"/>
              <w:rPr>
                <w:rFonts w:ascii="Times New Roman" w:hAnsi="Times New Roman" w:cs="Times New Roman"/>
                <w:bCs/>
                <w:color w:val="000000" w:themeColor="text1"/>
                <w:lang w:val="ro-MD"/>
              </w:rPr>
            </w:pPr>
          </w:p>
        </w:tc>
      </w:tr>
      <w:tr w:rsidR="00106FB1" w:rsidRPr="00FA7D23" w14:paraId="15C50C5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1AAF7F6" w14:textId="73564AD0" w:rsidR="00106FB1" w:rsidRPr="00C011B2" w:rsidRDefault="00106FB1" w:rsidP="00106FB1">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(9) ABE elaboreaz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proiecte de standarde tehnice de reglementare pentru a specifica mai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detaliu procesul pe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trebuie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l utilizeze pentru a calcula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 monitoriza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scurte nete de credit sau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scurte nete pe titluri de capital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(2) litera (b).</w:t>
            </w:r>
          </w:p>
          <w:p w14:paraId="29AC5D8E" w14:textId="002B1EDA" w:rsidR="00106FB1" w:rsidRPr="00C011B2" w:rsidRDefault="00106FB1" w:rsidP="00106FB1">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ABE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Comisiei aceste proiecte de standarde tehnice de reglementare p</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10 iulie 2027.</w:t>
            </w:r>
          </w:p>
          <w:p w14:paraId="4AA088A9" w14:textId="51426D76" w:rsidR="00106FB1" w:rsidRPr="00C011B2" w:rsidRDefault="00106FB1" w:rsidP="00106FB1">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Comisia este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mputernicit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completeze prezentul regulament prin adoptarea standardelor tehnice de reglementare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primul paragraf din prezentul alineat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articolele 10-14 din</w:t>
            </w:r>
          </w:p>
          <w:p w14:paraId="643091E0" w14:textId="0BA78581" w:rsidR="00106FB1" w:rsidRPr="00C011B2" w:rsidRDefault="00106FB1" w:rsidP="00106FB1">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Regulamentul (UE) nr. 1093/2010.</w:t>
            </w:r>
          </w:p>
        </w:tc>
        <w:tc>
          <w:tcPr>
            <w:tcW w:w="1692" w:type="pct"/>
            <w:shd w:val="clear" w:color="auto" w:fill="auto"/>
          </w:tcPr>
          <w:p w14:paraId="36592FBE" w14:textId="45E82423" w:rsidR="00106FB1" w:rsidRPr="00C011B2" w:rsidRDefault="00106FB1" w:rsidP="00106FB1">
            <w:pPr>
              <w:spacing w:after="0" w:line="276" w:lineRule="auto"/>
              <w:jc w:val="both"/>
              <w:rPr>
                <w:rFonts w:ascii="Times New Roman" w:hAnsi="Times New Roman" w:cs="Times New Roman"/>
                <w:bCs/>
                <w:color w:val="000000" w:themeColor="text1"/>
                <w:lang w:val="ro-MD"/>
              </w:rPr>
            </w:pPr>
          </w:p>
        </w:tc>
        <w:tc>
          <w:tcPr>
            <w:tcW w:w="450" w:type="pct"/>
          </w:tcPr>
          <w:p w14:paraId="16895F0C" w14:textId="0CA6291C" w:rsidR="00106FB1" w:rsidRPr="00C011B2" w:rsidRDefault="00106FB1" w:rsidP="00106FB1">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F100CBA" w14:textId="7F6FDB2C" w:rsidR="00106FB1" w:rsidRPr="00C011B2" w:rsidRDefault="00106FB1" w:rsidP="00106FB1">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Alin.(9) stabilește obligații pentru autorități europene – Autoritatea Bancară Europeană.</w:t>
            </w:r>
          </w:p>
        </w:tc>
      </w:tr>
      <w:tr w:rsidR="00E85A5B" w:rsidRPr="00C011B2" w14:paraId="1C6DAF5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625290" w14:textId="77777777" w:rsidR="00E85A5B" w:rsidRPr="00C011B2" w:rsidRDefault="00E85A5B" w:rsidP="00E85A5B">
            <w:pPr>
              <w:spacing w:after="0" w:line="276" w:lineRule="auto"/>
              <w:jc w:val="both"/>
              <w:rPr>
                <w:rFonts w:ascii="TimesNewRomanPS-BoldMT2" w:hAnsi="TimesNewRomanPS-BoldMT2" w:cs="TimesNewRomanPS-BoldMT2"/>
                <w:b/>
                <w:bCs/>
                <w:sz w:val="19"/>
                <w:szCs w:val="19"/>
                <w:lang w:val="ro-MD"/>
              </w:rPr>
            </w:pPr>
            <w:r w:rsidRPr="00C011B2">
              <w:rPr>
                <w:rFonts w:ascii="Arial" w:hAnsi="Arial" w:cs="Arial"/>
                <w:b/>
                <w:bCs/>
                <w:sz w:val="19"/>
                <w:szCs w:val="19"/>
                <w:lang w:val="ro-MD"/>
              </w:rPr>
              <w:t>▼</w:t>
            </w:r>
            <w:r w:rsidRPr="00C011B2">
              <w:rPr>
                <w:rFonts w:ascii="TimesNewRomanPS-BoldMT2" w:hAnsi="TimesNewRomanPS-BoldMT2" w:cs="TimesNewRomanPS-BoldMT2"/>
                <w:b/>
                <w:bCs/>
                <w:sz w:val="19"/>
                <w:szCs w:val="19"/>
                <w:lang w:val="ro-MD"/>
              </w:rPr>
              <w:t>M8</w:t>
            </w:r>
          </w:p>
          <w:p w14:paraId="0868159E" w14:textId="5BB75C71" w:rsidR="00E85A5B" w:rsidRPr="00C011B2" w:rsidRDefault="00E85A5B" w:rsidP="00E85A5B">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104a</w:t>
            </w:r>
          </w:p>
          <w:p w14:paraId="767BA0BA" w14:textId="1C12058C"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Reclasificarea unei poziţii</w:t>
            </w:r>
          </w:p>
        </w:tc>
        <w:tc>
          <w:tcPr>
            <w:tcW w:w="1692" w:type="pct"/>
            <w:shd w:val="clear" w:color="auto" w:fill="auto"/>
          </w:tcPr>
          <w:p w14:paraId="7FD1FDF9" w14:textId="49BD7915" w:rsidR="00E85A5B" w:rsidRPr="00C011B2" w:rsidRDefault="00CA7528" w:rsidP="00E85A5B">
            <w:pPr>
              <w:spacing w:after="0" w:line="276" w:lineRule="auto"/>
              <w:jc w:val="both"/>
              <w:rPr>
                <w:rFonts w:ascii="Times New Roman" w:hAnsi="Times New Roman" w:cs="Times New Roman"/>
                <w:bCs/>
                <w:color w:val="000000" w:themeColor="text1"/>
                <w:lang w:val="ro-MD"/>
              </w:rPr>
            </w:pPr>
            <w:bookmarkStart w:id="54" w:name="_Hlk200718150"/>
            <w:r w:rsidRPr="00C011B2">
              <w:rPr>
                <w:rFonts w:ascii="Times New Roman" w:hAnsi="Times New Roman" w:cs="Times New Roman"/>
                <w:bCs/>
                <w:i/>
                <w:iCs/>
                <w:color w:val="000000" w:themeColor="text1"/>
                <w:lang w:val="ro-MD"/>
              </w:rPr>
              <w:t xml:space="preserve">Secţiunea 4 </w:t>
            </w:r>
            <w:r w:rsidR="00E85A5B" w:rsidRPr="00C011B2">
              <w:rPr>
                <w:rFonts w:ascii="Times New Roman" w:hAnsi="Times New Roman" w:cs="Times New Roman"/>
                <w:b/>
                <w:bCs/>
                <w:color w:val="000000" w:themeColor="text1"/>
                <w:lang w:val="ro-MD"/>
              </w:rPr>
              <w:t>Reclasificarea unei poziţii</w:t>
            </w:r>
            <w:bookmarkEnd w:id="54"/>
          </w:p>
        </w:tc>
        <w:tc>
          <w:tcPr>
            <w:tcW w:w="450" w:type="pct"/>
          </w:tcPr>
          <w:p w14:paraId="360923C8"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c>
          <w:tcPr>
            <w:tcW w:w="1261" w:type="pct"/>
          </w:tcPr>
          <w:p w14:paraId="17AE7FE8"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106FB1" w:rsidRPr="00C011B2" w14:paraId="201557D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C44C4CC" w14:textId="0FBAAFF0" w:rsidR="00106FB1" w:rsidRPr="00C011B2" w:rsidRDefault="00106FB1" w:rsidP="00106FB1">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dispun de politici clar definite pentru a identifica circumstan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ionale care justific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invers,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determin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elor de fonduri proprii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ntr-un mod pe care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ile competente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l consider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satisf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revizuiesc aceste politici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anual.</w:t>
            </w:r>
          </w:p>
          <w:p w14:paraId="653E9A2D"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20F79FF1" w14:textId="1B9A1895" w:rsidR="00106FB1" w:rsidRPr="00C011B2" w:rsidRDefault="00106FB1" w:rsidP="00106FB1">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ABE monitorizeaz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setul de practici de supraveghere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emite, p</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10 iulie 2027, ghiduri,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16 din Regulamentul (UE) nr. 1093/2010, cu privire la ce anume implic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circumstan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sensul primului paragraf de la prezentul alineat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al alineatului (5) de la prezentul articol. P</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momentul emiterii acestor ghiduri de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tre ABE,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ile competente notific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ABE decizia de a permite sau nu unei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reclasifice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astfel cum se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alineatul (2) de la prezentul articol, precum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motivele care au stat la baza acestei decizii.</w:t>
            </w:r>
          </w:p>
        </w:tc>
        <w:tc>
          <w:tcPr>
            <w:tcW w:w="1692" w:type="pct"/>
            <w:shd w:val="clear" w:color="auto" w:fill="auto"/>
          </w:tcPr>
          <w:p w14:paraId="59003123" w14:textId="60C83BE9" w:rsidR="00106FB1" w:rsidRPr="00C011B2" w:rsidRDefault="00106FB1" w:rsidP="00106FB1">
            <w:pPr>
              <w:spacing w:after="0" w:line="276" w:lineRule="auto"/>
              <w:jc w:val="both"/>
              <w:rPr>
                <w:rFonts w:ascii="Times New Roman" w:hAnsi="Times New Roman" w:cs="Times New Roman"/>
                <w:bCs/>
                <w:color w:val="000000" w:themeColor="text1"/>
                <w:lang w:val="ro-MD"/>
              </w:rPr>
            </w:pPr>
            <w:bookmarkStart w:id="55" w:name="_Hlk200718349"/>
            <w:r w:rsidRPr="00C011B2">
              <w:rPr>
                <w:rFonts w:ascii="Times New Roman" w:hAnsi="Times New Roman" w:cs="Times New Roman"/>
                <w:bCs/>
                <w:color w:val="000000" w:themeColor="text1"/>
                <w:lang w:val="ro-MD"/>
              </w:rPr>
              <w:t>25. Băncile dispun de politici clar definite pentru a identifica circumstan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ionale care justific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invers,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determin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elor de fonduri proprii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ntr-un mod pe care BNM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l consider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satisf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Băncile revizuiesc aceste politici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anual.</w:t>
            </w:r>
          </w:p>
          <w:bookmarkEnd w:id="55"/>
          <w:p w14:paraId="56BFB19F" w14:textId="1F57E7C6" w:rsidR="00106FB1" w:rsidRPr="00C011B2" w:rsidRDefault="00106FB1" w:rsidP="00106FB1">
            <w:pPr>
              <w:spacing w:after="0" w:line="276" w:lineRule="auto"/>
              <w:jc w:val="both"/>
              <w:rPr>
                <w:rFonts w:ascii="Times New Roman" w:hAnsi="Times New Roman" w:cs="Times New Roman"/>
                <w:bCs/>
                <w:color w:val="000000" w:themeColor="text1"/>
                <w:lang w:val="ro-MD"/>
              </w:rPr>
            </w:pPr>
          </w:p>
        </w:tc>
        <w:tc>
          <w:tcPr>
            <w:tcW w:w="450" w:type="pct"/>
          </w:tcPr>
          <w:p w14:paraId="130E0F22" w14:textId="38844505" w:rsidR="00106FB1" w:rsidRPr="00C011B2" w:rsidRDefault="00106FB1" w:rsidP="00106FB1">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Parțial compatibil</w:t>
            </w:r>
          </w:p>
        </w:tc>
        <w:tc>
          <w:tcPr>
            <w:tcW w:w="1261" w:type="pct"/>
          </w:tcPr>
          <w:p w14:paraId="1D67542F" w14:textId="740FAA38" w:rsidR="00106FB1" w:rsidRPr="00C011B2" w:rsidRDefault="00106FB1" w:rsidP="00106FB1">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Nu au fost transpuse prevederile aferente obligațiilor pentru autorități europene – Autoritatea Bancară Europeană.</w:t>
            </w:r>
          </w:p>
        </w:tc>
      </w:tr>
      <w:tr w:rsidR="00E85A5B" w:rsidRPr="00C011B2" w14:paraId="02AC3C0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DA3C49E" w14:textId="77777777" w:rsidR="00E85A5B" w:rsidRPr="00C011B2" w:rsidRDefault="00E85A5B" w:rsidP="00E85A5B">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6CFAD194" w14:textId="0D2966DA"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(2)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ile competente acord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aprobarea pentru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invers, 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determin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numai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 furnizat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ilor competente dovezi scrise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decizia sa de a reclasifica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respectiv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este cauzat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o circumstan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care este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concordan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cu politicile de care dispune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alineatul (1) de la prezentul articol.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acest scop,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suficiente dovezi care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ateste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nu mai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pentru a fi clasificat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drept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temeiul articolului 104.</w:t>
            </w:r>
          </w:p>
          <w:p w14:paraId="6EF7CD38" w14:textId="38E8B730"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Decizia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primul paragraf se aprob</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organul de conducere.</w:t>
            </w:r>
          </w:p>
        </w:tc>
        <w:tc>
          <w:tcPr>
            <w:tcW w:w="1692" w:type="pct"/>
            <w:shd w:val="clear" w:color="auto" w:fill="auto"/>
          </w:tcPr>
          <w:p w14:paraId="3156A5CA" w14:textId="4387DE1B" w:rsidR="00E85A5B" w:rsidRPr="00C011B2" w:rsidRDefault="00297D2F" w:rsidP="00E85A5B">
            <w:pPr>
              <w:spacing w:after="0" w:line="276" w:lineRule="auto"/>
              <w:jc w:val="both"/>
              <w:rPr>
                <w:rFonts w:ascii="Times New Roman" w:hAnsi="Times New Roman" w:cs="Times New Roman"/>
                <w:bCs/>
                <w:color w:val="000000" w:themeColor="text1"/>
                <w:lang w:val="ro-MD"/>
              </w:rPr>
            </w:pPr>
            <w:bookmarkStart w:id="56" w:name="_Hlk200718563"/>
            <w:r w:rsidRPr="00C011B2">
              <w:rPr>
                <w:rFonts w:ascii="Times New Roman" w:hAnsi="Times New Roman" w:cs="Times New Roman"/>
                <w:bCs/>
                <w:color w:val="000000" w:themeColor="text1"/>
                <w:lang w:val="ro-MD"/>
              </w:rPr>
              <w:lastRenderedPageBreak/>
              <w:t>26.</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acord</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aprobarea pentru reclasificarea unei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 din portofoliul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ca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ie din afara </w:t>
            </w:r>
            <w:r w:rsidR="00E85A5B" w:rsidRPr="00C011B2">
              <w:rPr>
                <w:rFonts w:ascii="Times New Roman" w:hAnsi="Times New Roman" w:cs="Times New Roman"/>
                <w:bCs/>
                <w:color w:val="000000" w:themeColor="text1"/>
                <w:lang w:val="ro-MD"/>
              </w:rPr>
              <w:lastRenderedPageBreak/>
              <w:t>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sau, invers, a unei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 din afara 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ca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din portofoliul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scopul determin</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rii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elor de fonduri proprii numai dac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 xml:space="preserve">a furnizat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dovezi scrise 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decizia sa de a reclasifica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ia respectiv</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este cauzat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 o circumstan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excep</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ional</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care este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concordan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cu politicile de care dispune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pct.25</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acest scop,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prezint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suficiente dovezi care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ateste 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ia nu mai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ndepline</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te condi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pentru a fi clasificat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drept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din portofoliul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sau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din afara 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temeiul </w:t>
            </w:r>
            <w:r w:rsidRPr="00C011B2">
              <w:rPr>
                <w:rFonts w:ascii="Times New Roman" w:hAnsi="Times New Roman" w:cs="Times New Roman"/>
                <w:bCs/>
                <w:color w:val="000000" w:themeColor="text1"/>
                <w:lang w:val="ro-MD"/>
              </w:rPr>
              <w:t>secțiunii 3</w:t>
            </w:r>
            <w:r w:rsidR="00E85A5B" w:rsidRPr="00C011B2">
              <w:rPr>
                <w:rFonts w:ascii="Times New Roman" w:hAnsi="Times New Roman" w:cs="Times New Roman"/>
                <w:bCs/>
                <w:color w:val="000000" w:themeColor="text1"/>
                <w:lang w:val="ro-MD"/>
              </w:rPr>
              <w:t>.</w:t>
            </w:r>
          </w:p>
          <w:p w14:paraId="3388D2C2" w14:textId="124BD2D8" w:rsidR="00E85A5B" w:rsidRPr="00C011B2" w:rsidRDefault="00297D2F"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27. </w:t>
            </w:r>
            <w:r w:rsidR="00E85A5B" w:rsidRPr="00C011B2">
              <w:rPr>
                <w:rFonts w:ascii="Times New Roman" w:hAnsi="Times New Roman" w:cs="Times New Roman"/>
                <w:bCs/>
                <w:color w:val="000000" w:themeColor="text1"/>
                <w:lang w:val="ro-MD"/>
              </w:rPr>
              <w:t>Decizia</w:t>
            </w:r>
            <w:r w:rsidR="00A15E08" w:rsidRPr="00C011B2">
              <w:t xml:space="preserve"> </w:t>
            </w:r>
            <w:r w:rsidR="00A15E08" w:rsidRPr="00C011B2">
              <w:rPr>
                <w:rFonts w:ascii="Times New Roman" w:hAnsi="Times New Roman" w:cs="Times New Roman"/>
                <w:bCs/>
                <w:color w:val="000000" w:themeColor="text1"/>
                <w:lang w:val="ro-MD"/>
              </w:rPr>
              <w:t>de reclasificare a poziţiei respective</w:t>
            </w:r>
            <w:r w:rsidR="00E85A5B" w:rsidRPr="00C011B2">
              <w:rPr>
                <w:rFonts w:ascii="Times New Roman" w:hAnsi="Times New Roman" w:cs="Times New Roman"/>
                <w:bCs/>
                <w:color w:val="000000" w:themeColor="text1"/>
                <w:lang w:val="ro-MD"/>
              </w:rPr>
              <w:t xml:space="preserve">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ionat</w:t>
            </w:r>
            <w:r w:rsidR="00A15E08" w:rsidRPr="00C011B2">
              <w:rPr>
                <w:rFonts w:ascii="Times New Roman" w:hAnsi="Times New Roman" w:cs="Times New Roman"/>
                <w:bCs/>
                <w:color w:val="000000" w:themeColor="text1"/>
                <w:lang w:val="ro-MD"/>
              </w:rPr>
              <w:t>e</w:t>
            </w:r>
            <w:r w:rsidR="00E85A5B" w:rsidRPr="00C011B2">
              <w:rPr>
                <w:rFonts w:ascii="Times New Roman" w:hAnsi="Times New Roman" w:cs="Times New Roman"/>
                <w:bCs/>
                <w:color w:val="000000" w:themeColor="text1"/>
                <w:lang w:val="ro-MD"/>
              </w:rPr>
              <w:t xml:space="preserve"> la </w:t>
            </w:r>
            <w:r w:rsidRPr="00C011B2">
              <w:rPr>
                <w:rFonts w:ascii="Times New Roman" w:hAnsi="Times New Roman" w:cs="Times New Roman"/>
                <w:bCs/>
                <w:color w:val="000000" w:themeColor="text1"/>
                <w:lang w:val="ro-MD"/>
              </w:rPr>
              <w:t>pct.26</w:t>
            </w:r>
            <w:r w:rsidR="00E85A5B" w:rsidRPr="00C011B2">
              <w:rPr>
                <w:rFonts w:ascii="Times New Roman" w:hAnsi="Times New Roman" w:cs="Times New Roman"/>
                <w:bCs/>
                <w:color w:val="000000" w:themeColor="text1"/>
                <w:lang w:val="ro-MD"/>
              </w:rPr>
              <w:t xml:space="preserve"> se aprob</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 organul de conducere</w:t>
            </w:r>
            <w:r w:rsidR="00A15E08" w:rsidRPr="00C011B2">
              <w:rPr>
                <w:rFonts w:ascii="Times New Roman" w:hAnsi="Times New Roman" w:cs="Times New Roman"/>
                <w:bCs/>
                <w:color w:val="000000" w:themeColor="text1"/>
                <w:lang w:val="ro-MD"/>
              </w:rPr>
              <w:t xml:space="preserve"> a băncii</w:t>
            </w:r>
            <w:r w:rsidR="00E85A5B" w:rsidRPr="00C011B2">
              <w:rPr>
                <w:rFonts w:ascii="Times New Roman" w:hAnsi="Times New Roman" w:cs="Times New Roman"/>
                <w:bCs/>
                <w:color w:val="000000" w:themeColor="text1"/>
                <w:lang w:val="ro-MD"/>
              </w:rPr>
              <w:t>.</w:t>
            </w:r>
            <w:bookmarkEnd w:id="56"/>
          </w:p>
        </w:tc>
        <w:tc>
          <w:tcPr>
            <w:tcW w:w="450" w:type="pct"/>
          </w:tcPr>
          <w:p w14:paraId="230A283B" w14:textId="18AB36BE"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57B62B69"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5EA0806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613398A" w14:textId="0602D62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(3)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acordat aprobarea pentru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alineatul (2),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care a primit aprobarea respectiv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p w14:paraId="7A932B5C" w14:textId="7777777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public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rziere,</w:t>
            </w:r>
          </w:p>
          <w:p w14:paraId="7AF36C84" w14:textId="7777777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(i)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conform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rora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sa a fost reclasificat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w:t>
            </w:r>
          </w:p>
          <w:p w14:paraId="3C54DB08" w14:textId="67774208"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(ii)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efectul reclasific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respective const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reducerea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dimensiunea reducerii respective;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w:t>
            </w:r>
          </w:p>
          <w:p w14:paraId="3878BF1C" w14:textId="66744BBF"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efectul reclasific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respective const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reducerea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nu recunoa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acest efect p</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momentul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ajunge la scaden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cu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cazului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i permite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recunoasc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acest efect la o dat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anterioar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tc>
        <w:tc>
          <w:tcPr>
            <w:tcW w:w="1692" w:type="pct"/>
            <w:shd w:val="clear" w:color="auto" w:fill="auto"/>
          </w:tcPr>
          <w:p w14:paraId="2F6EB52D" w14:textId="22D567EF" w:rsidR="00E85A5B" w:rsidRPr="00C011B2" w:rsidRDefault="00AC089E" w:rsidP="00E85A5B">
            <w:pPr>
              <w:spacing w:after="0" w:line="276" w:lineRule="auto"/>
              <w:jc w:val="both"/>
              <w:rPr>
                <w:rFonts w:ascii="Times New Roman" w:hAnsi="Times New Roman" w:cs="Times New Roman"/>
                <w:bCs/>
                <w:color w:val="000000" w:themeColor="text1"/>
                <w:lang w:val="ro-MD"/>
              </w:rPr>
            </w:pPr>
            <w:bookmarkStart w:id="57" w:name="_Hlk200719311"/>
            <w:r w:rsidRPr="00C011B2">
              <w:rPr>
                <w:rFonts w:ascii="Times New Roman" w:hAnsi="Times New Roman" w:cs="Times New Roman"/>
                <w:bCs/>
                <w:color w:val="000000" w:themeColor="text1"/>
                <w:lang w:val="ro-MD"/>
              </w:rPr>
              <w:lastRenderedPageBreak/>
              <w:t>28.</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cazul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a acordat aprobarea pentru reclasificarea unei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ii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conformitate cu</w:t>
            </w:r>
            <w:r w:rsidR="00A34689"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pct.26-27</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care a primit aprobarea respectiv</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w:t>
            </w:r>
          </w:p>
          <w:p w14:paraId="45293E10" w14:textId="652B78DA" w:rsidR="00E85A5B" w:rsidRPr="00C011B2" w:rsidRDefault="00AC089E"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28.1.</w:t>
            </w:r>
            <w:r w:rsidR="00E85A5B" w:rsidRPr="00C011B2">
              <w:rPr>
                <w:rFonts w:ascii="Times New Roman" w:hAnsi="Times New Roman" w:cs="Times New Roman"/>
                <w:bCs/>
                <w:color w:val="000000" w:themeColor="text1"/>
                <w:lang w:val="ro-MD"/>
              </w:rPr>
              <w:t xml:space="preserve"> public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f</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nt</w:t>
            </w:r>
            <w:r w:rsidR="00E85A5B" w:rsidRPr="00C011B2">
              <w:rPr>
                <w:rFonts w:ascii="Times New Roman" w:hAnsi="Times New Roman" w:cs="Times New Roman" w:hint="eastAsia"/>
                <w:bCs/>
                <w:color w:val="000000" w:themeColor="text1"/>
                <w:lang w:val="ro-MD"/>
              </w:rPr>
              <w:t>â</w:t>
            </w:r>
            <w:r w:rsidR="00E85A5B" w:rsidRPr="00C011B2">
              <w:rPr>
                <w:rFonts w:ascii="Times New Roman" w:hAnsi="Times New Roman" w:cs="Times New Roman"/>
                <w:bCs/>
                <w:color w:val="000000" w:themeColor="text1"/>
                <w:lang w:val="ro-MD"/>
              </w:rPr>
              <w:t>rziere</w:t>
            </w:r>
            <w:r w:rsidR="00A15E08" w:rsidRPr="00C011B2">
              <w:rPr>
                <w:lang w:val="it-IT"/>
              </w:rPr>
              <w:t xml:space="preserve"> </w:t>
            </w:r>
            <w:r w:rsidR="00A15E08" w:rsidRPr="00C011B2">
              <w:rPr>
                <w:rFonts w:ascii="Times New Roman" w:hAnsi="Times New Roman" w:cs="Times New Roman"/>
                <w:bCs/>
                <w:color w:val="000000" w:themeColor="text1"/>
                <w:lang w:val="ro-MD"/>
              </w:rPr>
              <w:t>pe pagina sa oficială</w:t>
            </w:r>
            <w:r w:rsidR="00E85A5B" w:rsidRPr="00C011B2">
              <w:rPr>
                <w:rFonts w:ascii="Times New Roman" w:hAnsi="Times New Roman" w:cs="Times New Roman"/>
                <w:bCs/>
                <w:color w:val="000000" w:themeColor="text1"/>
                <w:lang w:val="ro-MD"/>
              </w:rPr>
              <w:t>,</w:t>
            </w:r>
          </w:p>
          <w:p w14:paraId="5A3EC6ED" w14:textId="1181785D" w:rsidR="00E85A5B" w:rsidRPr="00C011B2" w:rsidRDefault="00AC089E"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28.1.1.</w:t>
            </w:r>
            <w:r w:rsidR="00E85A5B" w:rsidRPr="00C011B2">
              <w:rPr>
                <w:rFonts w:ascii="Times New Roman" w:hAnsi="Times New Roman" w:cs="Times New Roman"/>
                <w:bCs/>
                <w:color w:val="000000" w:themeColor="text1"/>
                <w:lang w:val="ro-MD"/>
              </w:rPr>
              <w:t xml:space="preserve"> informa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conform 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rora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ia sa a fost reclasificat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w:t>
            </w:r>
          </w:p>
          <w:p w14:paraId="35624724" w14:textId="2096F229" w:rsidR="00E85A5B" w:rsidRPr="00C011B2" w:rsidRDefault="00AC089E"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28.1.2.</w:t>
            </w:r>
            <w:r w:rsidR="00E85A5B" w:rsidRPr="00C011B2">
              <w:rPr>
                <w:rFonts w:ascii="Times New Roman" w:hAnsi="Times New Roman" w:cs="Times New Roman"/>
                <w:bCs/>
                <w:color w:val="000000" w:themeColor="text1"/>
                <w:lang w:val="ro-MD"/>
              </w:rPr>
              <w:t xml:space="preserve"> atunci c</w:t>
            </w:r>
            <w:r w:rsidR="00E85A5B" w:rsidRPr="00C011B2">
              <w:rPr>
                <w:rFonts w:ascii="Times New Roman" w:hAnsi="Times New Roman" w:cs="Times New Roman" w:hint="eastAsia"/>
                <w:bCs/>
                <w:color w:val="000000" w:themeColor="text1"/>
                <w:lang w:val="ro-MD"/>
              </w:rPr>
              <w:t>â</w:t>
            </w:r>
            <w:r w:rsidR="00E85A5B" w:rsidRPr="00C011B2">
              <w:rPr>
                <w:rFonts w:ascii="Times New Roman" w:hAnsi="Times New Roman" w:cs="Times New Roman"/>
                <w:bCs/>
                <w:color w:val="000000" w:themeColor="text1"/>
                <w:lang w:val="ro-MD"/>
              </w:rPr>
              <w:t>nd efectul reclasific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rii respective const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reducerea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elor de fonduri proprii ale </w:t>
            </w:r>
            <w:r w:rsidRPr="00C011B2">
              <w:rPr>
                <w:rFonts w:ascii="Times New Roman" w:hAnsi="Times New Roman" w:cs="Times New Roman"/>
                <w:bCs/>
                <w:color w:val="000000" w:themeColor="text1"/>
                <w:lang w:val="ro-MD"/>
              </w:rPr>
              <w:t>băncii</w:t>
            </w:r>
            <w:r w:rsidR="00E85A5B" w:rsidRPr="00C011B2">
              <w:rPr>
                <w:rFonts w:ascii="Times New Roman" w:hAnsi="Times New Roman" w:cs="Times New Roman"/>
                <w:bCs/>
                <w:color w:val="000000" w:themeColor="text1"/>
                <w:lang w:val="ro-MD"/>
              </w:rPr>
              <w:t xml:space="preserve">, dimensiunea reducerii respective;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w:t>
            </w:r>
          </w:p>
          <w:p w14:paraId="0B4869B2" w14:textId="2C2E10FB" w:rsidR="00E85A5B" w:rsidRPr="00C011B2" w:rsidRDefault="00AC089E"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28.2.</w:t>
            </w:r>
            <w:r w:rsidR="00E85A5B" w:rsidRPr="00C011B2">
              <w:rPr>
                <w:rFonts w:ascii="Times New Roman" w:hAnsi="Times New Roman" w:cs="Times New Roman"/>
                <w:bCs/>
                <w:color w:val="000000" w:themeColor="text1"/>
                <w:lang w:val="ro-MD"/>
              </w:rPr>
              <w:t xml:space="preserve"> atunci c</w:t>
            </w:r>
            <w:r w:rsidR="00E85A5B" w:rsidRPr="00C011B2">
              <w:rPr>
                <w:rFonts w:ascii="Times New Roman" w:hAnsi="Times New Roman" w:cs="Times New Roman" w:hint="eastAsia"/>
                <w:bCs/>
                <w:color w:val="000000" w:themeColor="text1"/>
                <w:lang w:val="ro-MD"/>
              </w:rPr>
              <w:t>â</w:t>
            </w:r>
            <w:r w:rsidR="00E85A5B" w:rsidRPr="00C011B2">
              <w:rPr>
                <w:rFonts w:ascii="Times New Roman" w:hAnsi="Times New Roman" w:cs="Times New Roman"/>
                <w:bCs/>
                <w:color w:val="000000" w:themeColor="text1"/>
                <w:lang w:val="ro-MD"/>
              </w:rPr>
              <w:t>nd efectul reclasific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rii respective const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reducerea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elor de fonduri proprii ale </w:t>
            </w:r>
            <w:r w:rsidRPr="00C011B2">
              <w:rPr>
                <w:rFonts w:ascii="Times New Roman" w:hAnsi="Times New Roman" w:cs="Times New Roman"/>
                <w:bCs/>
                <w:color w:val="000000" w:themeColor="text1"/>
                <w:lang w:val="ro-MD"/>
              </w:rPr>
              <w:t>băncii</w:t>
            </w:r>
            <w:r w:rsidR="00E85A5B" w:rsidRPr="00C011B2">
              <w:rPr>
                <w:rFonts w:ascii="Times New Roman" w:hAnsi="Times New Roman" w:cs="Times New Roman"/>
                <w:bCs/>
                <w:color w:val="000000" w:themeColor="text1"/>
                <w:lang w:val="ro-MD"/>
              </w:rPr>
              <w:t>, nu recunoa</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te acest efect p</w:t>
            </w:r>
            <w:r w:rsidR="00E85A5B" w:rsidRPr="00C011B2">
              <w:rPr>
                <w:rFonts w:ascii="Times New Roman" w:hAnsi="Times New Roman" w:cs="Times New Roman" w:hint="eastAsia"/>
                <w:bCs/>
                <w:color w:val="000000" w:themeColor="text1"/>
                <w:lang w:val="ro-MD"/>
              </w:rPr>
              <w:t>â</w:t>
            </w:r>
            <w:r w:rsidR="00E85A5B" w:rsidRPr="00C011B2">
              <w:rPr>
                <w:rFonts w:ascii="Times New Roman" w:hAnsi="Times New Roman" w:cs="Times New Roman"/>
                <w:bCs/>
                <w:color w:val="000000" w:themeColor="text1"/>
                <w:lang w:val="ro-MD"/>
              </w:rPr>
              <w:t>n</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momentul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care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ia ajunge la scaden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cu excep</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ia cazului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care </w:t>
            </w:r>
            <w:r w:rsidR="00036AE9"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i permite</w:t>
            </w:r>
            <w:r w:rsidR="00036AE9" w:rsidRPr="00C011B2">
              <w:rPr>
                <w:rFonts w:ascii="Times New Roman" w:hAnsi="Times New Roman" w:cs="Times New Roman"/>
                <w:bCs/>
                <w:color w:val="000000" w:themeColor="text1"/>
                <w:lang w:val="ro-MD"/>
              </w:rPr>
              <w:t xml:space="preserve"> băncii</w:t>
            </w:r>
            <w:r w:rsidR="00E85A5B" w:rsidRPr="00C011B2">
              <w:rPr>
                <w:rFonts w:ascii="Times New Roman" w:hAnsi="Times New Roman" w:cs="Times New Roman"/>
                <w:bCs/>
                <w:color w:val="000000" w:themeColor="text1"/>
                <w:lang w:val="ro-MD"/>
              </w:rPr>
              <w:t xml:space="preserve">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recunoasc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acest efect la o dat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anterioar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w:t>
            </w:r>
            <w:bookmarkEnd w:id="57"/>
          </w:p>
        </w:tc>
        <w:tc>
          <w:tcPr>
            <w:tcW w:w="450" w:type="pct"/>
          </w:tcPr>
          <w:p w14:paraId="740B80F1" w14:textId="0A535293"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785E8EFD"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35E34A7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02F2FC2" w14:textId="7777777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▼M8</w:t>
            </w:r>
            <w:r w:rsidRPr="00C011B2">
              <w:rPr>
                <w:rFonts w:ascii="Times New Roman" w:hAnsi="Times New Roman" w:cs="Times New Roman"/>
                <w:bCs/>
                <w:color w:val="000000" w:themeColor="text1"/>
                <w:lang w:val="ro-MD"/>
              </w:rPr>
              <w:t xml:space="preserve"> </w:t>
            </w:r>
          </w:p>
          <w:p w14:paraId="58653E87" w14:textId="059060F6"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calculeaz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net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cuantumului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care rezult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reclasificarea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ca diferen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imediat dup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reclasificare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w:t>
            </w:r>
          </w:p>
          <w:p w14:paraId="5B9F64E0" w14:textId="4F3E4918"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fonduri proprii imediat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nainte de reclasificare, calculate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articolul 92. Calculul nu 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considerare efectele altor factori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reclasificare.</w:t>
            </w:r>
          </w:p>
        </w:tc>
        <w:tc>
          <w:tcPr>
            <w:tcW w:w="1692" w:type="pct"/>
            <w:shd w:val="clear" w:color="auto" w:fill="auto"/>
          </w:tcPr>
          <w:p w14:paraId="30282A50" w14:textId="793C1046" w:rsidR="00E85A5B" w:rsidRPr="00C011B2" w:rsidRDefault="00036AE9" w:rsidP="00E85A5B">
            <w:pPr>
              <w:spacing w:after="0" w:line="276" w:lineRule="auto"/>
              <w:jc w:val="both"/>
              <w:rPr>
                <w:rFonts w:ascii="Times New Roman" w:hAnsi="Times New Roman" w:cs="Times New Roman"/>
                <w:bCs/>
                <w:color w:val="000000" w:themeColor="text1"/>
                <w:lang w:val="ro-MD"/>
              </w:rPr>
            </w:pPr>
            <w:bookmarkStart w:id="58" w:name="_Hlk200719694"/>
            <w:r w:rsidRPr="00C011B2">
              <w:rPr>
                <w:rFonts w:ascii="Times New Roman" w:hAnsi="Times New Roman" w:cs="Times New Roman"/>
                <w:bCs/>
                <w:color w:val="000000" w:themeColor="text1"/>
                <w:lang w:val="ro-MD"/>
              </w:rPr>
              <w:t>29.</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calculeaz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varia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ia net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 cuantumului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elor de fonduri proprii care rezult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din reclasificarea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iei ca diferen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ntre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imediat dup</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reclasificare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w:t>
            </w:r>
          </w:p>
          <w:p w14:paraId="0CEDC91C" w14:textId="10495487" w:rsidR="00E85A5B" w:rsidRPr="00C011B2" w:rsidRDefault="00E85A5B" w:rsidP="005C5693">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fonduri proprii imediat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nainte de reclasificare, calculate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w:t>
            </w:r>
            <w:r w:rsidR="005C5693" w:rsidRPr="00C011B2">
              <w:rPr>
                <w:rFonts w:ascii="Times New Roman" w:hAnsi="Times New Roman" w:cs="Times New Roman"/>
                <w:bCs/>
                <w:color w:val="000000" w:themeColor="text1"/>
                <w:lang w:val="ro-MD"/>
              </w:rPr>
              <w:t>capitolul VII din Regulamentul cu privire la fondurile proprii ale băncilor şi cerinţele de capital, aprobat prin HCE al BNM nr.109/2018</w:t>
            </w:r>
            <w:r w:rsidR="00BF7221" w:rsidRPr="00C011B2">
              <w:rPr>
                <w:rFonts w:ascii="Times New Roman" w:hAnsi="Times New Roman" w:cs="Times New Roman"/>
                <w:bCs/>
                <w:color w:val="000000" w:themeColor="text1"/>
                <w:lang w:val="ro-MD"/>
              </w:rPr>
              <w:t xml:space="preserve"> (în continuare Regulamentul nr.109/2018)</w:t>
            </w:r>
            <w:r w:rsidRPr="00C011B2">
              <w:rPr>
                <w:rFonts w:ascii="Times New Roman" w:hAnsi="Times New Roman" w:cs="Times New Roman"/>
                <w:bCs/>
                <w:color w:val="000000" w:themeColor="text1"/>
                <w:lang w:val="ro-MD"/>
              </w:rPr>
              <w:t xml:space="preserve">. Calculul nu 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considerare efectele altor factori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afar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reclasificare.</w:t>
            </w:r>
            <w:bookmarkEnd w:id="58"/>
          </w:p>
        </w:tc>
        <w:tc>
          <w:tcPr>
            <w:tcW w:w="450" w:type="pct"/>
          </w:tcPr>
          <w:p w14:paraId="1948E195" w14:textId="6720D611"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1C02E3A1"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27E0618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ABCA55" w14:textId="7777777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▼M17</w:t>
            </w:r>
            <w:r w:rsidRPr="00C011B2">
              <w:rPr>
                <w:rFonts w:ascii="Times New Roman" w:hAnsi="Times New Roman" w:cs="Times New Roman"/>
                <w:bCs/>
                <w:color w:val="000000" w:themeColor="text1"/>
                <w:lang w:val="ro-MD"/>
              </w:rPr>
              <w:t xml:space="preserve"> </w:t>
            </w:r>
          </w:p>
          <w:p w14:paraId="6C22DD66" w14:textId="0C59A215"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 Reclasificarea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prezentul articol este irevocabil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cu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bCs/>
                <w:color w:val="000000" w:themeColor="text1"/>
                <w:lang w:val="ro-MD"/>
              </w:rPr>
              <w:lastRenderedPageBreak/>
              <w:t>circumstan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excep</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(1).</w:t>
            </w:r>
          </w:p>
        </w:tc>
        <w:tc>
          <w:tcPr>
            <w:tcW w:w="1692" w:type="pct"/>
            <w:shd w:val="clear" w:color="auto" w:fill="auto"/>
          </w:tcPr>
          <w:p w14:paraId="10948EE3" w14:textId="37BB8E9D" w:rsidR="00E85A5B" w:rsidRPr="00C011B2" w:rsidRDefault="005C5693" w:rsidP="00E85A5B">
            <w:pPr>
              <w:spacing w:after="0" w:line="276" w:lineRule="auto"/>
              <w:jc w:val="both"/>
              <w:rPr>
                <w:rFonts w:ascii="Times New Roman" w:hAnsi="Times New Roman" w:cs="Times New Roman"/>
                <w:bCs/>
                <w:color w:val="000000" w:themeColor="text1"/>
                <w:lang w:val="ro-MD"/>
              </w:rPr>
            </w:pPr>
            <w:bookmarkStart w:id="59" w:name="_Hlk200719797"/>
            <w:r w:rsidRPr="00C011B2">
              <w:rPr>
                <w:rFonts w:ascii="Times New Roman" w:hAnsi="Times New Roman" w:cs="Times New Roman"/>
                <w:bCs/>
                <w:color w:val="000000" w:themeColor="text1"/>
                <w:lang w:val="ro-MD"/>
              </w:rPr>
              <w:lastRenderedPageBreak/>
              <w:t>30</w:t>
            </w:r>
            <w:r w:rsidR="00E85A5B" w:rsidRPr="00C011B2">
              <w:rPr>
                <w:rFonts w:ascii="Times New Roman" w:hAnsi="Times New Roman" w:cs="Times New Roman"/>
                <w:bCs/>
                <w:color w:val="000000" w:themeColor="text1"/>
                <w:lang w:val="ro-MD"/>
              </w:rPr>
              <w:t xml:space="preserve"> Reclasificarea unei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ii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prezenta secțiune</w:t>
            </w:r>
            <w:r w:rsidR="00E85A5B" w:rsidRPr="00C011B2">
              <w:rPr>
                <w:rFonts w:ascii="Times New Roman" w:hAnsi="Times New Roman" w:cs="Times New Roman"/>
                <w:bCs/>
                <w:color w:val="000000" w:themeColor="text1"/>
                <w:lang w:val="ro-MD"/>
              </w:rPr>
              <w:t xml:space="preserve"> este irevocabil</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cu excep</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ia circumstan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elor excep</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ionale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pct.25</w:t>
            </w:r>
            <w:r w:rsidR="00E85A5B" w:rsidRPr="00C011B2">
              <w:rPr>
                <w:rFonts w:ascii="Times New Roman" w:hAnsi="Times New Roman" w:cs="Times New Roman"/>
                <w:bCs/>
                <w:color w:val="000000" w:themeColor="text1"/>
                <w:lang w:val="ro-MD"/>
              </w:rPr>
              <w:t>.</w:t>
            </w:r>
            <w:bookmarkEnd w:id="59"/>
          </w:p>
        </w:tc>
        <w:tc>
          <w:tcPr>
            <w:tcW w:w="450" w:type="pct"/>
          </w:tcPr>
          <w:p w14:paraId="2E3A659F" w14:textId="2F0212D5"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11593F5C"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4375283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4B9049" w14:textId="0B998F2D"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 Prin derogare de la alineatul (1) de la prezentul articol,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poate reclasifica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drept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104 alineatul (2) litera (d) 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solicita aprobarea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ii sale competente.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acest caz,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continu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 se aplice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alineatele (3)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(4) de la prezentul articol.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i notific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imediat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sale competente efectuarea unei astfel de reclasific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w:t>
            </w:r>
          </w:p>
        </w:tc>
        <w:tc>
          <w:tcPr>
            <w:tcW w:w="1692" w:type="pct"/>
            <w:shd w:val="clear" w:color="auto" w:fill="auto"/>
          </w:tcPr>
          <w:p w14:paraId="0DEAF439" w14:textId="6C5F7692" w:rsidR="00E85A5B" w:rsidRPr="00C011B2" w:rsidRDefault="005C5693" w:rsidP="00E85A5B">
            <w:pPr>
              <w:spacing w:after="0" w:line="276" w:lineRule="auto"/>
              <w:jc w:val="both"/>
              <w:rPr>
                <w:rFonts w:ascii="Times New Roman" w:hAnsi="Times New Roman" w:cs="Times New Roman"/>
                <w:bCs/>
                <w:color w:val="000000" w:themeColor="text1"/>
                <w:lang w:val="ro-MD"/>
              </w:rPr>
            </w:pPr>
            <w:bookmarkStart w:id="60" w:name="_Hlk200720033"/>
            <w:r w:rsidRPr="00C011B2">
              <w:rPr>
                <w:rFonts w:ascii="Times New Roman" w:hAnsi="Times New Roman" w:cs="Times New Roman"/>
                <w:bCs/>
                <w:color w:val="000000" w:themeColor="text1"/>
                <w:lang w:val="ro-MD"/>
              </w:rPr>
              <w:t>31.</w:t>
            </w:r>
            <w:r w:rsidR="00E85A5B" w:rsidRPr="00C011B2">
              <w:rPr>
                <w:rFonts w:ascii="Times New Roman" w:hAnsi="Times New Roman" w:cs="Times New Roman"/>
                <w:bCs/>
                <w:color w:val="000000" w:themeColor="text1"/>
                <w:lang w:val="ro-MD"/>
              </w:rPr>
              <w:t xml:space="preserve"> Prin derogare de la </w:t>
            </w:r>
            <w:r w:rsidRPr="00C011B2">
              <w:rPr>
                <w:rFonts w:ascii="Times New Roman" w:hAnsi="Times New Roman" w:cs="Times New Roman"/>
                <w:bCs/>
                <w:color w:val="000000" w:themeColor="text1"/>
                <w:lang w:val="ro-MD"/>
              </w:rPr>
              <w:t>pct.25</w:t>
            </w:r>
            <w:r w:rsidR="00E85A5B"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E85A5B" w:rsidRPr="00C011B2">
              <w:rPr>
                <w:rFonts w:ascii="Times New Roman" w:hAnsi="Times New Roman" w:cs="Times New Roman"/>
                <w:bCs/>
                <w:color w:val="000000" w:themeColor="text1"/>
                <w:lang w:val="ro-MD"/>
              </w:rPr>
              <w:t>poate reclasifica o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din afara 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drept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din portofoliul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conformitate cu </w:t>
            </w:r>
            <w:r w:rsidR="001F5D2D" w:rsidRPr="00C011B2">
              <w:rPr>
                <w:rFonts w:ascii="Times New Roman" w:hAnsi="Times New Roman" w:cs="Times New Roman"/>
                <w:bCs/>
                <w:color w:val="000000" w:themeColor="text1"/>
                <w:lang w:val="ro-MD"/>
              </w:rPr>
              <w:t>subpct.16.4</w:t>
            </w:r>
            <w:r w:rsidR="00E85A5B" w:rsidRPr="00C011B2">
              <w:rPr>
                <w:rFonts w:ascii="Times New Roman" w:hAnsi="Times New Roman" w:cs="Times New Roman"/>
                <w:bCs/>
                <w:color w:val="000000" w:themeColor="text1"/>
                <w:lang w:val="ro-MD"/>
              </w:rPr>
              <w:t xml:space="preserve"> f</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 solicita aprobarea </w:t>
            </w:r>
            <w:r w:rsidR="001F5D2D"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acest caz, </w:t>
            </w:r>
            <w:r w:rsidR="001F5D2D" w:rsidRPr="00C011B2">
              <w:rPr>
                <w:rFonts w:ascii="Times New Roman" w:hAnsi="Times New Roman" w:cs="Times New Roman"/>
                <w:bCs/>
                <w:color w:val="000000" w:themeColor="text1"/>
                <w:lang w:val="ro-MD"/>
              </w:rPr>
              <w:t xml:space="preserve">băncii </w:t>
            </w:r>
            <w:r w:rsidR="00E85A5B" w:rsidRPr="00C011B2">
              <w:rPr>
                <w:rFonts w:ascii="Times New Roman" w:hAnsi="Times New Roman" w:cs="Times New Roman"/>
                <w:bCs/>
                <w:color w:val="000000" w:themeColor="text1"/>
                <w:lang w:val="ro-MD"/>
              </w:rPr>
              <w:t>continu</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i se aplice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prev</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zute la </w:t>
            </w:r>
            <w:r w:rsidR="001F5D2D" w:rsidRPr="00C011B2">
              <w:rPr>
                <w:rFonts w:ascii="Times New Roman" w:hAnsi="Times New Roman" w:cs="Times New Roman"/>
                <w:bCs/>
                <w:color w:val="000000" w:themeColor="text1"/>
                <w:lang w:val="ro-MD"/>
              </w:rPr>
              <w:t>pct.28 și 29</w:t>
            </w:r>
            <w:r w:rsidR="00E85A5B" w:rsidRPr="00C011B2">
              <w:rPr>
                <w:rFonts w:ascii="Times New Roman" w:hAnsi="Times New Roman" w:cs="Times New Roman"/>
                <w:bCs/>
                <w:color w:val="000000" w:themeColor="text1"/>
                <w:lang w:val="ro-MD"/>
              </w:rPr>
              <w:t xml:space="preserve">. </w:t>
            </w:r>
            <w:r w:rsidR="001F5D2D"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i notific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imediat </w:t>
            </w:r>
            <w:r w:rsidR="001F5D2D"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efectuarea unei astfel de reclasific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w:t>
            </w:r>
            <w:bookmarkEnd w:id="60"/>
          </w:p>
        </w:tc>
        <w:tc>
          <w:tcPr>
            <w:tcW w:w="450" w:type="pct"/>
          </w:tcPr>
          <w:p w14:paraId="09A7EEED" w14:textId="5C6B7C6A"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0A85A0C4"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41CBCAD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693064" w14:textId="77777777" w:rsidR="00E85A5B" w:rsidRPr="00C011B2" w:rsidRDefault="00E85A5B" w:rsidP="00E85A5B">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197255D4" w14:textId="77777777" w:rsidR="00E85A5B" w:rsidRPr="00C011B2" w:rsidRDefault="00E85A5B" w:rsidP="00E85A5B">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104b</w:t>
            </w:r>
          </w:p>
          <w:p w14:paraId="078F12F7" w14:textId="52537643"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Cerinţe aplicabile birourilor de tranzacţionare</w:t>
            </w:r>
          </w:p>
        </w:tc>
        <w:tc>
          <w:tcPr>
            <w:tcW w:w="1692" w:type="pct"/>
            <w:shd w:val="clear" w:color="auto" w:fill="auto"/>
          </w:tcPr>
          <w:p w14:paraId="5BF57FFE" w14:textId="3DD22F83" w:rsidR="00E85A5B" w:rsidRPr="00C011B2" w:rsidRDefault="001F5D2D" w:rsidP="00E85A5B">
            <w:pPr>
              <w:spacing w:after="0" w:line="276" w:lineRule="auto"/>
              <w:jc w:val="both"/>
              <w:rPr>
                <w:rFonts w:ascii="Times New Roman" w:hAnsi="Times New Roman" w:cs="Times New Roman"/>
                <w:bCs/>
                <w:i/>
                <w:iCs/>
                <w:color w:val="000000" w:themeColor="text1"/>
                <w:lang w:val="ro-MD"/>
              </w:rPr>
            </w:pPr>
            <w:bookmarkStart w:id="61" w:name="_Hlk200720123"/>
            <w:r w:rsidRPr="00C011B2">
              <w:rPr>
                <w:rFonts w:ascii="Times New Roman" w:hAnsi="Times New Roman" w:cs="Times New Roman"/>
                <w:bCs/>
                <w:i/>
                <w:iCs/>
                <w:color w:val="000000" w:themeColor="text1"/>
                <w:lang w:val="ro-MD"/>
              </w:rPr>
              <w:t>Secțiunea 5.</w:t>
            </w:r>
          </w:p>
          <w:p w14:paraId="16D741A9" w14:textId="743C088A"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Cerinţe aplicabile birourilor de tranzacţionare</w:t>
            </w:r>
            <w:bookmarkEnd w:id="61"/>
          </w:p>
        </w:tc>
        <w:tc>
          <w:tcPr>
            <w:tcW w:w="450" w:type="pct"/>
          </w:tcPr>
          <w:p w14:paraId="5AFE9F26"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c>
          <w:tcPr>
            <w:tcW w:w="1261" w:type="pct"/>
          </w:tcPr>
          <w:p w14:paraId="752C5BD4"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68A60F1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0B30E5" w14:textId="77777777" w:rsidR="00E85A5B" w:rsidRPr="00C011B2" w:rsidRDefault="00E85A5B" w:rsidP="00E85A5B">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37306BE4" w14:textId="0E3F280B"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abordarea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325 alineatul (1) litera (b),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nfiin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birouri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atribuie fiecare dintre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alineatele (5)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(6) de la prezentul articol unuia dintre birourile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respective.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din portofoliul de </w:t>
            </w:r>
            <w:r w:rsidRPr="00C011B2">
              <w:rPr>
                <w:rFonts w:ascii="Times New Roman" w:hAnsi="Times New Roman" w:cs="Times New Roman"/>
                <w:bCs/>
                <w:color w:val="000000" w:themeColor="text1"/>
                <w:lang w:val="ro-MD"/>
              </w:rPr>
              <w:lastRenderedPageBreak/>
              <w:t>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se atribuie aceluia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numai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respective sunt</w:t>
            </w:r>
          </w:p>
          <w:p w14:paraId="7FBA698B" w14:textId="008EA96B"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conforme cu strategia de afaceri aprobat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pentru biroul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respectiv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sunt administrate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monitorizate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mod consecvent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alineatul (2) de la prezentul articol.</w:t>
            </w:r>
          </w:p>
        </w:tc>
        <w:tc>
          <w:tcPr>
            <w:tcW w:w="1692" w:type="pct"/>
            <w:shd w:val="clear" w:color="auto" w:fill="auto"/>
          </w:tcPr>
          <w:p w14:paraId="01850664" w14:textId="03B2D644" w:rsidR="00E85A5B" w:rsidRPr="00C011B2" w:rsidRDefault="001F5D2D" w:rsidP="00E85A5B">
            <w:pPr>
              <w:spacing w:after="0" w:line="276" w:lineRule="auto"/>
              <w:jc w:val="both"/>
              <w:rPr>
                <w:rFonts w:ascii="Times New Roman" w:hAnsi="Times New Roman" w:cs="Times New Roman"/>
                <w:bCs/>
                <w:color w:val="000000" w:themeColor="text1"/>
                <w:lang w:val="ro-MD"/>
              </w:rPr>
            </w:pPr>
            <w:bookmarkStart w:id="62" w:name="_Hlk200722019"/>
            <w:r w:rsidRPr="00C011B2">
              <w:rPr>
                <w:rFonts w:ascii="Times New Roman" w:hAnsi="Times New Roman" w:cs="Times New Roman"/>
                <w:bCs/>
                <w:color w:val="000000" w:themeColor="text1"/>
                <w:lang w:val="ro-MD"/>
              </w:rPr>
              <w:lastRenderedPageBreak/>
              <w:t>32.</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scopul calcul</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rii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elor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conformitate cu abordarea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la</w:t>
            </w:r>
            <w:r w:rsidR="00A874D4" w:rsidRPr="00C011B2">
              <w:rPr>
                <w:rFonts w:ascii="Times New Roman" w:hAnsi="Times New Roman" w:cs="Times New Roman"/>
                <w:bCs/>
                <w:color w:val="000000" w:themeColor="text1"/>
                <w:lang w:val="ro-MD"/>
              </w:rPr>
              <w:t xml:space="preserve"> subpct.69.2</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nfiin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birouri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atribuie fiecare dintre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din portofoliul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din afara 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ionate la </w:t>
            </w:r>
            <w:r w:rsidR="00EA11EB" w:rsidRPr="00C011B2">
              <w:rPr>
                <w:rFonts w:ascii="Times New Roman" w:hAnsi="Times New Roman" w:cs="Times New Roman"/>
                <w:bCs/>
                <w:color w:val="000000" w:themeColor="text1"/>
                <w:lang w:val="ro-MD"/>
              </w:rPr>
              <w:t xml:space="preserve"> pct.36 și 37 </w:t>
            </w:r>
            <w:r w:rsidR="00E85A5B" w:rsidRPr="00C011B2">
              <w:rPr>
                <w:rFonts w:ascii="Times New Roman" w:hAnsi="Times New Roman" w:cs="Times New Roman"/>
                <w:bCs/>
                <w:color w:val="000000" w:themeColor="text1"/>
                <w:lang w:val="ro-MD"/>
              </w:rPr>
              <w:t>unuia dintre birourile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respective.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din portofoliul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se atribuie aceluia</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numai dac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respective sunt</w:t>
            </w:r>
          </w:p>
          <w:p w14:paraId="2D700744" w14:textId="7ED28E65"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conforme cu strategia de afaceri aprobat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pentru biroul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respectiv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sunt administrate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monitorizate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mod consecvent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w:t>
            </w:r>
            <w:r w:rsidR="00EA11EB" w:rsidRPr="00C011B2">
              <w:rPr>
                <w:rFonts w:ascii="Times New Roman" w:hAnsi="Times New Roman" w:cs="Times New Roman"/>
                <w:bCs/>
                <w:color w:val="000000" w:themeColor="text1"/>
                <w:lang w:val="ro-MD"/>
              </w:rPr>
              <w:t>pct.33</w:t>
            </w:r>
            <w:r w:rsidRPr="00C011B2">
              <w:rPr>
                <w:rFonts w:ascii="Times New Roman" w:hAnsi="Times New Roman" w:cs="Times New Roman"/>
                <w:bCs/>
                <w:color w:val="000000" w:themeColor="text1"/>
                <w:lang w:val="ro-MD"/>
              </w:rPr>
              <w:t>.</w:t>
            </w:r>
            <w:bookmarkEnd w:id="62"/>
          </w:p>
        </w:tc>
        <w:tc>
          <w:tcPr>
            <w:tcW w:w="450" w:type="pct"/>
          </w:tcPr>
          <w:p w14:paraId="3DD3795F" w14:textId="10CC18A9"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74E3F7CB"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2399B1F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A81BEAF" w14:textId="77777777" w:rsidR="00E85A5B" w:rsidRPr="00C011B2" w:rsidRDefault="00E85A5B" w:rsidP="00E85A5B">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7574CD6E" w14:textId="1D77DAA0"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 Birourile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ndeplinesc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permanen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toate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w:t>
            </w:r>
          </w:p>
          <w:p w14:paraId="12374096" w14:textId="13883C4D"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fiecare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are o strategie de afaceri clar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distinct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o structur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gestionare a riscurilor adecvat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pentru strategia sa de afaceri;</w:t>
            </w:r>
          </w:p>
          <w:p w14:paraId="7B187139" w14:textId="691FDC00"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fiecare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are o structur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organiza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clar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unui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sunt gestionate de dealeri desemna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din cadrul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fiecare dealer are func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 specifice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cadrul biroului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fiecare dealer este repartizat unui singur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p w14:paraId="03E1799A" w14:textId="0C9E5E9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limitele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se stabilesc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cadrul fiec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rui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func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strategia de afaceri a respectivului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p w14:paraId="23848A00" w14:textId="7777777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pt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m</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nal se elaboreaz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rapoarte privind activit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ile, rentabilitatea, gestionarea riscului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ele de reglementare la nivelul biroului de </w:t>
            </w:r>
            <w:r w:rsidRPr="00C011B2">
              <w:rPr>
                <w:rFonts w:ascii="Times New Roman" w:hAnsi="Times New Roman" w:cs="Times New Roman"/>
                <w:bCs/>
                <w:color w:val="000000" w:themeColor="text1"/>
                <w:lang w:val="ro-MD"/>
              </w:rPr>
              <w:lastRenderedPageBreak/>
              <w:t>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acestea se comunic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organului de conducere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regulat;</w:t>
            </w:r>
          </w:p>
          <w:p w14:paraId="6CAB5FC5" w14:textId="0D5F00C8"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fiecare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are un plan de afaceri anual clar, care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includ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politic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remunerare bine definit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baza unor criterii solide utilizate pentru evaluarea performan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p w14:paraId="2D236FC6" w14:textId="7C4976E6"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(f) pentru fiecare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se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ntocmesc lunar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se pun la dispozi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ilor competente rapoarte privind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care se apropie de scaden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lc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limitelor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pe parcursul zilei (intra-day),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lc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limitelor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zilnice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iunile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ntreprinse de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mpotriva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lc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rilor respective, precum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ale lichidit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tc>
        <w:tc>
          <w:tcPr>
            <w:tcW w:w="1692" w:type="pct"/>
            <w:shd w:val="clear" w:color="auto" w:fill="auto"/>
          </w:tcPr>
          <w:p w14:paraId="1C39CF3B" w14:textId="2A23EC97" w:rsidR="00E85A5B" w:rsidRPr="00C011B2" w:rsidRDefault="001F5D2D" w:rsidP="00E85A5B">
            <w:pPr>
              <w:spacing w:after="0" w:line="276" w:lineRule="auto"/>
              <w:jc w:val="both"/>
              <w:rPr>
                <w:rFonts w:ascii="Times New Roman" w:hAnsi="Times New Roman" w:cs="Times New Roman"/>
                <w:bCs/>
                <w:color w:val="000000" w:themeColor="text1"/>
                <w:lang w:val="ro-MD"/>
              </w:rPr>
            </w:pPr>
            <w:bookmarkStart w:id="63" w:name="_Hlk200722067"/>
            <w:r w:rsidRPr="00C011B2">
              <w:rPr>
                <w:rFonts w:ascii="Times New Roman" w:hAnsi="Times New Roman" w:cs="Times New Roman"/>
                <w:bCs/>
                <w:color w:val="000000" w:themeColor="text1"/>
                <w:lang w:val="ro-MD"/>
              </w:rPr>
              <w:lastRenderedPageBreak/>
              <w:t>33.</w:t>
            </w:r>
            <w:r w:rsidR="00E85A5B" w:rsidRPr="00C011B2">
              <w:rPr>
                <w:rFonts w:ascii="Times New Roman" w:hAnsi="Times New Roman" w:cs="Times New Roman"/>
                <w:bCs/>
                <w:color w:val="000000" w:themeColor="text1"/>
                <w:lang w:val="ro-MD"/>
              </w:rPr>
              <w:t xml:space="preserve"> Birourile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ale </w:t>
            </w:r>
            <w:r w:rsidR="00880EF6" w:rsidRPr="00C011B2">
              <w:rPr>
                <w:rFonts w:ascii="Times New Roman" w:hAnsi="Times New Roman" w:cs="Times New Roman"/>
                <w:bCs/>
                <w:color w:val="000000" w:themeColor="text1"/>
                <w:lang w:val="ro-MD"/>
              </w:rPr>
              <w:t xml:space="preserve">băncilor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ndeplinesc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permanen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toate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urm</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toare:</w:t>
            </w:r>
          </w:p>
          <w:p w14:paraId="70CFBA4F" w14:textId="3F3814E7" w:rsidR="00E85A5B" w:rsidRPr="00C011B2" w:rsidRDefault="0057783C"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33.1.</w:t>
            </w:r>
            <w:r w:rsidR="00E85A5B" w:rsidRPr="00C011B2">
              <w:rPr>
                <w:rFonts w:ascii="Times New Roman" w:hAnsi="Times New Roman" w:cs="Times New Roman"/>
                <w:bCs/>
                <w:color w:val="000000" w:themeColor="text1"/>
                <w:lang w:val="ro-MD"/>
              </w:rPr>
              <w:t xml:space="preserve"> fiecare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are o strategie de afaceri clar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distinct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o structur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 gestionare a riscurilor adecvat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pentru strategia sa de afaceri;</w:t>
            </w:r>
          </w:p>
          <w:p w14:paraId="6C2B6B86" w14:textId="0D1F28AE" w:rsidR="00E85A5B" w:rsidRPr="00C011B2" w:rsidRDefault="0057783C"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33.2.</w:t>
            </w:r>
            <w:r w:rsidR="00E85A5B" w:rsidRPr="00C011B2">
              <w:rPr>
                <w:rFonts w:ascii="Times New Roman" w:hAnsi="Times New Roman" w:cs="Times New Roman"/>
                <w:bCs/>
                <w:color w:val="000000" w:themeColor="text1"/>
                <w:lang w:val="ro-MD"/>
              </w:rPr>
              <w:t xml:space="preserve"> fiecare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are o structur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organiza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ional</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clar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unui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sunt gestionate de dealeri desemna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 din cadrul </w:t>
            </w:r>
            <w:r w:rsidRPr="00C011B2">
              <w:rPr>
                <w:rFonts w:ascii="Times New Roman" w:hAnsi="Times New Roman" w:cs="Times New Roman"/>
                <w:bCs/>
                <w:color w:val="000000" w:themeColor="text1"/>
                <w:lang w:val="ro-MD"/>
              </w:rPr>
              <w:t>băncii</w:t>
            </w:r>
            <w:r w:rsidR="00E85A5B" w:rsidRPr="00C011B2">
              <w:rPr>
                <w:rFonts w:ascii="Times New Roman" w:hAnsi="Times New Roman" w:cs="Times New Roman"/>
                <w:bCs/>
                <w:color w:val="000000" w:themeColor="text1"/>
                <w:lang w:val="ro-MD"/>
              </w:rPr>
              <w:t>; fiecare dealer are func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ii specifice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cadrul biroului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fiecare dealer este repartizat unui singur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w:t>
            </w:r>
          </w:p>
          <w:p w14:paraId="58C8D336" w14:textId="7F6850DB" w:rsidR="00E85A5B" w:rsidRPr="00C011B2" w:rsidRDefault="0057783C"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33.3.</w:t>
            </w:r>
            <w:r w:rsidR="00E85A5B" w:rsidRPr="00C011B2">
              <w:rPr>
                <w:rFonts w:ascii="Times New Roman" w:hAnsi="Times New Roman" w:cs="Times New Roman"/>
                <w:bCs/>
                <w:color w:val="000000" w:themeColor="text1"/>
                <w:lang w:val="ro-MD"/>
              </w:rPr>
              <w:t xml:space="preserve"> limitele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iilor se stabilesc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cadrul fiec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rui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func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de strategia de afaceri a respectivului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w:t>
            </w:r>
          </w:p>
          <w:p w14:paraId="2B5BAF3C" w14:textId="5FF2E3DB" w:rsidR="00E85A5B" w:rsidRPr="00C011B2" w:rsidRDefault="0057783C"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33.4.</w:t>
            </w:r>
            <w:r w:rsidR="00E85A5B" w:rsidRPr="00C011B2">
              <w:rPr>
                <w:rFonts w:ascii="Times New Roman" w:hAnsi="Times New Roman" w:cs="Times New Roman"/>
                <w:bCs/>
                <w:color w:val="000000" w:themeColor="text1"/>
                <w:lang w:val="ro-MD"/>
              </w:rPr>
              <w:t xml:space="preserve"> cel pu</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in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pt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m</w:t>
            </w:r>
            <w:r w:rsidR="00E85A5B" w:rsidRPr="00C011B2">
              <w:rPr>
                <w:rFonts w:ascii="Times New Roman" w:hAnsi="Times New Roman" w:cs="Times New Roman" w:hint="eastAsia"/>
                <w:bCs/>
                <w:color w:val="000000" w:themeColor="text1"/>
                <w:lang w:val="ro-MD"/>
              </w:rPr>
              <w:t>â</w:t>
            </w:r>
            <w:r w:rsidR="00E85A5B" w:rsidRPr="00C011B2">
              <w:rPr>
                <w:rFonts w:ascii="Times New Roman" w:hAnsi="Times New Roman" w:cs="Times New Roman"/>
                <w:bCs/>
                <w:color w:val="000000" w:themeColor="text1"/>
                <w:lang w:val="ro-MD"/>
              </w:rPr>
              <w:t>nal se elaboreaz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rapoarte privind activit</w:t>
            </w:r>
            <w:r w:rsidR="00E85A5B" w:rsidRPr="00C011B2">
              <w:rPr>
                <w:rFonts w:ascii="Times New Roman" w:hAnsi="Times New Roman" w:cs="Times New Roman" w:hint="eastAsia"/>
                <w:bCs/>
                <w:color w:val="000000" w:themeColor="text1"/>
                <w:lang w:val="ro-MD"/>
              </w:rPr>
              <w:t>ăţ</w:t>
            </w:r>
            <w:r w:rsidR="00E85A5B" w:rsidRPr="00C011B2">
              <w:rPr>
                <w:rFonts w:ascii="Times New Roman" w:hAnsi="Times New Roman" w:cs="Times New Roman"/>
                <w:bCs/>
                <w:color w:val="000000" w:themeColor="text1"/>
                <w:lang w:val="ro-MD"/>
              </w:rPr>
              <w:t xml:space="preserve">ile, rentabilitatea, gestionarea riscului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reglementare la nivelul biroului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acestea se comunic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organului de conducere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mod regulat;</w:t>
            </w:r>
          </w:p>
          <w:p w14:paraId="775E6ADC" w14:textId="041C43F8" w:rsidR="00E85A5B" w:rsidRPr="00C011B2" w:rsidRDefault="0057783C"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33.5.</w:t>
            </w:r>
            <w:r w:rsidR="00E85A5B" w:rsidRPr="00C011B2">
              <w:rPr>
                <w:rFonts w:ascii="Times New Roman" w:hAnsi="Times New Roman" w:cs="Times New Roman"/>
                <w:bCs/>
                <w:color w:val="000000" w:themeColor="text1"/>
                <w:lang w:val="ro-MD"/>
              </w:rPr>
              <w:t xml:space="preserve"> fiecare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are un plan de afaceri anual clar, care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includ</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o politic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 remunerare bine definit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pe baza unor criterii solide utilizate pentru evaluarea performan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ei;</w:t>
            </w:r>
          </w:p>
          <w:p w14:paraId="4383BC25" w14:textId="4350D711" w:rsidR="00E85A5B" w:rsidRPr="00C011B2" w:rsidRDefault="0057783C"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33.6.</w:t>
            </w:r>
            <w:r w:rsidR="00E85A5B" w:rsidRPr="00C011B2">
              <w:rPr>
                <w:rFonts w:ascii="Times New Roman" w:hAnsi="Times New Roman" w:cs="Times New Roman"/>
                <w:bCs/>
                <w:color w:val="000000" w:themeColor="text1"/>
                <w:lang w:val="ro-MD"/>
              </w:rPr>
              <w:t xml:space="preserve"> pentru fiecare birou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se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ntocmesc lunar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se pun la dispozi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ia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rapoarte privind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care se apropie de scaden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lc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rile limitelor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pe parcursul zilei (intra-day),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lc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rile limitelor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zilnice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iunile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ntreprinse de </w:t>
            </w:r>
            <w:r w:rsidRPr="00C011B2">
              <w:rPr>
                <w:rFonts w:ascii="Times New Roman" w:hAnsi="Times New Roman" w:cs="Times New Roman"/>
                <w:bCs/>
                <w:color w:val="000000" w:themeColor="text1"/>
                <w:lang w:val="ro-MD"/>
              </w:rPr>
              <w:t xml:space="preserve">bancă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mpotriva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lc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rilor respective, precum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evalu</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ri ale lichidit</w:t>
            </w:r>
            <w:r w:rsidR="00E85A5B" w:rsidRPr="00C011B2">
              <w:rPr>
                <w:rFonts w:ascii="Times New Roman" w:hAnsi="Times New Roman" w:cs="Times New Roman" w:hint="eastAsia"/>
                <w:bCs/>
                <w:color w:val="000000" w:themeColor="text1"/>
                <w:lang w:val="ro-MD"/>
              </w:rPr>
              <w:t>ăţ</w:t>
            </w:r>
            <w:r w:rsidR="00E85A5B" w:rsidRPr="00C011B2">
              <w:rPr>
                <w:rFonts w:ascii="Times New Roman" w:hAnsi="Times New Roman" w:cs="Times New Roman"/>
                <w:bCs/>
                <w:color w:val="000000" w:themeColor="text1"/>
                <w:lang w:val="ro-MD"/>
              </w:rPr>
              <w:t>ii pie</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ei.</w:t>
            </w:r>
            <w:bookmarkEnd w:id="63"/>
          </w:p>
        </w:tc>
        <w:tc>
          <w:tcPr>
            <w:tcW w:w="450" w:type="pct"/>
          </w:tcPr>
          <w:p w14:paraId="2FD5C0A4" w14:textId="4C2A62A2" w:rsidR="00E85A5B" w:rsidRPr="00C011B2" w:rsidRDefault="0057783C"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364C2E51"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5EE81F3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613A1D7" w14:textId="7DFBD71B"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 Prin derogare de la alineatul (2) litera (b),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poate repartiza un dealer mai multor birouri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cu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demonstreze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ntr-un mod pe care autoritatea sa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l considere satisf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repartizarea a fost efectuat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considerente ce </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de afaceri sau de resurse, iar repartizarea nu afecteaz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celelalte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 calitative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prezentul articol, aplicabile dealerilor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birourilor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tc>
        <w:tc>
          <w:tcPr>
            <w:tcW w:w="1692" w:type="pct"/>
            <w:shd w:val="clear" w:color="auto" w:fill="auto"/>
          </w:tcPr>
          <w:p w14:paraId="5A348C52" w14:textId="13D8DC8E" w:rsidR="00E85A5B" w:rsidRPr="00C011B2" w:rsidRDefault="0057783C" w:rsidP="00E85A5B">
            <w:pPr>
              <w:spacing w:after="0" w:line="276" w:lineRule="auto"/>
              <w:jc w:val="both"/>
              <w:rPr>
                <w:rFonts w:ascii="Times New Roman" w:hAnsi="Times New Roman" w:cs="Times New Roman"/>
                <w:bCs/>
                <w:color w:val="000000" w:themeColor="text1"/>
                <w:lang w:val="ro-MD"/>
              </w:rPr>
            </w:pPr>
            <w:bookmarkStart w:id="64" w:name="_Hlk200722087"/>
            <w:r w:rsidRPr="00C011B2">
              <w:rPr>
                <w:rFonts w:ascii="Times New Roman" w:hAnsi="Times New Roman" w:cs="Times New Roman"/>
                <w:bCs/>
                <w:color w:val="000000" w:themeColor="text1"/>
                <w:lang w:val="ro-MD"/>
              </w:rPr>
              <w:t>34.</w:t>
            </w:r>
            <w:r w:rsidR="00E85A5B" w:rsidRPr="00C011B2">
              <w:rPr>
                <w:rFonts w:ascii="Times New Roman" w:hAnsi="Times New Roman" w:cs="Times New Roman"/>
                <w:bCs/>
                <w:color w:val="000000" w:themeColor="text1"/>
                <w:lang w:val="ro-MD"/>
              </w:rPr>
              <w:t xml:space="preserve"> Prin derogare de la </w:t>
            </w:r>
            <w:r w:rsidRPr="00C011B2">
              <w:rPr>
                <w:rFonts w:ascii="Times New Roman" w:hAnsi="Times New Roman" w:cs="Times New Roman"/>
                <w:bCs/>
                <w:color w:val="000000" w:themeColor="text1"/>
                <w:lang w:val="ro-MD"/>
              </w:rPr>
              <w:t>subpct.33.2</w:t>
            </w:r>
            <w:r w:rsidR="00E85A5B"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E85A5B" w:rsidRPr="00C011B2">
              <w:rPr>
                <w:rFonts w:ascii="Times New Roman" w:hAnsi="Times New Roman" w:cs="Times New Roman"/>
                <w:bCs/>
                <w:color w:val="000000" w:themeColor="text1"/>
                <w:lang w:val="ro-MD"/>
              </w:rPr>
              <w:t>poate repartiza un dealer mai multor birouri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cu condi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ia ca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demonstreze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ntr-un mod pe care </w:t>
            </w:r>
            <w:r w:rsidR="001F226E"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l considere satisf</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tor 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repartizarea a fost efectuat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din considerente ce </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in de afaceri sau de resurse, iar repartizarea nu afecteaz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celelalte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 calitative prev</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zute la </w:t>
            </w:r>
            <w:r w:rsidRPr="00C011B2">
              <w:rPr>
                <w:rFonts w:ascii="Times New Roman" w:hAnsi="Times New Roman" w:cs="Times New Roman"/>
                <w:bCs/>
                <w:color w:val="000000" w:themeColor="text1"/>
                <w:lang w:val="ro-MD"/>
              </w:rPr>
              <w:t>prezenta secțiune</w:t>
            </w:r>
            <w:r w:rsidR="00E85A5B" w:rsidRPr="00C011B2">
              <w:rPr>
                <w:rFonts w:ascii="Times New Roman" w:hAnsi="Times New Roman" w:cs="Times New Roman"/>
                <w:bCs/>
                <w:color w:val="000000" w:themeColor="text1"/>
                <w:lang w:val="ro-MD"/>
              </w:rPr>
              <w:t xml:space="preserve">, aplicabile dealerilor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birourilor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w:t>
            </w:r>
            <w:bookmarkEnd w:id="64"/>
          </w:p>
        </w:tc>
        <w:tc>
          <w:tcPr>
            <w:tcW w:w="450" w:type="pct"/>
          </w:tcPr>
          <w:p w14:paraId="2CF8101D" w14:textId="46971FA9" w:rsidR="00E85A5B" w:rsidRPr="00C011B2" w:rsidRDefault="00EA11EB"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38EF8B5"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49BC30B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A5C9252" w14:textId="48BF97CE"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notific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ilor competente modul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asigur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respectarea alineatului (2).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ile </w:t>
            </w:r>
            <w:r w:rsidRPr="00C011B2">
              <w:rPr>
                <w:rFonts w:ascii="Times New Roman" w:hAnsi="Times New Roman" w:cs="Times New Roman"/>
                <w:bCs/>
                <w:color w:val="000000" w:themeColor="text1"/>
                <w:lang w:val="ro-MD"/>
              </w:rPr>
              <w:lastRenderedPageBreak/>
              <w:t>competente pot impune unei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modifice structura sau organizarea birourilor sale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pentru a asigura respectarea prezentului articol.</w:t>
            </w:r>
          </w:p>
        </w:tc>
        <w:tc>
          <w:tcPr>
            <w:tcW w:w="1692" w:type="pct"/>
            <w:shd w:val="clear" w:color="auto" w:fill="auto"/>
          </w:tcPr>
          <w:p w14:paraId="2C663CC4" w14:textId="2467015D" w:rsidR="00E85A5B" w:rsidRPr="00C011B2" w:rsidRDefault="0057783C" w:rsidP="00E85A5B">
            <w:pPr>
              <w:spacing w:after="0" w:line="276" w:lineRule="auto"/>
              <w:jc w:val="both"/>
              <w:rPr>
                <w:rFonts w:ascii="Times New Roman" w:hAnsi="Times New Roman" w:cs="Times New Roman"/>
                <w:bCs/>
                <w:color w:val="000000" w:themeColor="text1"/>
                <w:lang w:val="ro-MD"/>
              </w:rPr>
            </w:pPr>
            <w:bookmarkStart w:id="65" w:name="_Hlk200722107"/>
            <w:r w:rsidRPr="00C011B2">
              <w:rPr>
                <w:rFonts w:ascii="Times New Roman" w:hAnsi="Times New Roman" w:cs="Times New Roman"/>
                <w:bCs/>
                <w:color w:val="000000" w:themeColor="text1"/>
                <w:lang w:val="ro-MD"/>
              </w:rPr>
              <w:lastRenderedPageBreak/>
              <w:t>35.</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E85A5B" w:rsidRPr="00C011B2">
              <w:rPr>
                <w:rFonts w:ascii="Times New Roman" w:hAnsi="Times New Roman" w:cs="Times New Roman"/>
                <w:bCs/>
                <w:color w:val="000000" w:themeColor="text1"/>
                <w:lang w:val="ro-MD"/>
              </w:rPr>
              <w:t>notific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modul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care asigur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respectarea </w:t>
            </w:r>
            <w:r w:rsidRPr="00C011B2">
              <w:rPr>
                <w:rFonts w:ascii="Times New Roman" w:hAnsi="Times New Roman" w:cs="Times New Roman"/>
                <w:bCs/>
                <w:color w:val="000000" w:themeColor="text1"/>
                <w:lang w:val="ro-MD"/>
              </w:rPr>
              <w:t>pct.33</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 poate</w:t>
            </w:r>
            <w:r w:rsidR="00E85A5B" w:rsidRPr="00C011B2">
              <w:rPr>
                <w:rFonts w:ascii="Times New Roman" w:hAnsi="Times New Roman" w:cs="Times New Roman"/>
                <w:bCs/>
                <w:color w:val="000000" w:themeColor="text1"/>
                <w:lang w:val="ro-MD"/>
              </w:rPr>
              <w:t xml:space="preserve"> impune unei </w:t>
            </w:r>
            <w:r w:rsidRPr="00C011B2">
              <w:rPr>
                <w:rFonts w:ascii="Times New Roman" w:hAnsi="Times New Roman" w:cs="Times New Roman"/>
                <w:bCs/>
                <w:color w:val="000000" w:themeColor="text1"/>
                <w:lang w:val="ro-MD"/>
              </w:rPr>
              <w:t xml:space="preserve">bănci </w:t>
            </w:r>
            <w:r w:rsidR="00E85A5B" w:rsidRPr="00C011B2">
              <w:rPr>
                <w:rFonts w:ascii="Times New Roman" w:hAnsi="Times New Roman" w:cs="Times New Roman"/>
                <w:bCs/>
                <w:color w:val="000000" w:themeColor="text1"/>
                <w:lang w:val="ro-MD"/>
              </w:rPr>
              <w:t>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bCs/>
                <w:color w:val="000000" w:themeColor="text1"/>
                <w:lang w:val="ro-MD"/>
              </w:rPr>
              <w:lastRenderedPageBreak/>
              <w:t>modifice structura sau organizarea birourilor sale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pentru a asigura respectarea </w:t>
            </w:r>
            <w:r w:rsidRPr="00C011B2">
              <w:rPr>
                <w:rFonts w:ascii="Times New Roman" w:hAnsi="Times New Roman" w:cs="Times New Roman"/>
                <w:bCs/>
                <w:color w:val="000000" w:themeColor="text1"/>
                <w:lang w:val="ro-MD"/>
              </w:rPr>
              <w:t>prezentei secțiuni</w:t>
            </w:r>
            <w:r w:rsidR="00E85A5B" w:rsidRPr="00C011B2">
              <w:rPr>
                <w:rFonts w:ascii="Times New Roman" w:hAnsi="Times New Roman" w:cs="Times New Roman"/>
                <w:bCs/>
                <w:color w:val="000000" w:themeColor="text1"/>
                <w:lang w:val="ro-MD"/>
              </w:rPr>
              <w:t>.</w:t>
            </w:r>
            <w:bookmarkEnd w:id="65"/>
          </w:p>
        </w:tc>
        <w:tc>
          <w:tcPr>
            <w:tcW w:w="450" w:type="pct"/>
          </w:tcPr>
          <w:p w14:paraId="6935F109" w14:textId="2E7E3FA6" w:rsidR="00E85A5B" w:rsidRPr="00C011B2" w:rsidRDefault="00EA11EB"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556CCB32"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2569F94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3F91D6" w14:textId="77777777" w:rsidR="00E85A5B" w:rsidRPr="00C011B2" w:rsidRDefault="00E85A5B" w:rsidP="00E85A5B">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16BEC593" w14:textId="0E0840E8"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 Pentru 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calcula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atribuie fiecare dintre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 risc valutar sau de marf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birourilor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nfiin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alineatul (1) care gestioneaz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riscuri similare cu riscurile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respective.</w:t>
            </w:r>
          </w:p>
        </w:tc>
        <w:tc>
          <w:tcPr>
            <w:tcW w:w="1692" w:type="pct"/>
            <w:shd w:val="clear" w:color="auto" w:fill="auto"/>
          </w:tcPr>
          <w:p w14:paraId="2FAE43DD" w14:textId="06857E4A" w:rsidR="00E85A5B" w:rsidRPr="00C011B2" w:rsidRDefault="0057783C" w:rsidP="00E85A5B">
            <w:pPr>
              <w:spacing w:after="0" w:line="276" w:lineRule="auto"/>
              <w:jc w:val="both"/>
              <w:rPr>
                <w:rFonts w:ascii="Times New Roman" w:hAnsi="Times New Roman" w:cs="Times New Roman"/>
                <w:bCs/>
                <w:color w:val="000000" w:themeColor="text1"/>
                <w:lang w:val="ro-MD"/>
              </w:rPr>
            </w:pPr>
            <w:bookmarkStart w:id="66" w:name="_Hlk200722126"/>
            <w:r w:rsidRPr="00C011B2">
              <w:rPr>
                <w:rFonts w:ascii="Times New Roman" w:hAnsi="Times New Roman" w:cs="Times New Roman"/>
                <w:bCs/>
                <w:color w:val="000000" w:themeColor="text1"/>
                <w:lang w:val="ro-MD"/>
              </w:rPr>
              <w:t>36.</w:t>
            </w:r>
            <w:r w:rsidR="00E85A5B" w:rsidRPr="00C011B2">
              <w:rPr>
                <w:rFonts w:ascii="Times New Roman" w:hAnsi="Times New Roman" w:cs="Times New Roman"/>
                <w:bCs/>
                <w:color w:val="000000" w:themeColor="text1"/>
                <w:lang w:val="ro-MD"/>
              </w:rPr>
              <w:t xml:space="preserve"> Pentru a-</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calcula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w:t>
            </w:r>
            <w:r w:rsidR="00EA11EB" w:rsidRPr="00C011B2">
              <w:rPr>
                <w:rFonts w:ascii="Times New Roman" w:hAnsi="Times New Roman" w:cs="Times New Roman"/>
                <w:bCs/>
                <w:color w:val="000000" w:themeColor="text1"/>
                <w:lang w:val="ro-MD"/>
              </w:rPr>
              <w:t xml:space="preserve">băncile </w:t>
            </w:r>
            <w:r w:rsidR="00E85A5B" w:rsidRPr="00C011B2">
              <w:rPr>
                <w:rFonts w:ascii="Times New Roman" w:hAnsi="Times New Roman" w:cs="Times New Roman"/>
                <w:bCs/>
                <w:color w:val="000000" w:themeColor="text1"/>
                <w:lang w:val="ro-MD"/>
              </w:rPr>
              <w:t>atribuie fiecare dintre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din afara 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care prezint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un risc valutar sau de marf</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birourilor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ionare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nfiin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ate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conformitate cu </w:t>
            </w:r>
            <w:r w:rsidR="00EA11EB" w:rsidRPr="00C011B2">
              <w:rPr>
                <w:rFonts w:ascii="Times New Roman" w:hAnsi="Times New Roman" w:cs="Times New Roman"/>
                <w:bCs/>
                <w:color w:val="000000" w:themeColor="text1"/>
                <w:lang w:val="ro-MD"/>
              </w:rPr>
              <w:t>pct.32</w:t>
            </w:r>
            <w:r w:rsidR="00E85A5B" w:rsidRPr="00C011B2">
              <w:rPr>
                <w:rFonts w:ascii="Times New Roman" w:hAnsi="Times New Roman" w:cs="Times New Roman"/>
                <w:bCs/>
                <w:color w:val="000000" w:themeColor="text1"/>
                <w:lang w:val="ro-MD"/>
              </w:rPr>
              <w:t xml:space="preserve"> care gestioneaz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riscuri similare cu riscurile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iilor respective.</w:t>
            </w:r>
            <w:bookmarkEnd w:id="66"/>
          </w:p>
        </w:tc>
        <w:tc>
          <w:tcPr>
            <w:tcW w:w="450" w:type="pct"/>
          </w:tcPr>
          <w:p w14:paraId="4B6E363F" w14:textId="508D15E4" w:rsidR="00E85A5B" w:rsidRPr="00C011B2" w:rsidRDefault="00EA11EB"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E23FB3B"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250E32D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FDA64B" w14:textId="68E293A3"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 Prin derogare de la alineatul (5),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nd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calculeaz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pot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nfiin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 unul sau mai multe birouri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rora le atribuie exclusiv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 risc valutar sau de marf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Birourile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respective nu sunt supuse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alineatele (1), (2)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(3).</w:t>
            </w:r>
          </w:p>
        </w:tc>
        <w:tc>
          <w:tcPr>
            <w:tcW w:w="1692" w:type="pct"/>
            <w:shd w:val="clear" w:color="auto" w:fill="auto"/>
          </w:tcPr>
          <w:p w14:paraId="7DE17604" w14:textId="19CCD76E" w:rsidR="00E85A5B" w:rsidRPr="00C011B2" w:rsidRDefault="00EA11EB" w:rsidP="00E85A5B">
            <w:pPr>
              <w:spacing w:after="0" w:line="276" w:lineRule="auto"/>
              <w:jc w:val="both"/>
              <w:rPr>
                <w:rFonts w:ascii="Times New Roman" w:hAnsi="Times New Roman" w:cs="Times New Roman"/>
                <w:bCs/>
                <w:color w:val="000000" w:themeColor="text1"/>
                <w:lang w:val="ro-MD"/>
              </w:rPr>
            </w:pPr>
            <w:bookmarkStart w:id="67" w:name="_Hlk200722145"/>
            <w:r w:rsidRPr="00C011B2">
              <w:rPr>
                <w:rFonts w:ascii="Times New Roman" w:hAnsi="Times New Roman" w:cs="Times New Roman"/>
                <w:bCs/>
                <w:color w:val="000000" w:themeColor="text1"/>
                <w:lang w:val="ro-MD"/>
              </w:rPr>
              <w:t>37.</w:t>
            </w:r>
            <w:r w:rsidR="00E85A5B" w:rsidRPr="00C011B2">
              <w:rPr>
                <w:rFonts w:ascii="Times New Roman" w:hAnsi="Times New Roman" w:cs="Times New Roman"/>
                <w:bCs/>
                <w:color w:val="000000" w:themeColor="text1"/>
                <w:lang w:val="ro-MD"/>
              </w:rPr>
              <w:t xml:space="preserve"> Prin derogare de la</w:t>
            </w:r>
            <w:r w:rsidR="00A34689"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pct.36</w:t>
            </w:r>
            <w:r w:rsidR="00E85A5B" w:rsidRPr="00C011B2">
              <w:rPr>
                <w:rFonts w:ascii="Times New Roman" w:hAnsi="Times New Roman" w:cs="Times New Roman"/>
                <w:bCs/>
                <w:color w:val="000000" w:themeColor="text1"/>
                <w:lang w:val="ro-MD"/>
              </w:rPr>
              <w:t>, atunci c</w:t>
            </w:r>
            <w:r w:rsidR="00E85A5B" w:rsidRPr="00C011B2">
              <w:rPr>
                <w:rFonts w:ascii="Times New Roman" w:hAnsi="Times New Roman" w:cs="Times New Roman" w:hint="eastAsia"/>
                <w:bCs/>
                <w:color w:val="000000" w:themeColor="text1"/>
                <w:lang w:val="ro-MD"/>
              </w:rPr>
              <w:t>â</w:t>
            </w:r>
            <w:r w:rsidR="00E85A5B" w:rsidRPr="00C011B2">
              <w:rPr>
                <w:rFonts w:ascii="Times New Roman" w:hAnsi="Times New Roman" w:cs="Times New Roman"/>
                <w:bCs/>
                <w:color w:val="000000" w:themeColor="text1"/>
                <w:lang w:val="ro-MD"/>
              </w:rPr>
              <w:t xml:space="preserve">nd </w:t>
            </w:r>
            <w:r w:rsidR="00E85A5B" w:rsidRPr="00C011B2">
              <w:rPr>
                <w:rFonts w:ascii="Times New Roman" w:hAnsi="Times New Roman" w:cs="Times New Roman" w:hint="eastAsia"/>
                <w:bCs/>
                <w:color w:val="000000" w:themeColor="text1"/>
                <w:lang w:val="ro-MD"/>
              </w:rPr>
              <w:t>îș</w:t>
            </w:r>
            <w:r w:rsidR="00E85A5B" w:rsidRPr="00C011B2">
              <w:rPr>
                <w:rFonts w:ascii="Times New Roman" w:hAnsi="Times New Roman" w:cs="Times New Roman"/>
                <w:bCs/>
                <w:color w:val="000000" w:themeColor="text1"/>
                <w:lang w:val="ro-MD"/>
              </w:rPr>
              <w:t>i calculeaz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E85A5B" w:rsidRPr="00C011B2">
              <w:rPr>
                <w:rFonts w:ascii="Times New Roman" w:hAnsi="Times New Roman" w:cs="Times New Roman"/>
                <w:bCs/>
                <w:color w:val="000000" w:themeColor="text1"/>
                <w:lang w:val="ro-MD"/>
              </w:rPr>
              <w:t xml:space="preserve">pot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nfiin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a unul sau mai multe birouri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rora le atribuie exclusiv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 din afara portofoliului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care prezint</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un risc valutar sau de marf</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Birourile de tranzac</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ionare respective nu sunt supuse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elor prev</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zute la</w:t>
            </w:r>
            <w:r w:rsidRPr="00C011B2">
              <w:rPr>
                <w:rFonts w:ascii="Times New Roman" w:hAnsi="Times New Roman" w:cs="Times New Roman"/>
                <w:bCs/>
                <w:color w:val="000000" w:themeColor="text1"/>
                <w:lang w:val="ro-MD"/>
              </w:rPr>
              <w:t xml:space="preserve"> pct.32, 33 și 34</w:t>
            </w:r>
            <w:r w:rsidR="00E85A5B" w:rsidRPr="00C011B2">
              <w:rPr>
                <w:rFonts w:ascii="Times New Roman" w:hAnsi="Times New Roman" w:cs="Times New Roman"/>
                <w:bCs/>
                <w:color w:val="000000" w:themeColor="text1"/>
                <w:lang w:val="ro-MD"/>
              </w:rPr>
              <w:t>.</w:t>
            </w:r>
            <w:bookmarkEnd w:id="67"/>
          </w:p>
        </w:tc>
        <w:tc>
          <w:tcPr>
            <w:tcW w:w="450" w:type="pct"/>
          </w:tcPr>
          <w:p w14:paraId="4D797170" w14:textId="3CA99EF7" w:rsidR="00E85A5B" w:rsidRPr="00C011B2" w:rsidRDefault="00EA11EB"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701A470"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FA7D23" w14:paraId="0C73816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9A21127" w14:textId="77777777" w:rsidR="00E85A5B" w:rsidRPr="00C011B2" w:rsidRDefault="00E85A5B" w:rsidP="00E85A5B">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104c</w:t>
            </w:r>
          </w:p>
          <w:p w14:paraId="703A3DE3" w14:textId="763F15C0"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Tratamentul acoperirilor împotriva riscului valutar ale ratelor fondurilor proprii</w:t>
            </w:r>
          </w:p>
        </w:tc>
        <w:tc>
          <w:tcPr>
            <w:tcW w:w="1692" w:type="pct"/>
            <w:shd w:val="clear" w:color="auto" w:fill="auto"/>
          </w:tcPr>
          <w:p w14:paraId="05652D85" w14:textId="260568F7" w:rsidR="00E85A5B" w:rsidRPr="00C011B2" w:rsidRDefault="00EA11EB" w:rsidP="00E85A5B">
            <w:pPr>
              <w:spacing w:after="0" w:line="276" w:lineRule="auto"/>
              <w:jc w:val="both"/>
              <w:rPr>
                <w:rFonts w:ascii="Times New Roman" w:hAnsi="Times New Roman" w:cs="Times New Roman"/>
                <w:bCs/>
                <w:color w:val="000000" w:themeColor="text1"/>
                <w:lang w:val="ro-MD"/>
              </w:rPr>
            </w:pPr>
            <w:bookmarkStart w:id="68" w:name="_Hlk200722289"/>
            <w:r w:rsidRPr="00C011B2">
              <w:rPr>
                <w:rFonts w:ascii="Times New Roman" w:hAnsi="Times New Roman" w:cs="Times New Roman"/>
                <w:bCs/>
                <w:i/>
                <w:iCs/>
                <w:color w:val="000000" w:themeColor="text1"/>
                <w:lang w:val="ro-MD"/>
              </w:rPr>
              <w:t>Secţiunea 6</w:t>
            </w:r>
            <w:r w:rsidR="00E85A5B" w:rsidRPr="00C011B2">
              <w:rPr>
                <w:rFonts w:ascii="Times New Roman" w:hAnsi="Times New Roman" w:cs="Times New Roman"/>
                <w:b/>
                <w:bCs/>
                <w:color w:val="000000" w:themeColor="text1"/>
                <w:lang w:val="ro-MD"/>
              </w:rPr>
              <w:t>Tratamentul acoperirilor împotriva riscului valutar ale ratelor fondurilor proprii</w:t>
            </w:r>
            <w:bookmarkEnd w:id="68"/>
          </w:p>
        </w:tc>
        <w:tc>
          <w:tcPr>
            <w:tcW w:w="450" w:type="pct"/>
          </w:tcPr>
          <w:p w14:paraId="15900B21"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c>
          <w:tcPr>
            <w:tcW w:w="1261" w:type="pct"/>
          </w:tcPr>
          <w:p w14:paraId="5207B339"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4CE498E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34BD5E" w14:textId="514D5E62"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care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i-a asumat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deliberat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risc pentru a acoperi,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par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ial, </w:t>
            </w:r>
            <w:r w:rsidRPr="00C011B2">
              <w:rPr>
                <w:rFonts w:ascii="Times New Roman" w:hAnsi="Times New Roman" w:cs="Times New Roman"/>
                <w:bCs/>
                <w:color w:val="000000" w:themeColor="text1"/>
                <w:lang w:val="ro-MD"/>
              </w:rPr>
              <w:lastRenderedPageBreak/>
              <w:t>riscurile prezentate de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nefavorabile ale cursurilor de schimb pentru oricare dintre ratele fondurilor sale proprii, astfel cum sunt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articolul 92 alineatul (1) literele (a), (b)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 poate, cu aprobarea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sale competente,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exclud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acea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risc din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valutar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articolul 325 alineatul (1),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ndeplinite toate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w:t>
            </w:r>
          </w:p>
          <w:p w14:paraId="70B0B3B7" w14:textId="4F47C50F"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cuantumul maxim al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de risc care este exclus din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este limitat la cuantumul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de risc care neutralizeaz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sensibilitatea oric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reia dintre ratele fondurilor proprii la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nefavorabile ale cursurilor de schimb;</w:t>
            </w:r>
          </w:p>
          <w:p w14:paraId="40B99F1A" w14:textId="77777777"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de risc este exclus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timp de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ase luni;</w:t>
            </w:r>
          </w:p>
          <w:p w14:paraId="278F0B1A" w14:textId="1038954F"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 instituit un cadru adecvat de gestionare a riscurilor pentru a acoperi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nefavorabile ale cursurilor de schimb pentru oricare dintre ratele fondurilor sale proprii, inclusiv o strategie clar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acoperire a riscurilor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o structur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clar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guvernan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w:t>
            </w:r>
          </w:p>
          <w:p w14:paraId="52C4C362" w14:textId="21A824F9"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 furnizat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competente o justificare pentru excluderea unei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din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lastRenderedPageBreak/>
              <w:t>detaliile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de risc respective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cuantumul care trebuie exclus.</w:t>
            </w:r>
          </w:p>
        </w:tc>
        <w:tc>
          <w:tcPr>
            <w:tcW w:w="1692" w:type="pct"/>
            <w:shd w:val="clear" w:color="auto" w:fill="auto"/>
          </w:tcPr>
          <w:p w14:paraId="45765068" w14:textId="634AEBF8" w:rsidR="00E85A5B" w:rsidRPr="00C011B2" w:rsidRDefault="00BF7221" w:rsidP="00E85A5B">
            <w:pPr>
              <w:spacing w:after="0" w:line="276" w:lineRule="auto"/>
              <w:jc w:val="both"/>
              <w:rPr>
                <w:rFonts w:ascii="Times New Roman" w:hAnsi="Times New Roman" w:cs="Times New Roman"/>
                <w:bCs/>
                <w:color w:val="000000" w:themeColor="text1"/>
                <w:lang w:val="ro-MD"/>
              </w:rPr>
            </w:pPr>
            <w:bookmarkStart w:id="69" w:name="_Hlk200957997"/>
            <w:r w:rsidRPr="00C011B2">
              <w:rPr>
                <w:rFonts w:ascii="Times New Roman" w:hAnsi="Times New Roman" w:cs="Times New Roman"/>
                <w:bCs/>
                <w:color w:val="000000" w:themeColor="text1"/>
                <w:lang w:val="ro-MD"/>
              </w:rPr>
              <w:lastRenderedPageBreak/>
              <w:t>38.</w:t>
            </w:r>
            <w:r w:rsidR="00E85A5B"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E85A5B" w:rsidRPr="00C011B2">
              <w:rPr>
                <w:rFonts w:ascii="Times New Roman" w:hAnsi="Times New Roman" w:cs="Times New Roman"/>
                <w:bCs/>
                <w:color w:val="000000" w:themeColor="text1"/>
                <w:lang w:val="ro-MD"/>
              </w:rPr>
              <w:t xml:space="preserve">care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 xml:space="preserve">i-a asumat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mod deliberat o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de risc pentru a acoperi, cel pu</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in par</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ial, riscurile prezentate </w:t>
            </w:r>
            <w:r w:rsidR="00E85A5B" w:rsidRPr="00C011B2">
              <w:rPr>
                <w:rFonts w:ascii="Times New Roman" w:hAnsi="Times New Roman" w:cs="Times New Roman"/>
                <w:bCs/>
                <w:color w:val="000000" w:themeColor="text1"/>
                <w:lang w:val="ro-MD"/>
              </w:rPr>
              <w:lastRenderedPageBreak/>
              <w:t>de varia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nefavorabile ale cursurilor de schimb pentru oricare dintre ratele fondurilor sale proprii, astfel cum sunt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ionate la</w:t>
            </w:r>
            <w:r w:rsidR="00A874D4"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pct.130 subpct.1), 2) și 3) din Regulamentul nr.109/2018</w:t>
            </w:r>
            <w:r w:rsidR="00E85A5B" w:rsidRPr="00C011B2">
              <w:rPr>
                <w:rFonts w:ascii="Times New Roman" w:hAnsi="Times New Roman" w:cs="Times New Roman"/>
                <w:bCs/>
                <w:color w:val="000000" w:themeColor="text1"/>
                <w:lang w:val="ro-MD"/>
              </w:rPr>
              <w:t xml:space="preserve">, poate, cu aprobarea </w:t>
            </w:r>
            <w:r w:rsidR="0079546A"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exclud</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acea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 de risc din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valutar prev</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zute la </w:t>
            </w:r>
            <w:r w:rsidR="00A874D4" w:rsidRPr="00C011B2">
              <w:rPr>
                <w:rFonts w:ascii="Times New Roman" w:hAnsi="Times New Roman" w:cs="Times New Roman"/>
                <w:bCs/>
                <w:color w:val="000000" w:themeColor="text1"/>
                <w:lang w:val="ro-RO"/>
              </w:rPr>
              <w:t>pct.69-70</w:t>
            </w:r>
            <w:r w:rsidR="00E85A5B" w:rsidRPr="00C011B2">
              <w:rPr>
                <w:rFonts w:ascii="Times New Roman" w:hAnsi="Times New Roman" w:cs="Times New Roman"/>
                <w:bCs/>
                <w:color w:val="000000" w:themeColor="text1"/>
                <w:lang w:val="ro-MD"/>
              </w:rPr>
              <w:t>, dac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sunt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ndeplinite toate condi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urm</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toare:</w:t>
            </w:r>
          </w:p>
          <w:p w14:paraId="66F77B6C" w14:textId="4C4B79B6" w:rsidR="00E85A5B" w:rsidRPr="00C011B2" w:rsidRDefault="0079546A"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38.1.</w:t>
            </w:r>
            <w:r w:rsidR="00E85A5B" w:rsidRPr="00C011B2">
              <w:rPr>
                <w:rFonts w:ascii="Times New Roman" w:hAnsi="Times New Roman" w:cs="Times New Roman"/>
                <w:bCs/>
                <w:color w:val="000000" w:themeColor="text1"/>
                <w:lang w:val="ro-MD"/>
              </w:rPr>
              <w:t xml:space="preserve"> cuantumul maxim al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iei de risc care este exclus din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este limitat la cuantumul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iei de risc care neutralizeaz</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sensibilitatea oric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reia dintre ratele fondurilor proprii la varia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nefavorabile ale cursurilor de schimb;</w:t>
            </w:r>
          </w:p>
          <w:p w14:paraId="3F46CFAD" w14:textId="0689152F" w:rsidR="00E85A5B" w:rsidRPr="00C011B2" w:rsidRDefault="008E4D79"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38.2.</w:t>
            </w:r>
            <w:r w:rsidR="00E85A5B" w:rsidRPr="00C011B2">
              <w:rPr>
                <w:rFonts w:ascii="Times New Roman" w:hAnsi="Times New Roman" w:cs="Times New Roman"/>
                <w:bCs/>
                <w:color w:val="000000" w:themeColor="text1"/>
                <w:lang w:val="ro-MD"/>
              </w:rPr>
              <w:t xml:space="preserv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ia de risc este exclus</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din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timp de cel pu</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in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ase luni;</w:t>
            </w:r>
          </w:p>
          <w:p w14:paraId="1A99F9D7" w14:textId="42AF83D3" w:rsidR="00E85A5B" w:rsidRPr="00C011B2" w:rsidRDefault="008E4D79"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38.3.</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a instituit un cadru adecvat de gestionare a riscurilor pentru a acoperi varia</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iile nefavorabile ale cursurilor de schimb pentru oricare dintre ratele fondurilor sale proprii, inclusiv o strategie clar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 acoperire a riscurilor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o structur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clar</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de guvernan</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w:t>
            </w:r>
          </w:p>
          <w:p w14:paraId="61886D67" w14:textId="537F4D95" w:rsidR="00E85A5B" w:rsidRPr="00C011B2" w:rsidRDefault="008E4D79"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38.4.</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E85A5B" w:rsidRPr="00C011B2">
              <w:rPr>
                <w:rFonts w:ascii="Times New Roman" w:hAnsi="Times New Roman" w:cs="Times New Roman"/>
                <w:bCs/>
                <w:color w:val="000000" w:themeColor="text1"/>
                <w:lang w:val="ro-MD"/>
              </w:rPr>
              <w:t xml:space="preserve">a furnizat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o justificare pentru excluderea unei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 de risc din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detaliile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iei de risc respective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cuantumul care trebuie exclus.</w:t>
            </w:r>
            <w:bookmarkEnd w:id="69"/>
          </w:p>
        </w:tc>
        <w:tc>
          <w:tcPr>
            <w:tcW w:w="450" w:type="pct"/>
          </w:tcPr>
          <w:p w14:paraId="49D9EA59" w14:textId="46AF560B" w:rsidR="00E85A5B" w:rsidRPr="00C011B2" w:rsidRDefault="00997CAF"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80041AE"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47C6374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27324A" w14:textId="16924230"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(2) Orice excludere a unor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din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alineatul (1) se aplic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consecvent.</w:t>
            </w:r>
          </w:p>
        </w:tc>
        <w:tc>
          <w:tcPr>
            <w:tcW w:w="1692" w:type="pct"/>
            <w:shd w:val="clear" w:color="auto" w:fill="auto"/>
          </w:tcPr>
          <w:p w14:paraId="6CC0F09C" w14:textId="2F56B40A" w:rsidR="00E85A5B" w:rsidRPr="00C011B2" w:rsidRDefault="00997CAF"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39.</w:t>
            </w:r>
            <w:r w:rsidR="00E85A5B" w:rsidRPr="00C011B2">
              <w:rPr>
                <w:rFonts w:ascii="Times New Roman" w:hAnsi="Times New Roman" w:cs="Times New Roman"/>
                <w:bCs/>
                <w:color w:val="000000" w:themeColor="text1"/>
                <w:lang w:val="ro-MD"/>
              </w:rPr>
              <w:t xml:space="preserve"> Orice excludere a unor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 de risc din cerin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ele de fonduri proprii pentru riscul de pia</w:t>
            </w:r>
            <w:r w:rsidR="00E85A5B" w:rsidRPr="00C011B2">
              <w:rPr>
                <w:rFonts w:ascii="Times New Roman" w:hAnsi="Times New Roman" w:cs="Times New Roman" w:hint="eastAsia"/>
                <w:bCs/>
                <w:color w:val="000000" w:themeColor="text1"/>
                <w:lang w:val="ro-MD"/>
              </w:rPr>
              <w:t>ţă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pct.38</w:t>
            </w:r>
            <w:r w:rsidR="00E85A5B" w:rsidRPr="00C011B2">
              <w:rPr>
                <w:rFonts w:ascii="Times New Roman" w:hAnsi="Times New Roman" w:cs="Times New Roman"/>
                <w:bCs/>
                <w:color w:val="000000" w:themeColor="text1"/>
                <w:lang w:val="ro-MD"/>
              </w:rPr>
              <w:t xml:space="preserve"> se aplic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î</w:t>
            </w:r>
            <w:r w:rsidR="00E85A5B" w:rsidRPr="00C011B2">
              <w:rPr>
                <w:rFonts w:ascii="Times New Roman" w:hAnsi="Times New Roman" w:cs="Times New Roman"/>
                <w:bCs/>
                <w:color w:val="000000" w:themeColor="text1"/>
                <w:lang w:val="ro-MD"/>
              </w:rPr>
              <w:t>n mod consecvent.</w:t>
            </w:r>
          </w:p>
        </w:tc>
        <w:tc>
          <w:tcPr>
            <w:tcW w:w="450" w:type="pct"/>
          </w:tcPr>
          <w:p w14:paraId="40DB858F" w14:textId="34443086" w:rsidR="00E85A5B" w:rsidRPr="00C011B2" w:rsidRDefault="00997CAF"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09FA693"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E85A5B" w:rsidRPr="00C011B2" w14:paraId="0CFDE92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71BA76" w14:textId="30C25E60" w:rsidR="00E85A5B" w:rsidRPr="00C011B2" w:rsidRDefault="00E85A5B"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 Autoritatea competent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aprob</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orice modific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aduse de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cadrului de gestionare a riscurilor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 la alineatul (1) litera (c)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detaliilor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de risc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(1) litera (d).</w:t>
            </w:r>
          </w:p>
        </w:tc>
        <w:tc>
          <w:tcPr>
            <w:tcW w:w="1692" w:type="pct"/>
            <w:shd w:val="clear" w:color="auto" w:fill="auto"/>
          </w:tcPr>
          <w:p w14:paraId="4E0B20A0" w14:textId="48F31796" w:rsidR="00E85A5B" w:rsidRPr="00C011B2" w:rsidRDefault="00997CAF" w:rsidP="00E85A5B">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40.</w:t>
            </w:r>
            <w:r w:rsidR="00E85A5B"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BNM</w:t>
            </w:r>
            <w:r w:rsidR="00E85A5B" w:rsidRPr="00C011B2">
              <w:rPr>
                <w:rFonts w:ascii="Times New Roman" w:hAnsi="Times New Roman" w:cs="Times New Roman"/>
                <w:bCs/>
                <w:color w:val="000000" w:themeColor="text1"/>
                <w:lang w:val="ro-MD"/>
              </w:rPr>
              <w:t xml:space="preserve"> aprob</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 orice modific</w:t>
            </w:r>
            <w:r w:rsidR="00E85A5B" w:rsidRPr="00C011B2">
              <w:rPr>
                <w:rFonts w:ascii="Times New Roman" w:hAnsi="Times New Roman" w:cs="Times New Roman" w:hint="eastAsia"/>
                <w:bCs/>
                <w:color w:val="000000" w:themeColor="text1"/>
                <w:lang w:val="ro-MD"/>
              </w:rPr>
              <w:t>ă</w:t>
            </w:r>
            <w:r w:rsidR="00E85A5B" w:rsidRPr="00C011B2">
              <w:rPr>
                <w:rFonts w:ascii="Times New Roman" w:hAnsi="Times New Roman" w:cs="Times New Roman"/>
                <w:bCs/>
                <w:color w:val="000000" w:themeColor="text1"/>
                <w:lang w:val="ro-MD"/>
              </w:rPr>
              <w:t xml:space="preserve">ri aduse de </w:t>
            </w:r>
            <w:r w:rsidRPr="00C011B2">
              <w:rPr>
                <w:rFonts w:ascii="Times New Roman" w:hAnsi="Times New Roman" w:cs="Times New Roman"/>
                <w:bCs/>
                <w:color w:val="000000" w:themeColor="text1"/>
                <w:lang w:val="ro-MD"/>
              </w:rPr>
              <w:t xml:space="preserve">bancă </w:t>
            </w:r>
            <w:r w:rsidR="00E85A5B" w:rsidRPr="00C011B2">
              <w:rPr>
                <w:rFonts w:ascii="Times New Roman" w:hAnsi="Times New Roman" w:cs="Times New Roman"/>
                <w:bCs/>
                <w:color w:val="000000" w:themeColor="text1"/>
                <w:lang w:val="ro-MD"/>
              </w:rPr>
              <w:t>cadrului de gestionare a riscurilor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ionat la </w:t>
            </w:r>
            <w:r w:rsidRPr="00C011B2">
              <w:rPr>
                <w:rFonts w:ascii="Times New Roman" w:hAnsi="Times New Roman" w:cs="Times New Roman"/>
                <w:bCs/>
                <w:color w:val="000000" w:themeColor="text1"/>
                <w:lang w:val="ro-MD"/>
              </w:rPr>
              <w:t>subpct.38.3</w:t>
            </w:r>
            <w:r w:rsidR="00E85A5B" w:rsidRPr="00C011B2">
              <w:rPr>
                <w:rFonts w:ascii="Times New Roman" w:hAnsi="Times New Roman" w:cs="Times New Roman"/>
                <w:bCs/>
                <w:color w:val="000000" w:themeColor="text1"/>
                <w:lang w:val="ro-MD"/>
              </w:rPr>
              <w:t xml:space="preserve"> </w:t>
            </w:r>
            <w:r w:rsidR="00E85A5B" w:rsidRPr="00C011B2">
              <w:rPr>
                <w:rFonts w:ascii="Times New Roman" w:hAnsi="Times New Roman" w:cs="Times New Roman" w:hint="eastAsia"/>
                <w:bCs/>
                <w:color w:val="000000" w:themeColor="text1"/>
                <w:lang w:val="ro-MD"/>
              </w:rPr>
              <w:t>ș</w:t>
            </w:r>
            <w:r w:rsidR="00E85A5B" w:rsidRPr="00C011B2">
              <w:rPr>
                <w:rFonts w:ascii="Times New Roman" w:hAnsi="Times New Roman" w:cs="Times New Roman"/>
                <w:bCs/>
                <w:color w:val="000000" w:themeColor="text1"/>
                <w:lang w:val="ro-MD"/>
              </w:rPr>
              <w:t>i detaliilor pozi</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iilor de risc men</w:t>
            </w:r>
            <w:r w:rsidR="00E85A5B" w:rsidRPr="00C011B2">
              <w:rPr>
                <w:rFonts w:ascii="Times New Roman" w:hAnsi="Times New Roman" w:cs="Times New Roman" w:hint="eastAsia"/>
                <w:bCs/>
                <w:color w:val="000000" w:themeColor="text1"/>
                <w:lang w:val="ro-MD"/>
              </w:rPr>
              <w:t>ţ</w:t>
            </w:r>
            <w:r w:rsidR="00E85A5B"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subpct.38.4</w:t>
            </w:r>
            <w:r w:rsidR="00E85A5B" w:rsidRPr="00C011B2">
              <w:rPr>
                <w:rFonts w:ascii="Times New Roman" w:hAnsi="Times New Roman" w:cs="Times New Roman"/>
                <w:bCs/>
                <w:color w:val="000000" w:themeColor="text1"/>
                <w:lang w:val="ro-MD"/>
              </w:rPr>
              <w:t>.</w:t>
            </w:r>
          </w:p>
        </w:tc>
        <w:tc>
          <w:tcPr>
            <w:tcW w:w="450" w:type="pct"/>
          </w:tcPr>
          <w:p w14:paraId="1BEF7936" w14:textId="6B41B7EA" w:rsidR="00E85A5B" w:rsidRPr="00C011B2" w:rsidRDefault="00997CAF" w:rsidP="00E85A5B">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D09D359" w14:textId="77777777" w:rsidR="00E85A5B" w:rsidRPr="00C011B2" w:rsidRDefault="00E85A5B" w:rsidP="00E85A5B">
            <w:pPr>
              <w:spacing w:line="276" w:lineRule="auto"/>
              <w:jc w:val="both"/>
              <w:rPr>
                <w:rFonts w:ascii="Times New Roman" w:hAnsi="Times New Roman" w:cs="Times New Roman"/>
                <w:bCs/>
                <w:color w:val="000000" w:themeColor="text1"/>
                <w:lang w:val="ro-MD"/>
              </w:rPr>
            </w:pPr>
          </w:p>
        </w:tc>
      </w:tr>
      <w:tr w:rsidR="00997CAF" w:rsidRPr="00FA7D23" w14:paraId="0E3A242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06F39E4" w14:textId="2BFF24E0"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 ABE elaboreaz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proiecte de standarde tehnice de reglementare pentru a preciza:</w:t>
            </w:r>
          </w:p>
          <w:p w14:paraId="472963DA" w14:textId="75D43168"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de risc pe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le poate asuma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deliberat pentru a acoperi,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par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ial, riscurile prezentate de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nefavorabile ale cursurilor de schimb pentru oricare dintre ratele fondurilor sale proprii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alineatul (1);</w:t>
            </w:r>
          </w:p>
          <w:p w14:paraId="75C9D50B" w14:textId="00B924B8"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modul de determinare a cuantumului maxim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 la alineatul (1) litera (a) de la prezentul articol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modul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trebuie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exclud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acest cuantum pentru fiecare dintre abord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articolul 325 alineatul (1);</w:t>
            </w:r>
          </w:p>
          <w:p w14:paraId="3519D903" w14:textId="6B8FFE45"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(c) criteriile care trebuie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ndeplinite de cadrul de gestionare a riscurilor al unei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 la alineatul (1) litera (c) pentru a fi considerat adecvat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sensul prezentului articol.</w:t>
            </w:r>
          </w:p>
          <w:p w14:paraId="14C50509" w14:textId="2C1C0851"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ABE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Comisiei aceste proiecte de standarde tehnice de reglementare p</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10 iulie 2026.</w:t>
            </w:r>
          </w:p>
          <w:p w14:paraId="35605E0E" w14:textId="328397AF"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Comisia este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mputernicit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completeze prezentul regulament prin adoptarea standardelor tehnice de reglementare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primul paragraf din prezentul alineat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articolele 10-14 din</w:t>
            </w:r>
          </w:p>
          <w:p w14:paraId="0DC4EE6E" w14:textId="4D051AF3"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Regulamentul (UE) nr. 1093/2010.</w:t>
            </w:r>
          </w:p>
        </w:tc>
        <w:tc>
          <w:tcPr>
            <w:tcW w:w="1692" w:type="pct"/>
            <w:shd w:val="clear" w:color="auto" w:fill="auto"/>
          </w:tcPr>
          <w:p w14:paraId="56FB9E8B" w14:textId="617BACFC" w:rsidR="00997CAF" w:rsidRPr="00C011B2" w:rsidRDefault="00997CAF" w:rsidP="00997CAF">
            <w:pPr>
              <w:spacing w:after="0" w:line="276" w:lineRule="auto"/>
              <w:jc w:val="both"/>
              <w:rPr>
                <w:rFonts w:ascii="Times New Roman" w:hAnsi="Times New Roman" w:cs="Times New Roman"/>
                <w:bCs/>
                <w:color w:val="000000" w:themeColor="text1"/>
                <w:lang w:val="ro-MD"/>
              </w:rPr>
            </w:pPr>
          </w:p>
        </w:tc>
        <w:tc>
          <w:tcPr>
            <w:tcW w:w="450" w:type="pct"/>
          </w:tcPr>
          <w:p w14:paraId="0DFE1743" w14:textId="722C730D" w:rsidR="00997CAF" w:rsidRPr="00C011B2" w:rsidRDefault="00997CAF"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67CF13DE" w14:textId="2C551ECC" w:rsidR="00997CAF" w:rsidRPr="00C011B2" w:rsidRDefault="00997CAF"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Alin.(4) stabilește obligații pentru autorități europene – Autoritatea Bancară Europeană.</w:t>
            </w:r>
          </w:p>
        </w:tc>
      </w:tr>
      <w:tr w:rsidR="00997CAF" w:rsidRPr="00C011B2" w14:paraId="740C5A6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771910E"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1AD68840" w14:textId="77777777" w:rsidR="00997CAF" w:rsidRPr="00C011B2" w:rsidRDefault="00997CAF" w:rsidP="00997CAF">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105</w:t>
            </w:r>
          </w:p>
          <w:p w14:paraId="79ED8548" w14:textId="3335C1A3"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Cerinţe de evaluare prudentă</w:t>
            </w:r>
          </w:p>
        </w:tc>
        <w:tc>
          <w:tcPr>
            <w:tcW w:w="1692" w:type="pct"/>
            <w:shd w:val="clear" w:color="auto" w:fill="auto"/>
          </w:tcPr>
          <w:p w14:paraId="281F1404" w14:textId="35B6E522" w:rsidR="00997CAF" w:rsidRPr="00C011B2" w:rsidRDefault="00C35E49"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i/>
                <w:iCs/>
                <w:color w:val="000000" w:themeColor="text1"/>
                <w:lang w:val="ro-MD"/>
              </w:rPr>
              <w:t xml:space="preserve"> </w:t>
            </w:r>
            <w:bookmarkStart w:id="70" w:name="_Hlk201648785"/>
            <w:r w:rsidRPr="00C011B2">
              <w:rPr>
                <w:rFonts w:ascii="Times New Roman" w:hAnsi="Times New Roman" w:cs="Times New Roman"/>
                <w:bCs/>
                <w:i/>
                <w:iCs/>
                <w:color w:val="000000" w:themeColor="text1"/>
                <w:lang w:val="ro-MD"/>
              </w:rPr>
              <w:t>Secțiunea 7</w:t>
            </w:r>
            <w:r w:rsidR="00997CAF" w:rsidRPr="00C011B2">
              <w:rPr>
                <w:rFonts w:ascii="Times New Roman" w:hAnsi="Times New Roman" w:cs="Times New Roman"/>
                <w:b/>
                <w:bCs/>
                <w:color w:val="000000" w:themeColor="text1"/>
                <w:lang w:val="ro-MD"/>
              </w:rPr>
              <w:t>Cerinţe de evaluare prudentă</w:t>
            </w:r>
            <w:bookmarkEnd w:id="70"/>
          </w:p>
        </w:tc>
        <w:tc>
          <w:tcPr>
            <w:tcW w:w="450" w:type="pct"/>
          </w:tcPr>
          <w:p w14:paraId="4B4FB6D8"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c>
          <w:tcPr>
            <w:tcW w:w="1261" w:type="pct"/>
          </w:tcPr>
          <w:p w14:paraId="4C264AB2"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2E7E301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569D4B"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4FB71A62" w14:textId="75337111"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 Toate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evaluate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fac obiectul normelor privind evaluarea prudent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enun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ate la prezentul articol.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se asigur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special,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evaluarea prudent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lor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atinge un grad corespunz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tor de certitudine, </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seama de natura dinamic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evaluate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de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soliditate pruden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modul de operare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de scopul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elor de capital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ceea ce prive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din afara </w:t>
            </w:r>
            <w:r w:rsidRPr="00C011B2">
              <w:rPr>
                <w:rFonts w:ascii="Times New Roman" w:hAnsi="Times New Roman" w:cs="Times New Roman"/>
                <w:bCs/>
                <w:color w:val="000000" w:themeColor="text1"/>
                <w:lang w:val="ro-MD"/>
              </w:rPr>
              <w:lastRenderedPageBreak/>
              <w:t>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evaluate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tc>
        <w:tc>
          <w:tcPr>
            <w:tcW w:w="1692" w:type="pct"/>
            <w:shd w:val="clear" w:color="auto" w:fill="auto"/>
          </w:tcPr>
          <w:p w14:paraId="3E7C028F" w14:textId="30DF30A9" w:rsidR="00997CAF" w:rsidRPr="00C011B2" w:rsidRDefault="00C35E49" w:rsidP="00997CAF">
            <w:pPr>
              <w:spacing w:after="0" w:line="276" w:lineRule="auto"/>
              <w:jc w:val="both"/>
              <w:rPr>
                <w:rFonts w:ascii="Times New Roman" w:hAnsi="Times New Roman" w:cs="Times New Roman"/>
                <w:bCs/>
                <w:color w:val="000000" w:themeColor="text1"/>
                <w:lang w:val="ro-MD"/>
              </w:rPr>
            </w:pPr>
            <w:bookmarkStart w:id="71" w:name="_Hlk201648888"/>
            <w:r w:rsidRPr="00C011B2">
              <w:rPr>
                <w:rFonts w:ascii="Times New Roman" w:hAnsi="Times New Roman" w:cs="Times New Roman"/>
                <w:bCs/>
                <w:color w:val="000000" w:themeColor="text1"/>
                <w:lang w:val="ro-MD"/>
              </w:rPr>
              <w:lastRenderedPageBreak/>
              <w:t>41.</w:t>
            </w:r>
            <w:r w:rsidR="00997CAF" w:rsidRPr="00C011B2">
              <w:rPr>
                <w:rFonts w:ascii="Times New Roman" w:hAnsi="Times New Roman" w:cs="Times New Roman"/>
                <w:bCs/>
                <w:color w:val="000000" w:themeColor="text1"/>
                <w:lang w:val="ro-MD"/>
              </w:rPr>
              <w:t xml:space="preserve"> Toate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afara portofoliului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evaluate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fac obiectul normelor privind evaluarea prudent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enun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ate </w:t>
            </w:r>
            <w:r w:rsidRPr="00C011B2">
              <w:rPr>
                <w:rFonts w:ascii="Times New Roman" w:hAnsi="Times New Roman" w:cs="Times New Roman"/>
                <w:bCs/>
                <w:color w:val="000000" w:themeColor="text1"/>
                <w:lang w:val="ro-MD"/>
              </w:rPr>
              <w:t>în prezenta secțiune</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se asigur</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special, 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evaluarea prudent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 lor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atinge un grad corespunz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tor de certitudine, </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nd seama de natura dinamic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a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 din afara portofoliului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evaluate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de cerin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ele de soliditate pruden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ial</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de modul de operare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de scopul cerin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elor de capital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ceea ce prive</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te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afara portofoliului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evaluate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w:t>
            </w:r>
            <w:bookmarkEnd w:id="71"/>
          </w:p>
        </w:tc>
        <w:tc>
          <w:tcPr>
            <w:tcW w:w="450" w:type="pct"/>
          </w:tcPr>
          <w:p w14:paraId="367B0370" w14:textId="0D2E1306"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283FB136"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61479A4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8C57642" w14:textId="38EF534F"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instituie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 sisteme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mecanisme de control suficiente pentru a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 estim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 prudente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fiabile pentru scopuri de evaluare. Sistemele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mecanismele de control respective includ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elemente:</w:t>
            </w:r>
          </w:p>
          <w:p w14:paraId="0E7643F2" w14:textId="58EE76A1"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(a) politici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proceduri formalizate pentru procesul de evaluare, incluz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responsabilit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 xml:space="preserve">i clar definite pentru diversele structuri implicate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procesul de determinare a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sursele de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privind pia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examinarea pertinen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 acestora, orient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pentru utilizarea datelor de intrare neobservabile care reflect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ipotezele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referitoare la elementele pe care le-ar utiliza participan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pe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pentru stabilirea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ului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frecven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 cu care se realizeaz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rile independente, sincronizarea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ceea ce prive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urile de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nchidere, procedurile pentru ajustarea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rilor, procedurile de verificare ad-hoc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de sf</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it de lun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p w14:paraId="0AE7955A" w14:textId="0FD05EDF"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(b) linii de raportare pentru departamentul responsabil cu procesul de evaluare, care sunt clare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independente de compartimentul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rcinat cu ini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ierea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w:t>
            </w:r>
            <w:r w:rsidRPr="00C011B2">
              <w:rPr>
                <w:rFonts w:ascii="Times New Roman" w:hAnsi="Times New Roman" w:cs="Times New Roman"/>
                <w:bCs/>
                <w:i/>
                <w:iCs/>
                <w:color w:val="000000" w:themeColor="text1"/>
                <w:lang w:val="ro-MD"/>
              </w:rPr>
              <w:t>front office</w:t>
            </w:r>
            <w:r w:rsidRPr="00C011B2">
              <w:rPr>
                <w:rFonts w:ascii="Times New Roman" w:hAnsi="Times New Roman" w:cs="Times New Roman"/>
                <w:bCs/>
                <w:color w:val="000000" w:themeColor="text1"/>
                <w:lang w:val="ro-MD"/>
              </w:rPr>
              <w:t>) care au ca destinatar final organul de conducere.</w:t>
            </w:r>
          </w:p>
        </w:tc>
        <w:tc>
          <w:tcPr>
            <w:tcW w:w="1692" w:type="pct"/>
            <w:shd w:val="clear" w:color="auto" w:fill="auto"/>
          </w:tcPr>
          <w:p w14:paraId="361304E5" w14:textId="48E992BF" w:rsidR="00997CAF" w:rsidRPr="00C011B2" w:rsidRDefault="00997CAF" w:rsidP="00997CAF">
            <w:pPr>
              <w:spacing w:after="0" w:line="276" w:lineRule="auto"/>
              <w:jc w:val="both"/>
              <w:rPr>
                <w:rFonts w:ascii="Times New Roman" w:hAnsi="Times New Roman" w:cs="Times New Roman"/>
                <w:bCs/>
                <w:color w:val="000000" w:themeColor="text1"/>
                <w:lang w:val="ro-MD"/>
              </w:rPr>
            </w:pPr>
            <w:bookmarkStart w:id="72" w:name="_Hlk201649723"/>
            <w:r w:rsidRPr="00C011B2">
              <w:rPr>
                <w:rFonts w:ascii="Times New Roman" w:hAnsi="Times New Roman" w:cs="Times New Roman"/>
                <w:bCs/>
                <w:color w:val="000000" w:themeColor="text1"/>
                <w:lang w:val="ro-MD"/>
              </w:rPr>
              <w:t xml:space="preserve"> </w:t>
            </w:r>
            <w:r w:rsidR="00C35E49" w:rsidRPr="00C011B2">
              <w:rPr>
                <w:rFonts w:ascii="Times New Roman" w:hAnsi="Times New Roman" w:cs="Times New Roman"/>
                <w:bCs/>
                <w:color w:val="000000" w:themeColor="text1"/>
                <w:lang w:val="ro-MD"/>
              </w:rPr>
              <w:t xml:space="preserve">42. Băncile </w:t>
            </w:r>
            <w:r w:rsidRPr="00C011B2">
              <w:rPr>
                <w:rFonts w:ascii="Times New Roman" w:hAnsi="Times New Roman" w:cs="Times New Roman"/>
                <w:bCs/>
                <w:color w:val="000000" w:themeColor="text1"/>
                <w:lang w:val="ro-MD"/>
              </w:rPr>
              <w:t xml:space="preserve">instituie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 sisteme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mecanisme de control suficiente pentru a ob</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 estim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 prudente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fiabile pentru scopuri de evaluare. Sistemele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mecanismele de control respective includ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elemente:</w:t>
            </w:r>
          </w:p>
          <w:p w14:paraId="12AF931F" w14:textId="0CD14A28" w:rsidR="00997CAF" w:rsidRPr="00C011B2" w:rsidRDefault="004B22DA"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42.1.</w:t>
            </w:r>
            <w:r w:rsidR="00997CAF" w:rsidRPr="00C011B2">
              <w:rPr>
                <w:rFonts w:ascii="Times New Roman" w:hAnsi="Times New Roman" w:cs="Times New Roman"/>
                <w:bCs/>
                <w:color w:val="000000" w:themeColor="text1"/>
                <w:lang w:val="ro-MD"/>
              </w:rPr>
              <w:t xml:space="preserve"> politici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proceduri formalizate pentru procesul de evaluare, incluz</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nd responsabilit</w:t>
            </w:r>
            <w:r w:rsidR="00997CAF" w:rsidRPr="00C011B2">
              <w:rPr>
                <w:rFonts w:ascii="Times New Roman" w:hAnsi="Times New Roman" w:cs="Times New Roman" w:hint="eastAsia"/>
                <w:bCs/>
                <w:color w:val="000000" w:themeColor="text1"/>
                <w:lang w:val="ro-MD"/>
              </w:rPr>
              <w:t>ăţ</w:t>
            </w:r>
            <w:r w:rsidR="00997CAF" w:rsidRPr="00C011B2">
              <w:rPr>
                <w:rFonts w:ascii="Times New Roman" w:hAnsi="Times New Roman" w:cs="Times New Roman"/>
                <w:bCs/>
                <w:color w:val="000000" w:themeColor="text1"/>
                <w:lang w:val="ro-MD"/>
              </w:rPr>
              <w:t xml:space="preserve">i clar definite pentru diversele structuri implicate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procesul de determinare a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sursele de informa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 privind pia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a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examinarea pertinen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ei acestora, orient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pentru utilizarea datelor de intrare neobservabile care reflect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ipotezele </w:t>
            </w:r>
            <w:r w:rsidRPr="00C011B2">
              <w:rPr>
                <w:rFonts w:ascii="Times New Roman" w:hAnsi="Times New Roman" w:cs="Times New Roman"/>
                <w:bCs/>
                <w:color w:val="000000" w:themeColor="text1"/>
                <w:lang w:val="ro-MD"/>
              </w:rPr>
              <w:t xml:space="preserve">băncii </w:t>
            </w:r>
            <w:r w:rsidR="00997CAF" w:rsidRPr="00C011B2">
              <w:rPr>
                <w:rFonts w:ascii="Times New Roman" w:hAnsi="Times New Roman" w:cs="Times New Roman"/>
                <w:bCs/>
                <w:color w:val="000000" w:themeColor="text1"/>
                <w:lang w:val="ro-MD"/>
              </w:rPr>
              <w:t>referitoare la elementele pe care le-ar utiliza participan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 de pe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pentru stabilirea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ului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iei, frecven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a cu care se realizeaz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rile independente, sincronizarea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ceea ce prive</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te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urile de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nchidere, procedurile pentru ajustarea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rilor, procedurile de verificare ad-hoc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de sf</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r</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it de lun</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w:t>
            </w:r>
          </w:p>
          <w:p w14:paraId="71595A62" w14:textId="27175A5D" w:rsidR="00997CAF" w:rsidRPr="00C011B2" w:rsidRDefault="004B22DA"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42.2.</w:t>
            </w:r>
            <w:r w:rsidR="00997CAF" w:rsidRPr="00C011B2">
              <w:rPr>
                <w:rFonts w:ascii="Times New Roman" w:hAnsi="Times New Roman" w:cs="Times New Roman"/>
                <w:bCs/>
                <w:color w:val="000000" w:themeColor="text1"/>
                <w:lang w:val="ro-MD"/>
              </w:rPr>
              <w:t xml:space="preserve"> linii de raportare pentru departamentul responsabil </w:t>
            </w:r>
            <w:r w:rsidR="00AF62AF" w:rsidRPr="00C011B2">
              <w:rPr>
                <w:rFonts w:ascii="Times New Roman" w:hAnsi="Times New Roman" w:cs="Times New Roman"/>
                <w:bCs/>
                <w:color w:val="000000" w:themeColor="text1"/>
                <w:lang w:val="ro-MD"/>
              </w:rPr>
              <w:t xml:space="preserve">de </w:t>
            </w:r>
            <w:r w:rsidR="00997CAF" w:rsidRPr="00C011B2">
              <w:rPr>
                <w:rFonts w:ascii="Times New Roman" w:hAnsi="Times New Roman" w:cs="Times New Roman"/>
                <w:bCs/>
                <w:color w:val="000000" w:themeColor="text1"/>
                <w:lang w:val="ro-MD"/>
              </w:rPr>
              <w:t xml:space="preserve">procesul de evaluare, care sunt clare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independente de </w:t>
            </w:r>
            <w:r w:rsidR="00AF62AF" w:rsidRPr="00C011B2">
              <w:rPr>
                <w:rFonts w:ascii="Times New Roman" w:hAnsi="Times New Roman" w:cs="Times New Roman"/>
                <w:bCs/>
                <w:color w:val="000000" w:themeColor="text1"/>
                <w:lang w:val="ro-MD"/>
              </w:rPr>
              <w:t>unitatea responsabilă de</w:t>
            </w:r>
            <w:r w:rsidR="00997CAF" w:rsidRPr="00C011B2">
              <w:rPr>
                <w:rFonts w:ascii="Times New Roman" w:hAnsi="Times New Roman" w:cs="Times New Roman"/>
                <w:bCs/>
                <w:color w:val="000000" w:themeColor="text1"/>
                <w:lang w:val="ro-MD"/>
              </w:rPr>
              <w:t xml:space="preserve"> ini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ierea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 (</w:t>
            </w:r>
            <w:r w:rsidR="00997CAF" w:rsidRPr="00C011B2">
              <w:rPr>
                <w:rFonts w:ascii="Times New Roman" w:hAnsi="Times New Roman" w:cs="Times New Roman"/>
                <w:bCs/>
                <w:i/>
                <w:iCs/>
                <w:color w:val="000000" w:themeColor="text1"/>
                <w:lang w:val="ro-MD"/>
              </w:rPr>
              <w:t>front office</w:t>
            </w:r>
            <w:r w:rsidR="00997CAF" w:rsidRPr="00C011B2">
              <w:rPr>
                <w:rFonts w:ascii="Times New Roman" w:hAnsi="Times New Roman" w:cs="Times New Roman"/>
                <w:bCs/>
                <w:color w:val="000000" w:themeColor="text1"/>
                <w:lang w:val="ro-MD"/>
              </w:rPr>
              <w:t>) care au ca destinatar final organul de conducere.</w:t>
            </w:r>
            <w:bookmarkEnd w:id="72"/>
          </w:p>
        </w:tc>
        <w:tc>
          <w:tcPr>
            <w:tcW w:w="450" w:type="pct"/>
          </w:tcPr>
          <w:p w14:paraId="0BED66C1" w14:textId="13136B57"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2D8BA50C"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22C53F4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D85C59"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▼M8</w:t>
            </w:r>
          </w:p>
          <w:p w14:paraId="59AD95A8" w14:textId="75F9F125"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(3)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reevalueaz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zilnic. Modific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valorii acestor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 sunt raportate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contul de profit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pierdere al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w:t>
            </w:r>
          </w:p>
        </w:tc>
        <w:tc>
          <w:tcPr>
            <w:tcW w:w="1692" w:type="pct"/>
            <w:shd w:val="clear" w:color="auto" w:fill="auto"/>
          </w:tcPr>
          <w:p w14:paraId="73532399" w14:textId="7F45DEF5" w:rsidR="00997CAF" w:rsidRPr="00C011B2" w:rsidRDefault="004B22DA" w:rsidP="00997CAF">
            <w:pPr>
              <w:spacing w:after="0" w:line="276" w:lineRule="auto"/>
              <w:jc w:val="both"/>
              <w:rPr>
                <w:rFonts w:ascii="Times New Roman" w:hAnsi="Times New Roman" w:cs="Times New Roman"/>
                <w:bCs/>
                <w:color w:val="000000" w:themeColor="text1"/>
                <w:lang w:val="ro-MD"/>
              </w:rPr>
            </w:pPr>
            <w:bookmarkStart w:id="73" w:name="_Hlk201649742"/>
            <w:r w:rsidRPr="00C011B2">
              <w:rPr>
                <w:rFonts w:ascii="Times New Roman" w:hAnsi="Times New Roman" w:cs="Times New Roman"/>
                <w:bCs/>
                <w:color w:val="000000" w:themeColor="text1"/>
                <w:lang w:val="ro-MD"/>
              </w:rPr>
              <w:t>43.</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hint="eastAsia"/>
                <w:bCs/>
                <w:color w:val="000000" w:themeColor="text1"/>
                <w:lang w:val="ro-MD"/>
              </w:rPr>
              <w:t>îș</w:t>
            </w:r>
            <w:r w:rsidR="00997CAF" w:rsidRPr="00C011B2">
              <w:rPr>
                <w:rFonts w:ascii="Times New Roman" w:hAnsi="Times New Roman" w:cs="Times New Roman"/>
                <w:bCs/>
                <w:color w:val="000000" w:themeColor="text1"/>
                <w:lang w:val="ro-MD"/>
              </w:rPr>
              <w:t>i reevalueaz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cel pu</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 zilnic. Modific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rile valorii acestor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 sunt raportate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contul de profit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pierdere al </w:t>
            </w:r>
            <w:r w:rsidRPr="00C011B2">
              <w:rPr>
                <w:rFonts w:ascii="Times New Roman" w:hAnsi="Times New Roman" w:cs="Times New Roman"/>
                <w:bCs/>
                <w:color w:val="000000" w:themeColor="text1"/>
                <w:lang w:val="ro-MD"/>
              </w:rPr>
              <w:t>băncii</w:t>
            </w:r>
            <w:r w:rsidR="00997CAF" w:rsidRPr="00C011B2">
              <w:rPr>
                <w:rFonts w:ascii="Times New Roman" w:hAnsi="Times New Roman" w:cs="Times New Roman"/>
                <w:bCs/>
                <w:color w:val="000000" w:themeColor="text1"/>
                <w:lang w:val="ro-MD"/>
              </w:rPr>
              <w:t>.</w:t>
            </w:r>
            <w:bookmarkEnd w:id="73"/>
          </w:p>
        </w:tc>
        <w:tc>
          <w:tcPr>
            <w:tcW w:w="450" w:type="pct"/>
          </w:tcPr>
          <w:p w14:paraId="57898F0E" w14:textId="13E7463E"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341EA45"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1EF8A3A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035744E" w14:textId="7E439582"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marcheaz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evaluate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ori de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te ori este posibil, inclusiv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respective tratamentul relevant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materie de capital.</w:t>
            </w:r>
          </w:p>
        </w:tc>
        <w:tc>
          <w:tcPr>
            <w:tcW w:w="1692" w:type="pct"/>
            <w:shd w:val="clear" w:color="auto" w:fill="auto"/>
          </w:tcPr>
          <w:p w14:paraId="2DBBB778" w14:textId="492126E7" w:rsidR="00997CAF" w:rsidRPr="00C011B2" w:rsidRDefault="004B22DA" w:rsidP="00997CAF">
            <w:pPr>
              <w:spacing w:after="0" w:line="276" w:lineRule="auto"/>
              <w:jc w:val="both"/>
              <w:rPr>
                <w:rFonts w:ascii="Times New Roman" w:hAnsi="Times New Roman" w:cs="Times New Roman"/>
                <w:bCs/>
                <w:color w:val="000000" w:themeColor="text1"/>
                <w:lang w:val="ro-MD"/>
              </w:rPr>
            </w:pPr>
            <w:bookmarkStart w:id="74" w:name="_Hlk201649757"/>
            <w:r w:rsidRPr="00C011B2">
              <w:rPr>
                <w:rFonts w:ascii="Times New Roman" w:hAnsi="Times New Roman" w:cs="Times New Roman"/>
                <w:bCs/>
                <w:color w:val="000000" w:themeColor="text1"/>
                <w:lang w:val="ro-MD"/>
              </w:rPr>
              <w:t>44.</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hint="eastAsia"/>
                <w:bCs/>
                <w:color w:val="000000" w:themeColor="text1"/>
                <w:lang w:val="ro-MD"/>
              </w:rPr>
              <w:t>îș</w:t>
            </w:r>
            <w:r w:rsidR="00997CAF" w:rsidRPr="00C011B2">
              <w:rPr>
                <w:rFonts w:ascii="Times New Roman" w:hAnsi="Times New Roman" w:cs="Times New Roman"/>
                <w:bCs/>
                <w:color w:val="000000" w:themeColor="text1"/>
                <w:lang w:val="ro-MD"/>
              </w:rPr>
              <w:t>i marcheaz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la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afara portofoliului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evaluate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ori de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te ori este posibil, inclusiv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nd aplic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iilor respective tratamentul relevant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materie de capital.</w:t>
            </w:r>
            <w:bookmarkEnd w:id="74"/>
          </w:p>
        </w:tc>
        <w:tc>
          <w:tcPr>
            <w:tcW w:w="450" w:type="pct"/>
          </w:tcPr>
          <w:p w14:paraId="157A35FC" w14:textId="36DCA323"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0C75D1A7"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58E2043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EA56B4"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6472240A" w14:textId="1807D749"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 Pentru marcarea la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folose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cota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de 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rare/ v</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nzare mai prudent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afara cazului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care aceasta este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nchid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la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 mediu al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se folosesc de aceast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derogare, acestea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informeaz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semestrial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ile competente cu privire la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vizate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dovezi conform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rora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 xml:space="preserve">i pot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nchide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la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 mediu al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tc>
        <w:tc>
          <w:tcPr>
            <w:tcW w:w="1692" w:type="pct"/>
            <w:shd w:val="clear" w:color="auto" w:fill="auto"/>
          </w:tcPr>
          <w:p w14:paraId="09DD8FF1" w14:textId="0D927F48" w:rsidR="00997CAF" w:rsidRPr="00C011B2" w:rsidRDefault="004B22DA" w:rsidP="00997CAF">
            <w:pPr>
              <w:spacing w:after="0" w:line="276" w:lineRule="auto"/>
              <w:jc w:val="both"/>
              <w:rPr>
                <w:rFonts w:ascii="Times New Roman" w:hAnsi="Times New Roman" w:cs="Times New Roman"/>
                <w:bCs/>
                <w:color w:val="000000" w:themeColor="text1"/>
                <w:lang w:val="ro-MD"/>
              </w:rPr>
            </w:pPr>
            <w:bookmarkStart w:id="75" w:name="_Hlk201649850"/>
            <w:r w:rsidRPr="00C011B2">
              <w:rPr>
                <w:rFonts w:ascii="Times New Roman" w:hAnsi="Times New Roman" w:cs="Times New Roman"/>
                <w:bCs/>
                <w:color w:val="000000" w:themeColor="text1"/>
                <w:lang w:val="ro-MD"/>
              </w:rPr>
              <w:t>45.</w:t>
            </w:r>
            <w:r w:rsidR="00997CAF" w:rsidRPr="00C011B2">
              <w:rPr>
                <w:rFonts w:ascii="Times New Roman" w:hAnsi="Times New Roman" w:cs="Times New Roman"/>
                <w:bCs/>
                <w:color w:val="000000" w:themeColor="text1"/>
                <w:lang w:val="ro-MD"/>
              </w:rPr>
              <w:t xml:space="preserve"> Pentru marcarea la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997CAF" w:rsidRPr="00C011B2">
              <w:rPr>
                <w:rFonts w:ascii="Times New Roman" w:hAnsi="Times New Roman" w:cs="Times New Roman"/>
                <w:bCs/>
                <w:color w:val="000000" w:themeColor="text1"/>
                <w:lang w:val="ro-MD"/>
              </w:rPr>
              <w:t>folose</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te cota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ia de cump</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rare/ v</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nzare mai prudent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afara cazului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care aceasta este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sur</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s</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îș</w:t>
            </w:r>
            <w:r w:rsidR="00997CAF" w:rsidRPr="00C011B2">
              <w:rPr>
                <w:rFonts w:ascii="Times New Roman" w:hAnsi="Times New Roman" w:cs="Times New Roman"/>
                <w:bCs/>
                <w:color w:val="000000" w:themeColor="text1"/>
                <w:lang w:val="ro-MD"/>
              </w:rPr>
              <w:t xml:space="preserve">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nchid</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ia la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ul mediu al pie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ei.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cazul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se folosesc de aceast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derogare, acestea informeaz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semestrial </w:t>
            </w:r>
            <w:r w:rsidRPr="00C011B2">
              <w:rPr>
                <w:rFonts w:ascii="Times New Roman" w:hAnsi="Times New Roman" w:cs="Times New Roman"/>
                <w:bCs/>
                <w:color w:val="000000" w:themeColor="text1"/>
                <w:lang w:val="ro-MD"/>
              </w:rPr>
              <w:t>BNM</w:t>
            </w:r>
            <w:r w:rsidR="00997CAF" w:rsidRPr="00C011B2">
              <w:rPr>
                <w:rFonts w:ascii="Times New Roman" w:hAnsi="Times New Roman" w:cs="Times New Roman"/>
                <w:bCs/>
                <w:color w:val="000000" w:themeColor="text1"/>
                <w:lang w:val="ro-MD"/>
              </w:rPr>
              <w:t xml:space="preserve"> cu privire la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iile vizate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prezint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dovezi conform 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rora </w:t>
            </w:r>
            <w:r w:rsidR="00997CAF" w:rsidRPr="00C011B2">
              <w:rPr>
                <w:rFonts w:ascii="Times New Roman" w:hAnsi="Times New Roman" w:cs="Times New Roman" w:hint="eastAsia"/>
                <w:bCs/>
                <w:color w:val="000000" w:themeColor="text1"/>
                <w:lang w:val="ro-MD"/>
              </w:rPr>
              <w:t>îș</w:t>
            </w:r>
            <w:r w:rsidR="00997CAF" w:rsidRPr="00C011B2">
              <w:rPr>
                <w:rFonts w:ascii="Times New Roman" w:hAnsi="Times New Roman" w:cs="Times New Roman"/>
                <w:bCs/>
                <w:color w:val="000000" w:themeColor="text1"/>
                <w:lang w:val="ro-MD"/>
              </w:rPr>
              <w:t xml:space="preserve">i pot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nchide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ia la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ul mediu al pie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ei.</w:t>
            </w:r>
            <w:bookmarkEnd w:id="75"/>
          </w:p>
        </w:tc>
        <w:tc>
          <w:tcPr>
            <w:tcW w:w="450" w:type="pct"/>
          </w:tcPr>
          <w:p w14:paraId="13E7D124" w14:textId="320EEC55"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3F4F1B95"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7809F4D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98680F6"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19988F3F" w14:textId="68B55552"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marcarea la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nu este posibil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hint="eastAsia"/>
                <w:bCs/>
                <w:color w:val="000000" w:themeColor="text1"/>
                <w:lang w:val="ro-MD"/>
              </w:rPr>
              <w:t>îș</w:t>
            </w:r>
            <w:r w:rsidRPr="00C011B2">
              <w:rPr>
                <w:rFonts w:ascii="Times New Roman" w:hAnsi="Times New Roman" w:cs="Times New Roman"/>
                <w:bCs/>
                <w:color w:val="000000" w:themeColor="text1"/>
                <w:lang w:val="ro-MD"/>
              </w:rPr>
              <w:t>i marcheaz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model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portofoliile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prudent, inclusiv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calculeaz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w:t>
            </w:r>
            <w:r w:rsidRPr="00C011B2">
              <w:rPr>
                <w:rFonts w:ascii="Times New Roman" w:hAnsi="Times New Roman" w:cs="Times New Roman"/>
                <w:bCs/>
                <w:color w:val="000000" w:themeColor="text1"/>
                <w:lang w:val="ro-MD"/>
              </w:rPr>
              <w:lastRenderedPageBreak/>
              <w:t>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evaluate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tc>
        <w:tc>
          <w:tcPr>
            <w:tcW w:w="1692" w:type="pct"/>
            <w:shd w:val="clear" w:color="auto" w:fill="auto"/>
          </w:tcPr>
          <w:p w14:paraId="0CBC27C6" w14:textId="379089C3" w:rsidR="00997CAF" w:rsidRPr="00C011B2" w:rsidRDefault="004B22DA" w:rsidP="00997CAF">
            <w:pPr>
              <w:spacing w:after="0" w:line="276" w:lineRule="auto"/>
              <w:jc w:val="both"/>
              <w:rPr>
                <w:rFonts w:ascii="Times New Roman" w:hAnsi="Times New Roman" w:cs="Times New Roman"/>
                <w:bCs/>
                <w:color w:val="000000" w:themeColor="text1"/>
                <w:lang w:val="ro-MD"/>
              </w:rPr>
            </w:pPr>
            <w:bookmarkStart w:id="76" w:name="_Hlk201649904"/>
            <w:r w:rsidRPr="00C011B2">
              <w:rPr>
                <w:rFonts w:ascii="Times New Roman" w:hAnsi="Times New Roman" w:cs="Times New Roman"/>
                <w:bCs/>
                <w:color w:val="000000" w:themeColor="text1"/>
                <w:lang w:val="ro-MD"/>
              </w:rPr>
              <w:lastRenderedPageBreak/>
              <w:t>46.</w:t>
            </w:r>
            <w:r w:rsidR="00997CAF" w:rsidRPr="00C011B2">
              <w:rPr>
                <w:rFonts w:ascii="Times New Roman" w:hAnsi="Times New Roman" w:cs="Times New Roman"/>
                <w:bCs/>
                <w:color w:val="000000" w:themeColor="text1"/>
                <w:lang w:val="ro-MD"/>
              </w:rPr>
              <w:t xml:space="preserve">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nd marcarea la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nu este posibil</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C136C0"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hint="eastAsia"/>
                <w:bCs/>
                <w:color w:val="000000" w:themeColor="text1"/>
                <w:lang w:val="ro-MD"/>
              </w:rPr>
              <w:t>îș</w:t>
            </w:r>
            <w:r w:rsidR="00997CAF" w:rsidRPr="00C011B2">
              <w:rPr>
                <w:rFonts w:ascii="Times New Roman" w:hAnsi="Times New Roman" w:cs="Times New Roman"/>
                <w:bCs/>
                <w:color w:val="000000" w:themeColor="text1"/>
                <w:lang w:val="ro-MD"/>
              </w:rPr>
              <w:t>i marcheaz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la model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iile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portofoliile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mod prudent, inclusiv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nd calculeaz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cerin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ele de fonduri proprii pentru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iile din portofoliul de </w:t>
            </w:r>
            <w:r w:rsidR="00997CAF" w:rsidRPr="00C011B2">
              <w:rPr>
                <w:rFonts w:ascii="Times New Roman" w:hAnsi="Times New Roman" w:cs="Times New Roman"/>
                <w:bCs/>
                <w:color w:val="000000" w:themeColor="text1"/>
                <w:lang w:val="ro-MD"/>
              </w:rPr>
              <w:lastRenderedPageBreak/>
              <w:t>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pentru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din afara portofoliului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evaluate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w:t>
            </w:r>
            <w:bookmarkEnd w:id="76"/>
          </w:p>
        </w:tc>
        <w:tc>
          <w:tcPr>
            <w:tcW w:w="450" w:type="pct"/>
          </w:tcPr>
          <w:p w14:paraId="294EA023" w14:textId="74C14C72"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86223F3"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57EDB94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A82F506"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074D8B51" w14:textId="372CF4A9"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(7)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respect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 legate de marcarea la model:</w:t>
            </w:r>
          </w:p>
          <w:p w14:paraId="449A0997" w14:textId="48EEB391"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conducerea superioar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are cuno</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tin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de elementele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de 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evaluate la valoarea 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care fac obiectul marc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la model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elege importan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a incertitudinii astfel create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raportarea riscurilor/rezultatelor activit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w:t>
            </w:r>
          </w:p>
          <w:p w14:paraId="7BB909E2" w14:textId="4C602A1A"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este posibil,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extrag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din acelea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surse ca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urile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evalueaz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frecvent pertinen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privind o anumit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evaluat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parametrii</w:t>
            </w:r>
          </w:p>
          <w:p w14:paraId="3009485E"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modelului;</w:t>
            </w:r>
          </w:p>
          <w:p w14:paraId="5A075E8A" w14:textId="169CCE01"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sunt disponibile,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folosesc metodologii de evaluare care reprezint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practici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acceptate pentru instrumentele financiare sau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rfurile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cauz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w:t>
            </w:r>
          </w:p>
          <w:p w14:paraId="446A5539" w14:textId="6BEBAB20"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modelul este dezvoltat chiar de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ns</w:t>
            </w:r>
            <w:r w:rsidRPr="00C011B2">
              <w:rPr>
                <w:rFonts w:ascii="Times New Roman" w:hAnsi="Times New Roman" w:cs="Times New Roman" w:hint="eastAsia"/>
                <w:bCs/>
                <w:color w:val="000000" w:themeColor="text1"/>
                <w:lang w:val="ro-MD"/>
              </w:rPr>
              <w:t>ăș</w:t>
            </w:r>
            <w:r w:rsidRPr="00C011B2">
              <w:rPr>
                <w:rFonts w:ascii="Times New Roman" w:hAnsi="Times New Roman" w:cs="Times New Roman"/>
                <w:bCs/>
                <w:color w:val="000000" w:themeColor="text1"/>
                <w:lang w:val="ro-MD"/>
              </w:rPr>
              <w:t>i, acesta se bazeaz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ipoteze adecvate, care au fost evaluate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examinate de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calificate corespunz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tor independente de procesul de elaborare;</w:t>
            </w:r>
          </w:p>
          <w:p w14:paraId="2C40DE86" w14:textId="3CFB5CEA"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dispun de proceduri formale de control al varia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streaz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copie de siguran</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 modelului, care se folose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periodic pentru verificarea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rilor;</w:t>
            </w:r>
          </w:p>
          <w:p w14:paraId="74B872D4" w14:textId="6D322DB5"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(f) echipa de gestionare a riscurilor cunoa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te punctele slabe ale modelelor folosite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cum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le reflecte cel mai bine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rezultatele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w:t>
            </w:r>
          </w:p>
          <w:p w14:paraId="7F5AB42B" w14:textId="46375EF6"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(g) modelele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fac obiectul unei examin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 periodice pentru a determina precizia rezultatelor lor, care include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o evaluare 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inerii adecv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ipotezelor, o analiz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profitului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a pierderii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raport cu factorii de risc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o compara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a valorilor reale de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nchidere cu rezultatele modelului.</w:t>
            </w:r>
          </w:p>
          <w:p w14:paraId="55BEDFDD"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4F678CCF" w14:textId="0F8CC622"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sensul primului paragraf litera (d), modelul se dezvolt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se aprob</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independent de birourile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este testat independent, inclusiv pentru validarea calculelor matematice, a ipotezelor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 implement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programelor informatice.</w:t>
            </w:r>
          </w:p>
        </w:tc>
        <w:tc>
          <w:tcPr>
            <w:tcW w:w="1692" w:type="pct"/>
            <w:shd w:val="clear" w:color="auto" w:fill="auto"/>
          </w:tcPr>
          <w:p w14:paraId="17AFEF25" w14:textId="056EF7D5" w:rsidR="00997CAF" w:rsidRPr="00C011B2" w:rsidRDefault="00C136C0" w:rsidP="00997CAF">
            <w:pPr>
              <w:spacing w:after="0" w:line="276" w:lineRule="auto"/>
              <w:jc w:val="both"/>
              <w:rPr>
                <w:rFonts w:ascii="Times New Roman" w:hAnsi="Times New Roman" w:cs="Times New Roman"/>
                <w:bCs/>
                <w:color w:val="000000" w:themeColor="text1"/>
                <w:lang w:val="ro-MD"/>
              </w:rPr>
            </w:pPr>
            <w:bookmarkStart w:id="77" w:name="_Hlk201650236"/>
            <w:r w:rsidRPr="00C011B2">
              <w:rPr>
                <w:rFonts w:ascii="Times New Roman" w:hAnsi="Times New Roman" w:cs="Times New Roman"/>
                <w:bCs/>
                <w:color w:val="000000" w:themeColor="text1"/>
                <w:lang w:val="ro-MD"/>
              </w:rPr>
              <w:lastRenderedPageBreak/>
              <w:t>47.</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respect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urm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toarele cerin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 legate de marcarea la model:</w:t>
            </w:r>
          </w:p>
          <w:p w14:paraId="53761EA7" w14:textId="0D264C25"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47.1.</w:t>
            </w:r>
            <w:r w:rsidR="00997CAF" w:rsidRPr="00C011B2">
              <w:rPr>
                <w:rFonts w:ascii="Times New Roman" w:hAnsi="Times New Roman" w:cs="Times New Roman"/>
                <w:bCs/>
                <w:color w:val="000000" w:themeColor="text1"/>
                <w:lang w:val="ro-MD"/>
              </w:rPr>
              <w:t xml:space="preserve"> conducerea superioar</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are cuno</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tin</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de elementele din portofoliul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sau de alte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 evaluate la valoarea 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care fac obiectul marc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rii la model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elege importan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a incertitudinii astfel create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raportarea riscurilor/rezultatelor activit</w:t>
            </w:r>
            <w:r w:rsidR="00997CAF" w:rsidRPr="00C011B2">
              <w:rPr>
                <w:rFonts w:ascii="Times New Roman" w:hAnsi="Times New Roman" w:cs="Times New Roman" w:hint="eastAsia"/>
                <w:bCs/>
                <w:color w:val="000000" w:themeColor="text1"/>
                <w:lang w:val="ro-MD"/>
              </w:rPr>
              <w:t>ăţ</w:t>
            </w:r>
            <w:r w:rsidR="00997CAF" w:rsidRPr="00C011B2">
              <w:rPr>
                <w:rFonts w:ascii="Times New Roman" w:hAnsi="Times New Roman" w:cs="Times New Roman"/>
                <w:bCs/>
                <w:color w:val="000000" w:themeColor="text1"/>
                <w:lang w:val="ro-MD"/>
              </w:rPr>
              <w:t>ii;</w:t>
            </w:r>
          </w:p>
          <w:p w14:paraId="7582E00E" w14:textId="3EB0D30A"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47.2.</w:t>
            </w:r>
            <w:r w:rsidR="00997CAF" w:rsidRPr="00C011B2">
              <w:rPr>
                <w:rFonts w:ascii="Times New Roman" w:hAnsi="Times New Roman" w:cs="Times New Roman"/>
                <w:bCs/>
                <w:color w:val="000000" w:themeColor="text1"/>
                <w:lang w:val="ro-MD"/>
              </w:rPr>
              <w:t xml:space="preserve">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 xml:space="preserve">nd este posibil,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extrag informa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din acelea</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surse ca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urile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evalueaz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frecvent pertinen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a informa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privind o anumit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 evaluat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parametrii</w:t>
            </w:r>
          </w:p>
          <w:p w14:paraId="38DA6ECD"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modelului;</w:t>
            </w:r>
          </w:p>
          <w:p w14:paraId="2ED96FBD" w14:textId="6D55A185"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47.3.</w:t>
            </w:r>
            <w:r w:rsidR="00997CAF" w:rsidRPr="00C011B2">
              <w:rPr>
                <w:rFonts w:ascii="Times New Roman" w:hAnsi="Times New Roman" w:cs="Times New Roman"/>
                <w:bCs/>
                <w:color w:val="000000" w:themeColor="text1"/>
                <w:lang w:val="ro-MD"/>
              </w:rPr>
              <w:t xml:space="preserve">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 xml:space="preserve">nd sunt disponibile,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folosesc metodologii de evaluare care reprezint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practici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acceptate pentru instrumentele financiare sau 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rfurile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cauz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w:t>
            </w:r>
          </w:p>
          <w:p w14:paraId="66A06127" w14:textId="4DF40EF3"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47.4</w:t>
            </w:r>
            <w:r w:rsidR="00997CAF" w:rsidRPr="00C011B2">
              <w:rPr>
                <w:rFonts w:ascii="Times New Roman" w:hAnsi="Times New Roman" w:cs="Times New Roman"/>
                <w:bCs/>
                <w:color w:val="000000" w:themeColor="text1"/>
                <w:lang w:val="ro-MD"/>
              </w:rPr>
              <w:t xml:space="preserve">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 xml:space="preserve">nd modelul este dezvoltat chiar de </w:t>
            </w:r>
            <w:r w:rsidRPr="00C011B2">
              <w:rPr>
                <w:rFonts w:ascii="Times New Roman" w:hAnsi="Times New Roman" w:cs="Times New Roman"/>
                <w:bCs/>
                <w:color w:val="000000" w:themeColor="text1"/>
                <w:lang w:val="ro-MD"/>
              </w:rPr>
              <w:t xml:space="preserve">banca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ns</w:t>
            </w:r>
            <w:r w:rsidR="00997CAF" w:rsidRPr="00C011B2">
              <w:rPr>
                <w:rFonts w:ascii="Times New Roman" w:hAnsi="Times New Roman" w:cs="Times New Roman" w:hint="eastAsia"/>
                <w:bCs/>
                <w:color w:val="000000" w:themeColor="text1"/>
                <w:lang w:val="ro-MD"/>
              </w:rPr>
              <w:t>ăș</w:t>
            </w:r>
            <w:r w:rsidR="00997CAF" w:rsidRPr="00C011B2">
              <w:rPr>
                <w:rFonts w:ascii="Times New Roman" w:hAnsi="Times New Roman" w:cs="Times New Roman"/>
                <w:bCs/>
                <w:color w:val="000000" w:themeColor="text1"/>
                <w:lang w:val="ro-MD"/>
              </w:rPr>
              <w:t>i, acesta se bazeaz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pe ipoteze adecvate, care au fost evaluate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examinate de p</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 calificate corespunz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tor independente de procesul de elaborare;</w:t>
            </w:r>
          </w:p>
          <w:p w14:paraId="31BBF78D" w14:textId="47F0FB20"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47.5.</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dispun de proceduri formale de control al varia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iilor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p</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streaz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o copie de siguran</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a modelului, care se folose</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te periodic pentru verificarea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rilor;</w:t>
            </w:r>
          </w:p>
          <w:p w14:paraId="1314A2A9" w14:textId="02DEDE82"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47.6.</w:t>
            </w:r>
            <w:r w:rsidR="00997CAF" w:rsidRPr="00C011B2">
              <w:rPr>
                <w:rFonts w:ascii="Times New Roman" w:hAnsi="Times New Roman" w:cs="Times New Roman"/>
                <w:bCs/>
                <w:color w:val="000000" w:themeColor="text1"/>
                <w:lang w:val="ro-MD"/>
              </w:rPr>
              <w:t xml:space="preserve"> echipa de gestionare a riscurilor cunoa</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te punctele slabe ale modelelor folosite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cum s</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le reflecte cel mai bine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rezultatele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rii;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w:t>
            </w:r>
          </w:p>
          <w:p w14:paraId="19B0D6FB" w14:textId="0DBED899"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47.7.</w:t>
            </w:r>
            <w:r w:rsidR="00997CAF" w:rsidRPr="00C011B2">
              <w:rPr>
                <w:rFonts w:ascii="Times New Roman" w:hAnsi="Times New Roman" w:cs="Times New Roman"/>
                <w:bCs/>
                <w:color w:val="000000" w:themeColor="text1"/>
                <w:lang w:val="ro-MD"/>
              </w:rPr>
              <w:t xml:space="preserve"> modelele </w:t>
            </w:r>
            <w:r w:rsidRPr="00C011B2">
              <w:rPr>
                <w:rFonts w:ascii="Times New Roman" w:hAnsi="Times New Roman" w:cs="Times New Roman"/>
                <w:bCs/>
                <w:color w:val="000000" w:themeColor="text1"/>
                <w:lang w:val="ro-MD"/>
              </w:rPr>
              <w:t xml:space="preserve">băncilor </w:t>
            </w:r>
            <w:r w:rsidR="00997CAF" w:rsidRPr="00C011B2">
              <w:rPr>
                <w:rFonts w:ascii="Times New Roman" w:hAnsi="Times New Roman" w:cs="Times New Roman"/>
                <w:bCs/>
                <w:color w:val="000000" w:themeColor="text1"/>
                <w:lang w:val="ro-MD"/>
              </w:rPr>
              <w:t>fac obiectul unei examin</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 periodice pentru a determina precizia rezultatelor lor, care include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o evaluare a men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inerii adecv</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ipotezelor, o analiz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 profitului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a pierderii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raport cu factorii de risc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o compara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ie a valorilor reale de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nchidere cu rezultatele modelului.</w:t>
            </w:r>
          </w:p>
          <w:p w14:paraId="5291BD6F" w14:textId="176A3AD1" w:rsidR="00997CAF" w:rsidRPr="00C011B2" w:rsidRDefault="00C136C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48.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sensul </w:t>
            </w:r>
            <w:r w:rsidRPr="00C011B2">
              <w:rPr>
                <w:rFonts w:ascii="Times New Roman" w:hAnsi="Times New Roman" w:cs="Times New Roman"/>
                <w:bCs/>
                <w:color w:val="000000" w:themeColor="text1"/>
                <w:lang w:val="ro-MD"/>
              </w:rPr>
              <w:t>subpct.47.4</w:t>
            </w:r>
            <w:r w:rsidR="00997CAF" w:rsidRPr="00C011B2">
              <w:rPr>
                <w:rFonts w:ascii="Times New Roman" w:hAnsi="Times New Roman" w:cs="Times New Roman"/>
                <w:bCs/>
                <w:color w:val="000000" w:themeColor="text1"/>
                <w:lang w:val="ro-MD"/>
              </w:rPr>
              <w:t>, modelul se dezvolt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sau se aprob</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independent de birourile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este testat independent, inclusiv pentru validarea calculelor matematice, a ipotezelor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a implement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programelor informatice.</w:t>
            </w:r>
            <w:bookmarkEnd w:id="77"/>
          </w:p>
        </w:tc>
        <w:tc>
          <w:tcPr>
            <w:tcW w:w="450" w:type="pct"/>
          </w:tcPr>
          <w:p w14:paraId="3C1D3C2B" w14:textId="68DCB3AD"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89A063A"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6F248F3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BCD0FFF"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20D15736" w14:textId="1C541C5D"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(8) Pe l</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ng</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marcarea zilnic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sau la model,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efectueaz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o verificare independent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urilor. Verificarea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urilor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 datelor de intrare ale modelului trebuie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fie efectuat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o persoan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o unitate independent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persoanele sau </w:t>
            </w:r>
            <w:r w:rsidRPr="00C011B2">
              <w:rPr>
                <w:rFonts w:ascii="Times New Roman" w:hAnsi="Times New Roman" w:cs="Times New Roman"/>
                <w:bCs/>
                <w:color w:val="000000" w:themeColor="text1"/>
                <w:lang w:val="ro-MD"/>
              </w:rPr>
              <w:lastRenderedPageBreak/>
              <w:t>unit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ile care beneficiaz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pe urma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cel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o dat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lun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sau mai frecvent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func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natura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 sau a activit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Atunci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nu exist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surse independente de determinare 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urilor sau sursele de determinare 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urilor sunt mai subiective, pot fi potrivite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suri prudente, precum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rilor.</w:t>
            </w:r>
          </w:p>
        </w:tc>
        <w:tc>
          <w:tcPr>
            <w:tcW w:w="1692" w:type="pct"/>
            <w:shd w:val="clear" w:color="auto" w:fill="auto"/>
          </w:tcPr>
          <w:p w14:paraId="1A0B8591" w14:textId="0B8E40BD" w:rsidR="00997CAF" w:rsidRPr="00C011B2" w:rsidRDefault="00FD5A49" w:rsidP="00997CAF">
            <w:pPr>
              <w:spacing w:after="0" w:line="276" w:lineRule="auto"/>
              <w:jc w:val="both"/>
              <w:rPr>
                <w:rFonts w:ascii="Times New Roman" w:hAnsi="Times New Roman" w:cs="Times New Roman"/>
                <w:bCs/>
                <w:color w:val="000000" w:themeColor="text1"/>
                <w:lang w:val="ro-MD"/>
              </w:rPr>
            </w:pPr>
            <w:bookmarkStart w:id="78" w:name="_Hlk201651393"/>
            <w:r w:rsidRPr="00C011B2">
              <w:rPr>
                <w:rFonts w:ascii="Times New Roman" w:hAnsi="Times New Roman" w:cs="Times New Roman"/>
                <w:bCs/>
                <w:color w:val="000000" w:themeColor="text1"/>
                <w:lang w:val="ro-MD"/>
              </w:rPr>
              <w:lastRenderedPageBreak/>
              <w:t>49.</w:t>
            </w:r>
            <w:r w:rsidR="00997CAF" w:rsidRPr="00C011B2">
              <w:rPr>
                <w:rFonts w:ascii="Times New Roman" w:hAnsi="Times New Roman" w:cs="Times New Roman"/>
                <w:bCs/>
                <w:color w:val="000000" w:themeColor="text1"/>
                <w:lang w:val="ro-MD"/>
              </w:rPr>
              <w:t xml:space="preserve"> Pe l</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ng</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marcarea zilnic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la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sau la model,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efectueaz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o verificare independent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urilor. Verificarea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urilor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a datelor de intrare ale modelului trebuie s</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fie efectuat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de o persoan</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sau o unitate independent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de persoanele sau unit</w:t>
            </w:r>
            <w:r w:rsidR="00997CAF" w:rsidRPr="00C011B2">
              <w:rPr>
                <w:rFonts w:ascii="Times New Roman" w:hAnsi="Times New Roman" w:cs="Times New Roman" w:hint="eastAsia"/>
                <w:bCs/>
                <w:color w:val="000000" w:themeColor="text1"/>
                <w:lang w:val="ro-MD"/>
              </w:rPr>
              <w:t>ăţ</w:t>
            </w:r>
            <w:r w:rsidR="00997CAF" w:rsidRPr="00C011B2">
              <w:rPr>
                <w:rFonts w:ascii="Times New Roman" w:hAnsi="Times New Roman" w:cs="Times New Roman"/>
                <w:bCs/>
                <w:color w:val="000000" w:themeColor="text1"/>
                <w:lang w:val="ro-MD"/>
              </w:rPr>
              <w:t>ile care beneficiaz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de pe urma portofoliului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cel </w:t>
            </w:r>
            <w:r w:rsidR="00997CAF" w:rsidRPr="00C011B2">
              <w:rPr>
                <w:rFonts w:ascii="Times New Roman" w:hAnsi="Times New Roman" w:cs="Times New Roman"/>
                <w:bCs/>
                <w:color w:val="000000" w:themeColor="text1"/>
                <w:lang w:val="ro-MD"/>
              </w:rPr>
              <w:lastRenderedPageBreak/>
              <w:t>pu</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 o dat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pe lun</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sau mai frecvent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func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 de natura pie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ei sau a activit</w:t>
            </w:r>
            <w:r w:rsidR="00997CAF" w:rsidRPr="00C011B2">
              <w:rPr>
                <w:rFonts w:ascii="Times New Roman" w:hAnsi="Times New Roman" w:cs="Times New Roman" w:hint="eastAsia"/>
                <w:bCs/>
                <w:color w:val="000000" w:themeColor="text1"/>
                <w:lang w:val="ro-MD"/>
              </w:rPr>
              <w:t>ăţ</w:t>
            </w:r>
            <w:r w:rsidR="00997CAF" w:rsidRPr="00C011B2">
              <w:rPr>
                <w:rFonts w:ascii="Times New Roman" w:hAnsi="Times New Roman" w:cs="Times New Roman"/>
                <w:bCs/>
                <w:color w:val="000000" w:themeColor="text1"/>
                <w:lang w:val="ro-MD"/>
              </w:rPr>
              <w:t>ii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Atunci 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nd nu exist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surse independente de determinare 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urilor sau sursele de determinare 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urilor sunt mai subiective, pot fi potrivite 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suri prudente, precum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rile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rilor.</w:t>
            </w:r>
            <w:bookmarkEnd w:id="78"/>
          </w:p>
        </w:tc>
        <w:tc>
          <w:tcPr>
            <w:tcW w:w="450" w:type="pct"/>
          </w:tcPr>
          <w:p w14:paraId="470FC213" w14:textId="6BE360FF"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29527CC"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430CED3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493FD6" w14:textId="5DF0BB26"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(9)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instituie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 proceduri pentru luarea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considerare a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rilor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rilor.</w:t>
            </w:r>
          </w:p>
        </w:tc>
        <w:tc>
          <w:tcPr>
            <w:tcW w:w="1692" w:type="pct"/>
            <w:shd w:val="clear" w:color="auto" w:fill="auto"/>
          </w:tcPr>
          <w:p w14:paraId="3322B734" w14:textId="43CBD979" w:rsidR="00997CAF" w:rsidRPr="00C011B2" w:rsidRDefault="00FD5A49" w:rsidP="00997CAF">
            <w:pPr>
              <w:spacing w:after="0" w:line="276" w:lineRule="auto"/>
              <w:jc w:val="both"/>
              <w:rPr>
                <w:rFonts w:ascii="Times New Roman" w:hAnsi="Times New Roman" w:cs="Times New Roman"/>
                <w:bCs/>
                <w:color w:val="000000" w:themeColor="text1"/>
                <w:lang w:val="ro-MD"/>
              </w:rPr>
            </w:pPr>
            <w:bookmarkStart w:id="79" w:name="_Hlk201651439"/>
            <w:r w:rsidRPr="00C011B2">
              <w:rPr>
                <w:rFonts w:ascii="Times New Roman" w:hAnsi="Times New Roman" w:cs="Times New Roman"/>
                <w:bCs/>
                <w:color w:val="000000" w:themeColor="text1"/>
                <w:lang w:val="ro-MD"/>
              </w:rPr>
              <w:t>50.</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 xml:space="preserve">instituie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men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in proceduri pentru luarea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considerare a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rilor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rilor.</w:t>
            </w:r>
            <w:bookmarkEnd w:id="79"/>
          </w:p>
        </w:tc>
        <w:tc>
          <w:tcPr>
            <w:tcW w:w="450" w:type="pct"/>
          </w:tcPr>
          <w:p w14:paraId="55DB2426" w14:textId="2F32765D"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306B2F9"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1DDD88D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991A79" w14:textId="75B5AB1E"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(10)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iau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considerare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formal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rilor cu privire la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toarele: marjele de credit constatate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avans, costurile de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nchidere, riscurile opera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ionale, incertitudinea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ului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finalizarea anticipat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costurile de investi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de finan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are, costurile administrative viitoare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dup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caz, riscul de model.</w:t>
            </w:r>
          </w:p>
        </w:tc>
        <w:tc>
          <w:tcPr>
            <w:tcW w:w="1692" w:type="pct"/>
            <w:shd w:val="clear" w:color="auto" w:fill="auto"/>
          </w:tcPr>
          <w:p w14:paraId="24999A3B" w14:textId="749F6C14" w:rsidR="00997CAF" w:rsidRPr="00C011B2" w:rsidRDefault="00FD5A49" w:rsidP="00997CAF">
            <w:pPr>
              <w:spacing w:after="0" w:line="276" w:lineRule="auto"/>
              <w:jc w:val="both"/>
              <w:rPr>
                <w:rFonts w:ascii="Times New Roman" w:hAnsi="Times New Roman" w:cs="Times New Roman"/>
                <w:bCs/>
                <w:color w:val="000000" w:themeColor="text1"/>
                <w:lang w:val="ro-MD"/>
              </w:rPr>
            </w:pPr>
            <w:bookmarkStart w:id="80" w:name="_Hlk201651498"/>
            <w:r w:rsidRPr="00C011B2">
              <w:rPr>
                <w:rFonts w:ascii="Times New Roman" w:hAnsi="Times New Roman" w:cs="Times New Roman"/>
                <w:bCs/>
                <w:color w:val="000000" w:themeColor="text1"/>
                <w:lang w:val="ro-MD"/>
              </w:rPr>
              <w:t>51.</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 xml:space="preserve">iau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considerare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mod formal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rile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rilor cu privire la urm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toarele: marjele de credit constatate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avans, costurile de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nchidere, riscurile opera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ionale, incertitudinea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ului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finalizarea anticipat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costurile de investi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de finan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are, costurile administrative viitoare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dup</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caz, riscul de model.</w:t>
            </w:r>
            <w:bookmarkEnd w:id="80"/>
          </w:p>
        </w:tc>
        <w:tc>
          <w:tcPr>
            <w:tcW w:w="450" w:type="pct"/>
          </w:tcPr>
          <w:p w14:paraId="33BE9018" w14:textId="68B2C2BB"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30AAA736"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6B77CF4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DB00CD5" w14:textId="6ADDD114"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(11)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iile instituie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proceduri pentru calculul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curente a oric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mai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lichide, care ar putea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rezulte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special din evenimente de pe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sau din situa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proprii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de exemplu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ii concentrate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i/sau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pentru care perioada de de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inere avut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vedere ini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ial a fost dep</w:t>
            </w:r>
            <w:r w:rsidRPr="00C011B2">
              <w:rPr>
                <w:rFonts w:ascii="Times New Roman" w:hAnsi="Times New Roman" w:cs="Times New Roman" w:hint="eastAsia"/>
                <w:bCs/>
                <w:color w:val="000000" w:themeColor="text1"/>
                <w:lang w:val="ro-MD"/>
              </w:rPr>
              <w:t>ăș</w:t>
            </w:r>
            <w:r w:rsidRPr="00C011B2">
              <w:rPr>
                <w:rFonts w:ascii="Times New Roman" w:hAnsi="Times New Roman" w:cs="Times New Roman"/>
                <w:bCs/>
                <w:color w:val="000000" w:themeColor="text1"/>
                <w:lang w:val="ro-MD"/>
              </w:rPr>
              <w:t>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este necesar,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efectueaz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astfel de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plus fa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de orice </w:t>
            </w:r>
            <w:r w:rsidRPr="00C011B2">
              <w:rPr>
                <w:rFonts w:ascii="Times New Roman" w:hAnsi="Times New Roman" w:cs="Times New Roman"/>
                <w:bCs/>
                <w:color w:val="000000" w:themeColor="text1"/>
                <w:lang w:val="ro-MD"/>
              </w:rPr>
              <w:lastRenderedPageBreak/>
              <w:t>modific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ale valorii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necesare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raport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financiare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le concep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a fel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reflecte lipsa de lichiditate 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w:t>
            </w:r>
          </w:p>
          <w:p w14:paraId="690B9147" w14:textId="689DBC2A"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Conform acestor proceduri,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trebuie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considerare mai mul</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factori pentru a stabili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este necesar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ajustare a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w:t>
            </w:r>
          </w:p>
          <w:p w14:paraId="297D0053"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mai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lichide. Ace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ti factori includ:</w:t>
            </w:r>
          </w:p>
          <w:p w14:paraId="19B017F8" w14:textId="70F10240"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timpul suplimentar care ar fi necesar pentru acoperirea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sau a riscurilor inerente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dincolo de orizonturile de lichiditate care au fost atribuite factorilor de risc aplicabili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325bd;</w:t>
            </w:r>
          </w:p>
          <w:p w14:paraId="13943893" w14:textId="77777777" w:rsidR="00997CAF" w:rsidRPr="00C011B2" w:rsidRDefault="00997CAF" w:rsidP="00997CA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▼C2</w:t>
            </w:r>
          </w:p>
          <w:p w14:paraId="31E6C182" w14:textId="63A5E12A"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(b) volatilitatea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media marjelor dintre pre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urile de cump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cele de v</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nzare;</w:t>
            </w:r>
          </w:p>
          <w:p w14:paraId="5C5B8C3E" w14:textId="724E084C"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disponibilitatea cota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(num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rul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identitatea formatorilor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volatilitatea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media volumelor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inclusiv volumele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perioadele de criz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p w14:paraId="3F200E60"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concentr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p w14:paraId="4BD44946"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clasamentul cronologic al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w:t>
            </w:r>
          </w:p>
          <w:p w14:paraId="2A0BD873"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(f) 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sura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evaluarea se bazeaz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marcarea la model;</w:t>
            </w:r>
          </w:p>
          <w:p w14:paraId="5E3BDC1B" w14:textId="237B7B56"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(g) impactul altor riscuri de model.</w:t>
            </w:r>
          </w:p>
        </w:tc>
        <w:tc>
          <w:tcPr>
            <w:tcW w:w="1692" w:type="pct"/>
            <w:shd w:val="clear" w:color="auto" w:fill="auto"/>
          </w:tcPr>
          <w:p w14:paraId="7D4246D9" w14:textId="723D307E" w:rsidR="00997CAF" w:rsidRPr="00C011B2" w:rsidRDefault="00FD5A49" w:rsidP="00997CAF">
            <w:pPr>
              <w:spacing w:after="0" w:line="276" w:lineRule="auto"/>
              <w:jc w:val="both"/>
              <w:rPr>
                <w:rFonts w:ascii="Times New Roman" w:hAnsi="Times New Roman" w:cs="Times New Roman"/>
                <w:bCs/>
                <w:color w:val="000000" w:themeColor="text1"/>
                <w:lang w:val="ro-MD"/>
              </w:rPr>
            </w:pPr>
            <w:bookmarkStart w:id="81" w:name="_Hlk201652365"/>
            <w:r w:rsidRPr="00C011B2">
              <w:rPr>
                <w:rFonts w:ascii="Times New Roman" w:hAnsi="Times New Roman" w:cs="Times New Roman"/>
                <w:bCs/>
                <w:color w:val="000000" w:themeColor="text1"/>
                <w:lang w:val="ro-MD"/>
              </w:rPr>
              <w:lastRenderedPageBreak/>
              <w:t>52.</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 xml:space="preserve">instituie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men</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 proceduri pentru calculul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curente a oric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rei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 mai pu</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 lichide, care ar putea s</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rezulte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special din evenimente de pe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sau din situa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 proprii </w:t>
            </w:r>
            <w:r w:rsidRPr="00C011B2">
              <w:rPr>
                <w:rFonts w:ascii="Times New Roman" w:hAnsi="Times New Roman" w:cs="Times New Roman"/>
                <w:bCs/>
                <w:color w:val="000000" w:themeColor="text1"/>
                <w:lang w:val="ro-MD"/>
              </w:rPr>
              <w:t>băncii</w:t>
            </w:r>
            <w:r w:rsidR="00997CAF" w:rsidRPr="00C011B2">
              <w:rPr>
                <w:rFonts w:ascii="Times New Roman" w:hAnsi="Times New Roman" w:cs="Times New Roman"/>
                <w:bCs/>
                <w:color w:val="000000" w:themeColor="text1"/>
                <w:lang w:val="ro-MD"/>
              </w:rPr>
              <w:t>, de exemplu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ii concentrate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i/sau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 pentru care perioada de de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inere avut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vedere ini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ial a fost dep</w:t>
            </w:r>
            <w:r w:rsidR="00997CAF" w:rsidRPr="00C011B2">
              <w:rPr>
                <w:rFonts w:ascii="Times New Roman" w:hAnsi="Times New Roman" w:cs="Times New Roman" w:hint="eastAsia"/>
                <w:bCs/>
                <w:color w:val="000000" w:themeColor="text1"/>
                <w:lang w:val="ro-MD"/>
              </w:rPr>
              <w:t>ăș</w:t>
            </w:r>
            <w:r w:rsidR="00997CAF" w:rsidRPr="00C011B2">
              <w:rPr>
                <w:rFonts w:ascii="Times New Roman" w:hAnsi="Times New Roman" w:cs="Times New Roman"/>
                <w:bCs/>
                <w:color w:val="000000" w:themeColor="text1"/>
                <w:lang w:val="ro-MD"/>
              </w:rPr>
              <w:t>it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Dac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este necesar,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efectueaz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astfel de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plus fa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de orice modific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ale valorii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iei necesare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scopul </w:t>
            </w:r>
            <w:r w:rsidR="00997CAF" w:rsidRPr="00C011B2">
              <w:rPr>
                <w:rFonts w:ascii="Times New Roman" w:hAnsi="Times New Roman" w:cs="Times New Roman"/>
                <w:bCs/>
                <w:color w:val="000000" w:themeColor="text1"/>
                <w:lang w:val="ro-MD"/>
              </w:rPr>
              <w:lastRenderedPageBreak/>
              <w:t>raport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rii financiare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le concep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a</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a fel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nc</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t s</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reflecte lipsa de lichiditate a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iei.</w:t>
            </w:r>
          </w:p>
          <w:p w14:paraId="72A4DB5B" w14:textId="5DFE725E"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53. </w:t>
            </w:r>
            <w:r w:rsidR="00997CAF" w:rsidRPr="00C011B2">
              <w:rPr>
                <w:rFonts w:ascii="Times New Roman" w:hAnsi="Times New Roman" w:cs="Times New Roman"/>
                <w:bCs/>
                <w:color w:val="000000" w:themeColor="text1"/>
                <w:lang w:val="ro-MD"/>
              </w:rPr>
              <w:t>Conform proceduri</w:t>
            </w:r>
            <w:r w:rsidRPr="00C011B2">
              <w:rPr>
                <w:rFonts w:ascii="Times New Roman" w:hAnsi="Times New Roman" w:cs="Times New Roman"/>
                <w:bCs/>
                <w:color w:val="000000" w:themeColor="text1"/>
                <w:lang w:val="ro-MD"/>
              </w:rPr>
              <w:t>lor menționate la pct.52</w:t>
            </w:r>
            <w:r w:rsidR="00997CAF"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trebuie s</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ia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considerare mai mul</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 factori pentru a stabili dac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este necesar</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o ajustare a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w:t>
            </w:r>
          </w:p>
          <w:p w14:paraId="39801AE2" w14:textId="77777777"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mai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in lichide. Ace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ti factori includ:</w:t>
            </w:r>
          </w:p>
          <w:p w14:paraId="02942E71" w14:textId="2880EF6B"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53.1.</w:t>
            </w:r>
            <w:r w:rsidR="00997CAF" w:rsidRPr="00C011B2">
              <w:rPr>
                <w:rFonts w:ascii="Times New Roman" w:hAnsi="Times New Roman" w:cs="Times New Roman"/>
                <w:bCs/>
                <w:color w:val="000000" w:themeColor="text1"/>
                <w:lang w:val="ro-MD"/>
              </w:rPr>
              <w:t xml:space="preserve"> timpul suplimentar care ar fi necesar pentru acoperirea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iei sau a riscurilor inerente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iei dincolo de orizonturile de lichiditate care au fost atribuite factorilor de risc aplicabili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iei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conformitate cu</w:t>
            </w:r>
            <w:r w:rsidR="00A874D4" w:rsidRPr="00C011B2">
              <w:rPr>
                <w:lang w:val="ro-MD"/>
              </w:rPr>
              <w:t xml:space="preserve"> </w:t>
            </w:r>
            <w:r w:rsidR="00A874D4" w:rsidRPr="00C011B2">
              <w:rPr>
                <w:rFonts w:ascii="Times New Roman" w:hAnsi="Times New Roman" w:cs="Times New Roman"/>
                <w:bCs/>
                <w:color w:val="000000" w:themeColor="text1"/>
                <w:lang w:val="ro-MD"/>
              </w:rPr>
              <w:t>titlul II capitolul III secțiunea 2</w:t>
            </w:r>
            <w:r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bCs/>
                <w:color w:val="000000" w:themeColor="text1"/>
                <w:lang w:val="ro-MD"/>
              </w:rPr>
              <w:t>;</w:t>
            </w:r>
          </w:p>
          <w:p w14:paraId="1770398B" w14:textId="0D00775F"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53.2.</w:t>
            </w:r>
            <w:r w:rsidR="00997CAF" w:rsidRPr="00C011B2">
              <w:rPr>
                <w:rFonts w:ascii="Times New Roman" w:hAnsi="Times New Roman" w:cs="Times New Roman"/>
                <w:bCs/>
                <w:color w:val="000000" w:themeColor="text1"/>
                <w:lang w:val="ro-MD"/>
              </w:rPr>
              <w:t xml:space="preserve"> volatilitatea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media marjelor dintre pre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urile de cump</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cele de v</w:t>
            </w:r>
            <w:r w:rsidR="00997CAF" w:rsidRPr="00C011B2">
              <w:rPr>
                <w:rFonts w:ascii="Times New Roman" w:hAnsi="Times New Roman" w:cs="Times New Roman" w:hint="eastAsia"/>
                <w:bCs/>
                <w:color w:val="000000" w:themeColor="text1"/>
                <w:lang w:val="ro-MD"/>
              </w:rPr>
              <w:t>â</w:t>
            </w:r>
            <w:r w:rsidR="00997CAF" w:rsidRPr="00C011B2">
              <w:rPr>
                <w:rFonts w:ascii="Times New Roman" w:hAnsi="Times New Roman" w:cs="Times New Roman"/>
                <w:bCs/>
                <w:color w:val="000000" w:themeColor="text1"/>
                <w:lang w:val="ro-MD"/>
              </w:rPr>
              <w:t>nzare;</w:t>
            </w:r>
          </w:p>
          <w:p w14:paraId="475C3877" w14:textId="65F023A4"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53.3.</w:t>
            </w:r>
            <w:r w:rsidR="00997CAF" w:rsidRPr="00C011B2">
              <w:rPr>
                <w:rFonts w:ascii="Times New Roman" w:hAnsi="Times New Roman" w:cs="Times New Roman"/>
                <w:bCs/>
                <w:color w:val="000000" w:themeColor="text1"/>
                <w:lang w:val="ro-MD"/>
              </w:rPr>
              <w:t xml:space="preserve"> disponibilitatea cota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(num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rul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identitatea formatorilor de pia</w:t>
            </w:r>
            <w:r w:rsidR="00997CAF" w:rsidRPr="00C011B2">
              <w:rPr>
                <w:rFonts w:ascii="Times New Roman" w:hAnsi="Times New Roman" w:cs="Times New Roman" w:hint="eastAsia"/>
                <w:bCs/>
                <w:color w:val="000000" w:themeColor="text1"/>
                <w:lang w:val="ro-MD"/>
              </w:rPr>
              <w:t>ţă</w:t>
            </w:r>
            <w:r w:rsidR="00997CAF" w:rsidRPr="00C011B2">
              <w:rPr>
                <w:rFonts w:ascii="Times New Roman" w:hAnsi="Times New Roman" w:cs="Times New Roman"/>
                <w:bCs/>
                <w:color w:val="000000" w:themeColor="text1"/>
                <w:lang w:val="ro-MD"/>
              </w:rPr>
              <w:t xml:space="preserve">), volatilitatea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media volumelor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ionare, inclusiv volumele de tranzac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ionare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perioadele de criz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 pie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ei;</w:t>
            </w:r>
          </w:p>
          <w:p w14:paraId="37EF19EA" w14:textId="48944A41"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53.4.</w:t>
            </w:r>
            <w:r w:rsidR="00997CAF" w:rsidRPr="00C011B2">
              <w:rPr>
                <w:rFonts w:ascii="Times New Roman" w:hAnsi="Times New Roman" w:cs="Times New Roman"/>
                <w:bCs/>
                <w:color w:val="000000" w:themeColor="text1"/>
                <w:lang w:val="ro-MD"/>
              </w:rPr>
              <w:t xml:space="preserve"> concentr</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rile pie</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ei;</w:t>
            </w:r>
          </w:p>
          <w:p w14:paraId="6AC1FEB8" w14:textId="7BF18D3B"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53.5.</w:t>
            </w:r>
            <w:r w:rsidR="00997CAF" w:rsidRPr="00C011B2">
              <w:rPr>
                <w:rFonts w:ascii="Times New Roman" w:hAnsi="Times New Roman" w:cs="Times New Roman"/>
                <w:bCs/>
                <w:color w:val="000000" w:themeColor="text1"/>
                <w:lang w:val="ro-MD"/>
              </w:rPr>
              <w:t xml:space="preserve"> clasamentul cronologic al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iilor;</w:t>
            </w:r>
          </w:p>
          <w:p w14:paraId="2F55DB72" w14:textId="7CC406AB"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53.6.</w:t>
            </w:r>
            <w:r w:rsidR="00997CAF" w:rsidRPr="00C011B2">
              <w:rPr>
                <w:rFonts w:ascii="Times New Roman" w:hAnsi="Times New Roman" w:cs="Times New Roman"/>
                <w:bCs/>
                <w:color w:val="000000" w:themeColor="text1"/>
                <w:lang w:val="ro-MD"/>
              </w:rPr>
              <w:t xml:space="preserve"> m</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sura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care evaluarea se bazeaz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pe marcarea la model;</w:t>
            </w:r>
          </w:p>
          <w:p w14:paraId="3977E79A" w14:textId="0740C03E" w:rsidR="00997CAF" w:rsidRPr="00C011B2" w:rsidRDefault="00D05510"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53.7.</w:t>
            </w:r>
            <w:r w:rsidR="00997CAF" w:rsidRPr="00C011B2">
              <w:rPr>
                <w:rFonts w:ascii="Times New Roman" w:hAnsi="Times New Roman" w:cs="Times New Roman"/>
                <w:bCs/>
                <w:color w:val="000000" w:themeColor="text1"/>
                <w:lang w:val="ro-MD"/>
              </w:rPr>
              <w:t xml:space="preserve"> impactul altor riscuri de model.</w:t>
            </w:r>
            <w:bookmarkEnd w:id="81"/>
          </w:p>
        </w:tc>
        <w:tc>
          <w:tcPr>
            <w:tcW w:w="450" w:type="pct"/>
          </w:tcPr>
          <w:p w14:paraId="47FCD915" w14:textId="5F5EB6DB"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A20E82C"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997CAF" w:rsidRPr="00C011B2" w14:paraId="1F52C41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B75F77A" w14:textId="1A55A08E" w:rsidR="00997CAF" w:rsidRPr="00C011B2" w:rsidRDefault="00997CAF" w:rsidP="00997CAF">
            <w:pPr>
              <w:spacing w:after="0" w:line="276" w:lineRule="auto"/>
              <w:jc w:val="both"/>
              <w:rPr>
                <w:rFonts w:ascii="Times New Roman" w:hAnsi="Times New Roman" w:cs="Times New Roman"/>
                <w:bCs/>
                <w:color w:val="000000" w:themeColor="text1"/>
                <w:lang w:val="ro-MD"/>
              </w:rPr>
            </w:pPr>
            <w:bookmarkStart w:id="82" w:name="_Hlk201652459"/>
            <w:r w:rsidRPr="00C011B2">
              <w:rPr>
                <w:rFonts w:ascii="Times New Roman" w:hAnsi="Times New Roman" w:cs="Times New Roman"/>
                <w:bCs/>
                <w:color w:val="000000" w:themeColor="text1"/>
                <w:lang w:val="ro-MD"/>
              </w:rPr>
              <w:lastRenderedPageBreak/>
              <w:t xml:space="preserve">(12)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cazul utiliz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unor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realizate de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 sau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cazul marc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la model,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verific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este oportun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aplicarea unei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plus,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verific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necesitatea stabilirii de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pentru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mai pu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in lichide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reexamineaz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permanent continuitatea caracterului adecvat al acestora. De asemenea,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evalueaz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explicit necesitatea de a efectua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ale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rilor</w:t>
            </w:r>
          </w:p>
          <w:p w14:paraId="15BA63F0" w14:textId="45299050"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leg</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cu gradul de incertitudine al datelor utilizate pentru parametri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cadrul modelelor.</w:t>
            </w:r>
          </w:p>
        </w:tc>
        <w:tc>
          <w:tcPr>
            <w:tcW w:w="1692" w:type="pct"/>
            <w:shd w:val="clear" w:color="auto" w:fill="auto"/>
          </w:tcPr>
          <w:p w14:paraId="563B0FCC" w14:textId="0E27737B" w:rsidR="00997CAF" w:rsidRPr="00C011B2" w:rsidRDefault="00D05510" w:rsidP="00997CAF">
            <w:pPr>
              <w:spacing w:after="0" w:line="276" w:lineRule="auto"/>
              <w:jc w:val="both"/>
              <w:rPr>
                <w:rFonts w:ascii="Times New Roman" w:hAnsi="Times New Roman" w:cs="Times New Roman"/>
                <w:bCs/>
                <w:color w:val="000000" w:themeColor="text1"/>
                <w:lang w:val="ro-MD"/>
              </w:rPr>
            </w:pPr>
            <w:bookmarkStart w:id="83" w:name="_Hlk201652473"/>
            <w:r w:rsidRPr="00C011B2">
              <w:rPr>
                <w:rFonts w:ascii="Times New Roman" w:hAnsi="Times New Roman" w:cs="Times New Roman"/>
                <w:bCs/>
                <w:color w:val="000000" w:themeColor="text1"/>
                <w:lang w:val="ro-MD"/>
              </w:rPr>
              <w:t>54.</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cazul utiliz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unor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realizate de ter</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 sau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cazul marc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rii la model,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verific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dac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este oportun</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aplicarea unei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a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 xml:space="preserve">n plus,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verific</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necesitatea stabilirii de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pentru pozi</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iile mai pu</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 xml:space="preserve">in lichide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reexamineaz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permanent continuitatea caracterului adecvat al acestora. De asemenea, </w:t>
            </w:r>
            <w:r w:rsidR="00A12FFC"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evalueaz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mod explicit necesitatea de a efectua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ale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rilor</w:t>
            </w:r>
          </w:p>
          <w:p w14:paraId="2A989BD2" w14:textId="32D9DF53"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leg</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tur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cu gradul de incertitudine al datelor utilizate pentru parametri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cadrul modelelor.</w:t>
            </w:r>
            <w:bookmarkEnd w:id="83"/>
          </w:p>
        </w:tc>
        <w:tc>
          <w:tcPr>
            <w:tcW w:w="450" w:type="pct"/>
          </w:tcPr>
          <w:p w14:paraId="3B9E9285" w14:textId="2A886378"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4D67B9E1"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bookmarkEnd w:id="82"/>
      <w:tr w:rsidR="00997CAF" w:rsidRPr="00C011B2" w14:paraId="4420821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08BF8C" w14:textId="72A14B7E" w:rsidR="00997CAF" w:rsidRPr="00C011B2" w:rsidRDefault="00997CAF" w:rsidP="00997CAF">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(13)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ceea ce prive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te produsele complexe care includ expunerile din securitizare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instrumentele derivate de credit de tip </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i/>
                <w:iCs/>
                <w:color w:val="000000" w:themeColor="text1"/>
                <w:lang w:val="ro-MD"/>
              </w:rPr>
              <w:t>n-th-todefault</w:t>
            </w:r>
            <w:r w:rsidRPr="00C011B2">
              <w:rPr>
                <w:rFonts w:ascii="Times New Roman" w:hAnsi="Times New Roman" w:cs="Times New Roman" w:hint="eastAsia"/>
                <w:bCs/>
                <w:color w:val="000000" w:themeColor="text1"/>
                <w:lang w:val="ro-MD"/>
              </w:rPr>
              <w:t>”</w:t>
            </w:r>
            <w:r w:rsidRPr="00C011B2">
              <w:rPr>
                <w:rFonts w:ascii="Times New Roman" w:hAnsi="Times New Roman" w:cs="Times New Roman"/>
                <w:bCs/>
                <w:color w:val="000000" w:themeColor="text1"/>
                <w:lang w:val="ro-MD"/>
              </w:rPr>
              <w:t>(al n-lea caz de nerambursare),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evalueaz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explicit necesitatea unor ajust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 ale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pentru a reflecta riscul de model asociat utiliz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unei metodologii de evaluare care ar putea fi incorect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riscul de model asociat utiliz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modelul de evaluare, a unor parametri de calibrare ce nu pot fi observa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care ar putea fi incorec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w:t>
            </w:r>
          </w:p>
        </w:tc>
        <w:tc>
          <w:tcPr>
            <w:tcW w:w="1692" w:type="pct"/>
            <w:shd w:val="clear" w:color="auto" w:fill="auto"/>
          </w:tcPr>
          <w:p w14:paraId="7DA92902" w14:textId="689720F4" w:rsidR="00997CAF" w:rsidRPr="00C011B2" w:rsidRDefault="00A12FFC" w:rsidP="00997CAF">
            <w:pPr>
              <w:spacing w:after="0" w:line="276" w:lineRule="auto"/>
              <w:jc w:val="both"/>
              <w:rPr>
                <w:rFonts w:ascii="Times New Roman" w:hAnsi="Times New Roman" w:cs="Times New Roman"/>
                <w:bCs/>
                <w:color w:val="000000" w:themeColor="text1"/>
                <w:lang w:val="ro-MD"/>
              </w:rPr>
            </w:pPr>
            <w:bookmarkStart w:id="84" w:name="_Hlk201652936"/>
            <w:r w:rsidRPr="00C011B2">
              <w:rPr>
                <w:rFonts w:ascii="Times New Roman" w:hAnsi="Times New Roman" w:cs="Times New Roman"/>
                <w:bCs/>
                <w:color w:val="000000" w:themeColor="text1"/>
                <w:lang w:val="ro-MD"/>
              </w:rPr>
              <w:t>55.</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ceea ce prive</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te produsele complexe care includ expunerile din securitizare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 xml:space="preserve">i instrumentele derivate de credit de tip </w:t>
            </w:r>
            <w:r w:rsidR="00997CAF" w:rsidRPr="00C011B2">
              <w:rPr>
                <w:rFonts w:ascii="Times New Roman" w:hAnsi="Times New Roman" w:cs="Times New Roman" w:hint="eastAsia"/>
                <w:bCs/>
                <w:color w:val="000000" w:themeColor="text1"/>
                <w:lang w:val="ro-MD"/>
              </w:rPr>
              <w:t>„</w:t>
            </w:r>
            <w:r w:rsidR="00997CAF" w:rsidRPr="00C011B2">
              <w:rPr>
                <w:rFonts w:ascii="Times New Roman" w:hAnsi="Times New Roman" w:cs="Times New Roman"/>
                <w:bCs/>
                <w:i/>
                <w:iCs/>
                <w:color w:val="000000" w:themeColor="text1"/>
                <w:lang w:val="ro-MD"/>
              </w:rPr>
              <w:t>n-th-to</w:t>
            </w:r>
            <w:r w:rsidRPr="00C011B2">
              <w:rPr>
                <w:rFonts w:ascii="Times New Roman" w:hAnsi="Times New Roman" w:cs="Times New Roman"/>
                <w:bCs/>
                <w:i/>
                <w:iCs/>
                <w:color w:val="000000" w:themeColor="text1"/>
                <w:lang w:val="ro-MD"/>
              </w:rPr>
              <w:t xml:space="preserve"> </w:t>
            </w:r>
            <w:r w:rsidR="00997CAF" w:rsidRPr="00C011B2">
              <w:rPr>
                <w:rFonts w:ascii="Times New Roman" w:hAnsi="Times New Roman" w:cs="Times New Roman"/>
                <w:bCs/>
                <w:i/>
                <w:iCs/>
                <w:color w:val="000000" w:themeColor="text1"/>
                <w:lang w:val="ro-MD"/>
              </w:rPr>
              <w:t>default</w:t>
            </w:r>
            <w:r w:rsidR="00997CAF" w:rsidRPr="00C011B2">
              <w:rPr>
                <w:rFonts w:ascii="Times New Roman" w:hAnsi="Times New Roman" w:cs="Times New Roman" w:hint="eastAsia"/>
                <w:bCs/>
                <w:color w:val="000000" w:themeColor="text1"/>
                <w:lang w:val="ro-MD"/>
              </w:rPr>
              <w:t>”</w:t>
            </w:r>
            <w:r w:rsidR="00997CAF" w:rsidRPr="00C011B2">
              <w:rPr>
                <w:rFonts w:ascii="Times New Roman" w:hAnsi="Times New Roman" w:cs="Times New Roman"/>
                <w:bCs/>
                <w:color w:val="000000" w:themeColor="text1"/>
                <w:lang w:val="ro-MD"/>
              </w:rPr>
              <w:t xml:space="preserve">(al n-lea caz de nerambursare), </w:t>
            </w:r>
            <w:r w:rsidRPr="00C011B2">
              <w:rPr>
                <w:rFonts w:ascii="Times New Roman" w:hAnsi="Times New Roman" w:cs="Times New Roman"/>
                <w:bCs/>
                <w:color w:val="000000" w:themeColor="text1"/>
                <w:lang w:val="ro-MD"/>
              </w:rPr>
              <w:t xml:space="preserve">băncile </w:t>
            </w:r>
            <w:r w:rsidR="00997CAF" w:rsidRPr="00C011B2">
              <w:rPr>
                <w:rFonts w:ascii="Times New Roman" w:hAnsi="Times New Roman" w:cs="Times New Roman"/>
                <w:bCs/>
                <w:color w:val="000000" w:themeColor="text1"/>
                <w:lang w:val="ro-MD"/>
              </w:rPr>
              <w:t>evalueaz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mod explicit necesitatea unor ajust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 ale evalu</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pentru a reflecta riscul de model asociat utiliz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rii unei metodologii de evaluare care ar putea fi incorect</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riscul de model asociat utiliz</w:t>
            </w:r>
            <w:r w:rsidR="00997CAF" w:rsidRPr="00C011B2">
              <w:rPr>
                <w:rFonts w:ascii="Times New Roman" w:hAnsi="Times New Roman" w:cs="Times New Roman" w:hint="eastAsia"/>
                <w:bCs/>
                <w:color w:val="000000" w:themeColor="text1"/>
                <w:lang w:val="ro-MD"/>
              </w:rPr>
              <w:t>ă</w:t>
            </w:r>
            <w:r w:rsidR="00997CAF" w:rsidRPr="00C011B2">
              <w:rPr>
                <w:rFonts w:ascii="Times New Roman" w:hAnsi="Times New Roman" w:cs="Times New Roman"/>
                <w:bCs/>
                <w:color w:val="000000" w:themeColor="text1"/>
                <w:lang w:val="ro-MD"/>
              </w:rPr>
              <w:t xml:space="preserve">rii, </w:t>
            </w:r>
            <w:r w:rsidR="00997CAF" w:rsidRPr="00C011B2">
              <w:rPr>
                <w:rFonts w:ascii="Times New Roman" w:hAnsi="Times New Roman" w:cs="Times New Roman" w:hint="eastAsia"/>
                <w:bCs/>
                <w:color w:val="000000" w:themeColor="text1"/>
                <w:lang w:val="ro-MD"/>
              </w:rPr>
              <w:t>î</w:t>
            </w:r>
            <w:r w:rsidR="00997CAF" w:rsidRPr="00C011B2">
              <w:rPr>
                <w:rFonts w:ascii="Times New Roman" w:hAnsi="Times New Roman" w:cs="Times New Roman"/>
                <w:bCs/>
                <w:color w:val="000000" w:themeColor="text1"/>
                <w:lang w:val="ro-MD"/>
              </w:rPr>
              <w:t>n modelul de evaluare, a unor parametri de calibrare ce nu pot fi observa</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 (</w:t>
            </w:r>
            <w:r w:rsidR="00997CAF" w:rsidRPr="00C011B2">
              <w:rPr>
                <w:rFonts w:ascii="Times New Roman" w:hAnsi="Times New Roman" w:cs="Times New Roman" w:hint="eastAsia"/>
                <w:bCs/>
                <w:color w:val="000000" w:themeColor="text1"/>
                <w:lang w:val="ro-MD"/>
              </w:rPr>
              <w:t>ș</w:t>
            </w:r>
            <w:r w:rsidR="00997CAF" w:rsidRPr="00C011B2">
              <w:rPr>
                <w:rFonts w:ascii="Times New Roman" w:hAnsi="Times New Roman" w:cs="Times New Roman"/>
                <w:bCs/>
                <w:color w:val="000000" w:themeColor="text1"/>
                <w:lang w:val="ro-MD"/>
              </w:rPr>
              <w:t>i care ar putea fi incorec</w:t>
            </w:r>
            <w:r w:rsidR="00997CAF" w:rsidRPr="00C011B2">
              <w:rPr>
                <w:rFonts w:ascii="Times New Roman" w:hAnsi="Times New Roman" w:cs="Times New Roman" w:hint="eastAsia"/>
                <w:bCs/>
                <w:color w:val="000000" w:themeColor="text1"/>
                <w:lang w:val="ro-MD"/>
              </w:rPr>
              <w:t>ţ</w:t>
            </w:r>
            <w:r w:rsidR="00997CAF" w:rsidRPr="00C011B2">
              <w:rPr>
                <w:rFonts w:ascii="Times New Roman" w:hAnsi="Times New Roman" w:cs="Times New Roman"/>
                <w:bCs/>
                <w:color w:val="000000" w:themeColor="text1"/>
                <w:lang w:val="ro-MD"/>
              </w:rPr>
              <w:t>i).</w:t>
            </w:r>
            <w:bookmarkEnd w:id="84"/>
          </w:p>
        </w:tc>
        <w:tc>
          <w:tcPr>
            <w:tcW w:w="450" w:type="pct"/>
          </w:tcPr>
          <w:p w14:paraId="5D97390C" w14:textId="419EDD01" w:rsidR="00997CAF" w:rsidRPr="00C011B2" w:rsidRDefault="00A12FFC" w:rsidP="00997CAF">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0D745D00" w14:textId="77777777" w:rsidR="00997CAF" w:rsidRPr="00C011B2" w:rsidRDefault="00997CAF" w:rsidP="00997CAF">
            <w:pPr>
              <w:spacing w:line="276" w:lineRule="auto"/>
              <w:jc w:val="both"/>
              <w:rPr>
                <w:rFonts w:ascii="Times New Roman" w:hAnsi="Times New Roman" w:cs="Times New Roman"/>
                <w:bCs/>
                <w:color w:val="000000" w:themeColor="text1"/>
                <w:lang w:val="ro-MD"/>
              </w:rPr>
            </w:pPr>
          </w:p>
        </w:tc>
      </w:tr>
      <w:tr w:rsidR="00A12FFC" w:rsidRPr="00FA7D23" w14:paraId="41188B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F1CEAC" w14:textId="54988380"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(14) ABE elaboreaz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proiecte de standarde tehnice de reglementare care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precizeze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se aplic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ele de la articolul 105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sensul alineatului (1) de la prezentul articol.</w:t>
            </w:r>
          </w:p>
          <w:p w14:paraId="2206E28F" w14:textId="7A70A69C"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ABE transmite Comisiei aceste proiecte de standarde tehnice de reglementare p</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28 iulie 2013.</w:t>
            </w:r>
          </w:p>
          <w:p w14:paraId="125F5C10" w14:textId="3146EA86"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Se deleag</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Comisiei competen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 de a adopta standardele tehnice de reglementare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primul paragraf,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articolele 10-14 din Regulamentul (UE) nr. 1093/2010.</w:t>
            </w:r>
          </w:p>
        </w:tc>
        <w:tc>
          <w:tcPr>
            <w:tcW w:w="1692" w:type="pct"/>
            <w:shd w:val="clear" w:color="auto" w:fill="auto"/>
          </w:tcPr>
          <w:p w14:paraId="6F5B9924" w14:textId="0109A2F5" w:rsidR="00A12FFC" w:rsidRPr="00C011B2" w:rsidRDefault="00A12FFC" w:rsidP="00A12FFC">
            <w:pPr>
              <w:spacing w:after="0" w:line="276" w:lineRule="auto"/>
              <w:jc w:val="both"/>
              <w:rPr>
                <w:rFonts w:ascii="Times New Roman" w:hAnsi="Times New Roman" w:cs="Times New Roman"/>
                <w:bCs/>
                <w:color w:val="000000" w:themeColor="text1"/>
                <w:lang w:val="ro-MD"/>
              </w:rPr>
            </w:pPr>
          </w:p>
        </w:tc>
        <w:tc>
          <w:tcPr>
            <w:tcW w:w="450" w:type="pct"/>
          </w:tcPr>
          <w:p w14:paraId="280EF749" w14:textId="1522A0E9" w:rsidR="00A12FFC" w:rsidRPr="00C011B2" w:rsidRDefault="00A12FFC"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61317313" w14:textId="1DE6A1A1" w:rsidR="00A12FFC" w:rsidRPr="00C011B2" w:rsidRDefault="00A12FFC"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Alin.(14) stabilește obligații pentru autorități europene – Autoritatea Bancară Europeană.</w:t>
            </w:r>
          </w:p>
        </w:tc>
      </w:tr>
      <w:tr w:rsidR="00A12FFC" w:rsidRPr="00C011B2" w14:paraId="1FFB935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DD4286B" w14:textId="77777777" w:rsidR="00A12FFC" w:rsidRPr="00C011B2" w:rsidRDefault="00A12FFC" w:rsidP="00A12FF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106</w:t>
            </w:r>
          </w:p>
          <w:p w14:paraId="2EBB0928" w14:textId="4F1F7965"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Acoperiri interne</w:t>
            </w:r>
          </w:p>
        </w:tc>
        <w:tc>
          <w:tcPr>
            <w:tcW w:w="1692" w:type="pct"/>
            <w:shd w:val="clear" w:color="auto" w:fill="auto"/>
          </w:tcPr>
          <w:p w14:paraId="5FC6C078" w14:textId="69BD4B85" w:rsidR="00A12FFC" w:rsidRPr="00C011B2" w:rsidRDefault="004B6B32" w:rsidP="00A12FFC">
            <w:pPr>
              <w:spacing w:after="0" w:line="276" w:lineRule="auto"/>
              <w:jc w:val="both"/>
              <w:rPr>
                <w:rFonts w:ascii="Times New Roman" w:hAnsi="Times New Roman" w:cs="Times New Roman"/>
                <w:bCs/>
                <w:i/>
                <w:iCs/>
                <w:color w:val="000000" w:themeColor="text1"/>
                <w:lang w:val="ro-MD"/>
              </w:rPr>
            </w:pPr>
            <w:bookmarkStart w:id="85" w:name="_Hlk201653154"/>
            <w:r w:rsidRPr="00C011B2">
              <w:rPr>
                <w:rFonts w:ascii="Times New Roman" w:hAnsi="Times New Roman" w:cs="Times New Roman"/>
                <w:bCs/>
                <w:i/>
                <w:iCs/>
                <w:color w:val="000000" w:themeColor="text1"/>
                <w:lang w:val="ro-MD"/>
              </w:rPr>
              <w:t>Secțiunea 8</w:t>
            </w:r>
          </w:p>
          <w:p w14:paraId="585AFEA6" w14:textId="66D29FC5"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Acoperiri interne</w:t>
            </w:r>
            <w:bookmarkEnd w:id="85"/>
          </w:p>
        </w:tc>
        <w:tc>
          <w:tcPr>
            <w:tcW w:w="450" w:type="pct"/>
          </w:tcPr>
          <w:p w14:paraId="35E80C35"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c>
          <w:tcPr>
            <w:tcW w:w="1261" w:type="pct"/>
          </w:tcPr>
          <w:p w14:paraId="2229284B"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36FC5A0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ACE427"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(1) O acoperire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respect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spe</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w:t>
            </w:r>
          </w:p>
          <w:p w14:paraId="65A7F6D1" w14:textId="32E68844"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nu este destinat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principal evit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sau reducerii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w:t>
            </w:r>
          </w:p>
          <w:p w14:paraId="5EAEF818"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este documentat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corespunz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tor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este supus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unor proceduri interne speciale de aprobare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de audit;</w:t>
            </w:r>
          </w:p>
          <w:p w14:paraId="38BEA278"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se efectueaz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pie</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ei;</w:t>
            </w:r>
          </w:p>
          <w:p w14:paraId="30251ECB" w14:textId="3A4FB67F"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generat de acoperirea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este administrat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mod dinamic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limitele autorizate;</w:t>
            </w:r>
          </w:p>
          <w:p w14:paraId="793A4FFC" w14:textId="1B1B2226"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(e) este atent monitorizat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proceduri adecvate.</w:t>
            </w:r>
          </w:p>
        </w:tc>
        <w:tc>
          <w:tcPr>
            <w:tcW w:w="1692" w:type="pct"/>
            <w:shd w:val="clear" w:color="auto" w:fill="auto"/>
          </w:tcPr>
          <w:p w14:paraId="39484326" w14:textId="1E072834" w:rsidR="00A12FFC" w:rsidRPr="00C011B2" w:rsidRDefault="004B6B32" w:rsidP="00A12FFC">
            <w:pPr>
              <w:spacing w:after="0" w:line="276" w:lineRule="auto"/>
              <w:jc w:val="both"/>
              <w:rPr>
                <w:rFonts w:ascii="Times New Roman" w:hAnsi="Times New Roman" w:cs="Times New Roman"/>
                <w:bCs/>
                <w:color w:val="000000" w:themeColor="text1"/>
                <w:lang w:val="ro-MD"/>
              </w:rPr>
            </w:pPr>
            <w:bookmarkStart w:id="86" w:name="_Hlk201653276"/>
            <w:r w:rsidRPr="00C011B2">
              <w:rPr>
                <w:rFonts w:ascii="Times New Roman" w:hAnsi="Times New Roman" w:cs="Times New Roman"/>
                <w:bCs/>
                <w:color w:val="000000" w:themeColor="text1"/>
                <w:lang w:val="ro-MD"/>
              </w:rPr>
              <w:t>56.</w:t>
            </w:r>
            <w:r w:rsidR="00A12FFC" w:rsidRPr="00C011B2">
              <w:rPr>
                <w:rFonts w:ascii="Times New Roman" w:hAnsi="Times New Roman" w:cs="Times New Roman"/>
                <w:bCs/>
                <w:color w:val="000000" w:themeColor="text1"/>
                <w:lang w:val="ro-MD"/>
              </w:rPr>
              <w:t xml:space="preserve"> O acoperire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respect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spe</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urm</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toarele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w:t>
            </w:r>
          </w:p>
          <w:p w14:paraId="2444E8F1" w14:textId="139E0DA3" w:rsidR="00A12FFC" w:rsidRPr="00C011B2" w:rsidRDefault="004B6B3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56.1.</w:t>
            </w:r>
            <w:r w:rsidR="00A12FFC" w:rsidRPr="00C011B2">
              <w:rPr>
                <w:rFonts w:ascii="Times New Roman" w:hAnsi="Times New Roman" w:cs="Times New Roman"/>
                <w:bCs/>
                <w:color w:val="000000" w:themeColor="text1"/>
                <w:lang w:val="ro-MD"/>
              </w:rPr>
              <w:t xml:space="preserve"> nu este destinat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principal evit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sau reducerii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de fonduri proprii;</w:t>
            </w:r>
          </w:p>
          <w:p w14:paraId="02A91AC1" w14:textId="317DE947" w:rsidR="00A12FFC" w:rsidRPr="00C011B2" w:rsidRDefault="004B6B3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56.2.</w:t>
            </w:r>
            <w:r w:rsidR="00A12FFC" w:rsidRPr="00C011B2">
              <w:rPr>
                <w:rFonts w:ascii="Times New Roman" w:hAnsi="Times New Roman" w:cs="Times New Roman"/>
                <w:bCs/>
                <w:color w:val="000000" w:themeColor="text1"/>
                <w:lang w:val="ro-MD"/>
              </w:rPr>
              <w:t xml:space="preserve"> este documentat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corespunz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tor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este supus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unor proceduri interne speciale de aprobare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de audit;</w:t>
            </w:r>
          </w:p>
          <w:p w14:paraId="2C74103E" w14:textId="466B1213" w:rsidR="00A12FFC" w:rsidRPr="00C011B2" w:rsidRDefault="004B6B3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56.3.</w:t>
            </w:r>
            <w:r w:rsidR="00A12FFC" w:rsidRPr="00C011B2">
              <w:rPr>
                <w:rFonts w:ascii="Times New Roman" w:hAnsi="Times New Roman" w:cs="Times New Roman"/>
                <w:bCs/>
                <w:color w:val="000000" w:themeColor="text1"/>
                <w:lang w:val="ro-MD"/>
              </w:rPr>
              <w:t xml:space="preserve"> se efectueaz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iile pie</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ei;</w:t>
            </w:r>
          </w:p>
          <w:p w14:paraId="7B9FE1DB" w14:textId="14A12F1B" w:rsidR="00A12FFC" w:rsidRPr="00C011B2" w:rsidRDefault="004B6B3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56.4.</w:t>
            </w:r>
            <w:r w:rsidR="00A12FFC" w:rsidRPr="00C011B2">
              <w:rPr>
                <w:rFonts w:ascii="Times New Roman" w:hAnsi="Times New Roman" w:cs="Times New Roman"/>
                <w:bCs/>
                <w:color w:val="000000" w:themeColor="text1"/>
                <w:lang w:val="ro-MD"/>
              </w:rPr>
              <w:t xml:space="preserve">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generat de acoperirea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este administrat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mod dinamic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limitele autorizate;</w:t>
            </w:r>
          </w:p>
          <w:p w14:paraId="4D1B601F" w14:textId="0698EE3D" w:rsidR="00A12FFC" w:rsidRPr="00C011B2" w:rsidRDefault="004B6B3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56.5.</w:t>
            </w:r>
            <w:r w:rsidR="00A12FFC" w:rsidRPr="00C011B2">
              <w:rPr>
                <w:rFonts w:ascii="Times New Roman" w:hAnsi="Times New Roman" w:cs="Times New Roman"/>
                <w:bCs/>
                <w:color w:val="000000" w:themeColor="text1"/>
                <w:lang w:val="ro-MD"/>
              </w:rPr>
              <w:t xml:space="preserve"> este atent monitorizat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conformitate cu proceduri adecvate.</w:t>
            </w:r>
            <w:bookmarkEnd w:id="86"/>
          </w:p>
        </w:tc>
        <w:tc>
          <w:tcPr>
            <w:tcW w:w="450" w:type="pct"/>
          </w:tcPr>
          <w:p w14:paraId="2E435C8E" w14:textId="47B7DE75" w:rsidR="00A12FFC" w:rsidRPr="00C011B2" w:rsidRDefault="004B6B32"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9427E83"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61FD62F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921E28E" w14:textId="77777777"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70A0E699" w14:textId="7B5837C1"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(2)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alineatul (1) se aplic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aduce atingere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aplicabile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acoperite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sau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dup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caz.</w:t>
            </w:r>
          </w:p>
        </w:tc>
        <w:tc>
          <w:tcPr>
            <w:tcW w:w="1692" w:type="pct"/>
            <w:shd w:val="clear" w:color="auto" w:fill="auto"/>
          </w:tcPr>
          <w:p w14:paraId="67BB7FAE" w14:textId="67CE3AA8" w:rsidR="00A12FFC" w:rsidRPr="00C011B2" w:rsidRDefault="004B6B32" w:rsidP="00A12FFC">
            <w:pPr>
              <w:spacing w:after="0" w:line="276" w:lineRule="auto"/>
              <w:jc w:val="both"/>
              <w:rPr>
                <w:rFonts w:ascii="Times New Roman" w:hAnsi="Times New Roman" w:cs="Times New Roman"/>
                <w:bCs/>
                <w:color w:val="000000" w:themeColor="text1"/>
                <w:lang w:val="ro-MD"/>
              </w:rPr>
            </w:pPr>
            <w:bookmarkStart w:id="87" w:name="_Hlk201653492"/>
            <w:r w:rsidRPr="00C011B2">
              <w:rPr>
                <w:rFonts w:ascii="Times New Roman" w:hAnsi="Times New Roman" w:cs="Times New Roman"/>
                <w:bCs/>
                <w:color w:val="000000" w:themeColor="text1"/>
                <w:lang w:val="ro-MD"/>
              </w:rPr>
              <w:t>57.</w:t>
            </w:r>
            <w:r w:rsidR="00A12FFC" w:rsidRPr="00C011B2">
              <w:rPr>
                <w:rFonts w:ascii="Times New Roman" w:hAnsi="Times New Roman" w:cs="Times New Roman"/>
                <w:bCs/>
                <w:color w:val="000000" w:themeColor="text1"/>
                <w:lang w:val="ro-MD"/>
              </w:rPr>
              <w:t xml:space="preserv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Pr="00C011B2">
              <w:rPr>
                <w:rFonts w:ascii="Times New Roman" w:hAnsi="Times New Roman" w:cs="Times New Roman"/>
                <w:bCs/>
                <w:color w:val="000000" w:themeColor="text1"/>
                <w:lang w:val="ro-MD"/>
              </w:rPr>
              <w:t>pct.56</w:t>
            </w:r>
            <w:r w:rsidR="00A12FFC" w:rsidRPr="00C011B2">
              <w:rPr>
                <w:rFonts w:ascii="Times New Roman" w:hAnsi="Times New Roman" w:cs="Times New Roman"/>
                <w:bCs/>
                <w:color w:val="000000" w:themeColor="text1"/>
                <w:lang w:val="ro-MD"/>
              </w:rPr>
              <w:t xml:space="preserve"> se aplic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f</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aduce atingere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aplicabile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iei acoperite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sau din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dup</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caz.</w:t>
            </w:r>
            <w:bookmarkEnd w:id="87"/>
          </w:p>
        </w:tc>
        <w:tc>
          <w:tcPr>
            <w:tcW w:w="450" w:type="pct"/>
          </w:tcPr>
          <w:p w14:paraId="1F1E190B" w14:textId="3807DC50"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0B384E0"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6E89AC2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AA4CB0" w14:textId="77777777"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▼M17</w:t>
            </w:r>
          </w:p>
          <w:p w14:paraId="4B28A10A" w14:textId="5040E88A"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(3)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expunere la riscul de credit sau o expunere la riscul de contraparte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nd un instrument financiar derivat de credit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nregistrat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aceast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instrumentul financiar derivat de credit este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 acoperire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expunerii la riscul de credit sau a expunerii la riscul de contraparte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cuantumurilor expunerilor ponderate la risc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articolul 92 alineatul (4) litera (a)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ncheie o alt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cu instrumente financiare derivate de credit cu un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 furnizor de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eligibil care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privind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nefinan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creditului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compenseaz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perfect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acoperirii interne.</w:t>
            </w:r>
          </w:p>
          <w:p w14:paraId="2CD9A1BC" w14:textId="32C3C3B2"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At</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acoperirea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riscului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primul paragraf,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t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instrumentul financiar derivat de credit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ncheiat cu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 furnizor de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eligibil se includ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lastRenderedPageBreak/>
              <w:t>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abordarea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325 alineatul (1) litera (b), ambele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se atribuie aceluia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gestioneaz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riscuri similare.</w:t>
            </w:r>
          </w:p>
        </w:tc>
        <w:tc>
          <w:tcPr>
            <w:tcW w:w="1692" w:type="pct"/>
            <w:shd w:val="clear" w:color="auto" w:fill="auto"/>
          </w:tcPr>
          <w:p w14:paraId="1AEBD3E7" w14:textId="3453F356" w:rsidR="00A12FFC" w:rsidRPr="00C011B2" w:rsidRDefault="004B6B32" w:rsidP="00A12FFC">
            <w:pPr>
              <w:spacing w:after="0" w:line="276" w:lineRule="auto"/>
              <w:jc w:val="both"/>
              <w:rPr>
                <w:rFonts w:ascii="Times New Roman" w:hAnsi="Times New Roman" w:cs="Times New Roman"/>
                <w:bCs/>
                <w:color w:val="000000" w:themeColor="text1"/>
                <w:lang w:val="ro-MD"/>
              </w:rPr>
            </w:pPr>
            <w:bookmarkStart w:id="88" w:name="_Hlk201654648"/>
            <w:r w:rsidRPr="00C011B2">
              <w:rPr>
                <w:rFonts w:ascii="Times New Roman" w:hAnsi="Times New Roman" w:cs="Times New Roman"/>
                <w:bCs/>
                <w:color w:val="000000" w:themeColor="text1"/>
                <w:lang w:val="ro-MD"/>
              </w:rPr>
              <w:lastRenderedPageBreak/>
              <w:t>58.</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care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acoper</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o expunere la riscul de credit sau o expunere la riscul de contraparte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nd un instrument financiar derivat de credit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nregistrat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aceast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pe instrumentul financiar derivat de credit este recunoscut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ca acoperire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expunerii la riscul de credit sau a expunerii la riscul de contraparte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calcul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cuantumurilor expunerilor ponderate la risc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ionate la </w:t>
            </w:r>
            <w:r w:rsidR="00827712" w:rsidRPr="00C011B2">
              <w:rPr>
                <w:rFonts w:ascii="Times New Roman" w:hAnsi="Times New Roman" w:cs="Times New Roman"/>
                <w:bCs/>
                <w:color w:val="000000" w:themeColor="text1"/>
                <w:lang w:val="ro-MD"/>
              </w:rPr>
              <w:t xml:space="preserve">pct.130, subpct.1) din Regulamentul nr.109/2018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care </w:t>
            </w:r>
            <w:r w:rsidR="00827712"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ncheie o alt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cu instrumente financiare derivate de credit cu un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 furnizor de protec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ie eligibil care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ndepline</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te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privind protec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nefinan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creditului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compenseaz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perfect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al acoperirii interne.</w:t>
            </w:r>
          </w:p>
          <w:p w14:paraId="341E74AD" w14:textId="597AABCA" w:rsidR="00A12FFC" w:rsidRPr="00C011B2" w:rsidRDefault="0082771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59. </w:t>
            </w:r>
            <w:r w:rsidR="00A12FFC" w:rsidRPr="00C011B2">
              <w:rPr>
                <w:rFonts w:ascii="Times New Roman" w:hAnsi="Times New Roman" w:cs="Times New Roman"/>
                <w:bCs/>
                <w:color w:val="000000" w:themeColor="text1"/>
                <w:lang w:val="ro-MD"/>
              </w:rPr>
              <w:t>At</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t acoperirea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riscului recunoscut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pct.58</w:t>
            </w:r>
            <w:r w:rsidR="00A12FFC" w:rsidRPr="00C011B2">
              <w:rPr>
                <w:rFonts w:ascii="Times New Roman" w:hAnsi="Times New Roman" w:cs="Times New Roman"/>
                <w:bCs/>
                <w:color w:val="000000" w:themeColor="text1"/>
                <w:lang w:val="ro-MD"/>
              </w:rPr>
              <w:t>, c</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t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 xml:space="preserve">i instrumentul financiar derivat de credit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ncheiat cu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ul furnizor de protec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ie eligibil se includ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calcul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calcul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nd abordarea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la </w:t>
            </w:r>
            <w:r w:rsidR="00A874D4" w:rsidRPr="00C011B2">
              <w:rPr>
                <w:rFonts w:ascii="Times New Roman" w:hAnsi="Times New Roman" w:cs="Times New Roman"/>
                <w:bCs/>
                <w:color w:val="000000" w:themeColor="text1"/>
                <w:lang w:val="ro-RO"/>
              </w:rPr>
              <w:t>subpct.69.2</w:t>
            </w:r>
            <w:r w:rsidR="00A12FFC" w:rsidRPr="00C011B2">
              <w:rPr>
                <w:rFonts w:ascii="Times New Roman" w:hAnsi="Times New Roman" w:cs="Times New Roman"/>
                <w:bCs/>
                <w:color w:val="000000" w:themeColor="text1"/>
                <w:lang w:val="ro-MD"/>
              </w:rPr>
              <w:t>, ambele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se atribuie aceluia</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birou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care gestioneaz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riscuri similare.</w:t>
            </w:r>
            <w:bookmarkEnd w:id="88"/>
          </w:p>
        </w:tc>
        <w:tc>
          <w:tcPr>
            <w:tcW w:w="450" w:type="pct"/>
          </w:tcPr>
          <w:p w14:paraId="0F6EE05A" w14:textId="224A74B7"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2BA18575"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72C52DB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5BF8CF7" w14:textId="54260002"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(4)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expunere la riscul privind titlurile de capital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nd un instrument financiar derivat pe titluri de capital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nregistrat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aceast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pe instrumentul financiar derivat pe titluri de capital este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 acoperire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expunerii la riscul privind titlurile de capital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cuantumurilor expunerilor ponderate la risc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articolul 92 alineatul (4) litera (a)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ncheie o alt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cu instrumente financiare derivate pe</w:t>
            </w:r>
          </w:p>
          <w:p w14:paraId="2B4B7CB5" w14:textId="15E631C0"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titluri de capital cu un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 furnizor de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eligibil care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privind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nefinan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creditului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compenseaz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perfect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acoperirii interne.</w:t>
            </w:r>
          </w:p>
          <w:p w14:paraId="1EE0478D" w14:textId="02AD61DF"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At</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acoperirea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riscului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primul paragraf din prezentul alineat,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t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instrumentul financiar derivat pe titluri de capital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ncheiat cu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ul furnizor de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eligibil se includ</w:t>
            </w:r>
          </w:p>
          <w:p w14:paraId="67204CCB" w14:textId="7C83893E"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lastRenderedPageBreak/>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abordarea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325 alineatul (1) litera (b), ambele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se atribuie aceluia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gestioneaz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riscuri similare.</w:t>
            </w:r>
          </w:p>
        </w:tc>
        <w:tc>
          <w:tcPr>
            <w:tcW w:w="1692" w:type="pct"/>
            <w:shd w:val="clear" w:color="auto" w:fill="auto"/>
          </w:tcPr>
          <w:p w14:paraId="2C870943" w14:textId="4FCB1228" w:rsidR="00A12FFC" w:rsidRPr="00C011B2" w:rsidRDefault="00B87D7D" w:rsidP="00A12FFC">
            <w:pPr>
              <w:spacing w:after="0" w:line="276" w:lineRule="auto"/>
              <w:jc w:val="both"/>
              <w:rPr>
                <w:rFonts w:ascii="Times New Roman" w:hAnsi="Times New Roman" w:cs="Times New Roman"/>
                <w:bCs/>
                <w:color w:val="000000" w:themeColor="text1"/>
                <w:lang w:val="ro-MD"/>
              </w:rPr>
            </w:pPr>
            <w:bookmarkStart w:id="89" w:name="_Hlk201654850"/>
            <w:r w:rsidRPr="00C011B2">
              <w:rPr>
                <w:rFonts w:ascii="Times New Roman" w:hAnsi="Times New Roman" w:cs="Times New Roman"/>
                <w:bCs/>
                <w:color w:val="000000" w:themeColor="text1"/>
                <w:lang w:val="ro-MD"/>
              </w:rPr>
              <w:lastRenderedPageBreak/>
              <w:t>60.</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care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acoper</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o expunere la riscul privind titlurile de capital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nd un instrument financiar derivat pe titluri de capital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nregistrat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aceast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pe instrumentul financiar derivat pe titluri de capital este recunoscut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ca acoperire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expunerii la riscul privind titlurile de capital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calcul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cuantumurilor expunerilor ponderate la risc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pct.130, subpct.1) din Regulamentul nr.109/2018</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care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ncheie o alt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cu instrumente financiare derivate pe</w:t>
            </w:r>
          </w:p>
          <w:p w14:paraId="537B128D"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titluri de capital cu un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 furnizor de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 eligibil care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te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privind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nefinan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creditului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compenseaz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perfect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acoperirii interne.</w:t>
            </w:r>
          </w:p>
          <w:p w14:paraId="33838271" w14:textId="5FE87DE3" w:rsidR="00A12FFC" w:rsidRPr="00C011B2" w:rsidRDefault="00B87D7D"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61. </w:t>
            </w:r>
            <w:r w:rsidR="00A12FFC" w:rsidRPr="00C011B2">
              <w:rPr>
                <w:rFonts w:ascii="Times New Roman" w:hAnsi="Times New Roman" w:cs="Times New Roman"/>
                <w:bCs/>
                <w:color w:val="000000" w:themeColor="text1"/>
                <w:lang w:val="ro-MD"/>
              </w:rPr>
              <w:t>At</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t acoperirea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riscului recunoscut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pct.60</w:t>
            </w:r>
            <w:r w:rsidR="00A12FFC" w:rsidRPr="00C011B2">
              <w:rPr>
                <w:rFonts w:ascii="Times New Roman" w:hAnsi="Times New Roman" w:cs="Times New Roman"/>
                <w:bCs/>
                <w:color w:val="000000" w:themeColor="text1"/>
                <w:lang w:val="ro-MD"/>
              </w:rPr>
              <w:t>, c</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t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 xml:space="preserve">i instrumentul financiar derivat pe titluri de capital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ncheiat cu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ul furnizor de protec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eligibil se includ</w:t>
            </w:r>
          </w:p>
          <w:p w14:paraId="5D2EFCEF" w14:textId="753266C5"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hint="eastAsia"/>
                <w:bCs/>
                <w:color w:val="000000" w:themeColor="text1"/>
                <w:lang w:val="ro-MD"/>
              </w:rPr>
              <w:lastRenderedPageBreak/>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abordarea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w:t>
            </w:r>
            <w:r w:rsidR="00A874D4" w:rsidRPr="00C011B2">
              <w:rPr>
                <w:rFonts w:ascii="Times New Roman" w:hAnsi="Times New Roman" w:cs="Times New Roman"/>
                <w:bCs/>
                <w:color w:val="000000" w:themeColor="text1"/>
                <w:lang w:val="ro-RO"/>
              </w:rPr>
              <w:t>subpct.69.2</w:t>
            </w:r>
            <w:r w:rsidRPr="00C011B2">
              <w:rPr>
                <w:rFonts w:ascii="Times New Roman" w:hAnsi="Times New Roman" w:cs="Times New Roman"/>
                <w:bCs/>
                <w:color w:val="000000" w:themeColor="text1"/>
                <w:lang w:val="ro-MD"/>
              </w:rPr>
              <w:t>, ambele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se atribuie aceluia</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gestioneaz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riscuri similare.</w:t>
            </w:r>
            <w:bookmarkEnd w:id="89"/>
          </w:p>
        </w:tc>
        <w:tc>
          <w:tcPr>
            <w:tcW w:w="450" w:type="pct"/>
          </w:tcPr>
          <w:p w14:paraId="6EAA39F5" w14:textId="0608FCA3"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137E63BE"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24F785A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466ACFD" w14:textId="77B2CC3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(4a)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sensul alineatelor (3)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(4),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cu instrumente financiare derivate de credit sau pe titluri de capital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ncheiat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poate fi compus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din mai multe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cu mai mul</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furnizori de protec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eligibili, cu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agregat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rezultat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ndeplineasc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alineatele respective.</w:t>
            </w:r>
          </w:p>
        </w:tc>
        <w:tc>
          <w:tcPr>
            <w:tcW w:w="1692" w:type="pct"/>
            <w:shd w:val="clear" w:color="auto" w:fill="auto"/>
          </w:tcPr>
          <w:p w14:paraId="6207381B" w14:textId="3983EFE0" w:rsidR="00A12FFC" w:rsidRPr="00C011B2" w:rsidRDefault="00B87D7D" w:rsidP="00A12FFC">
            <w:pPr>
              <w:spacing w:after="0" w:line="276" w:lineRule="auto"/>
              <w:jc w:val="both"/>
              <w:rPr>
                <w:rFonts w:ascii="Times New Roman" w:hAnsi="Times New Roman" w:cs="Times New Roman"/>
                <w:bCs/>
                <w:color w:val="000000" w:themeColor="text1"/>
                <w:lang w:val="ro-MD"/>
              </w:rPr>
            </w:pPr>
            <w:bookmarkStart w:id="90" w:name="_Hlk201654989"/>
            <w:r w:rsidRPr="00C011B2">
              <w:rPr>
                <w:rFonts w:ascii="Times New Roman" w:hAnsi="Times New Roman" w:cs="Times New Roman"/>
                <w:bCs/>
                <w:color w:val="000000" w:themeColor="text1"/>
                <w:lang w:val="ro-MD"/>
              </w:rPr>
              <w:t>62.</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sensul</w:t>
            </w:r>
            <w:r w:rsidR="00C80930"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pct.59-61</w:t>
            </w:r>
            <w:r w:rsidR="00A12FFC" w:rsidRPr="00C011B2">
              <w:rPr>
                <w:rFonts w:ascii="Times New Roman" w:hAnsi="Times New Roman" w:cs="Times New Roman"/>
                <w:bCs/>
                <w:color w:val="000000" w:themeColor="text1"/>
                <w:lang w:val="ro-MD"/>
              </w:rPr>
              <w:t>,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ia cu instrumente financiare derivate de credit sau pe titluri de capital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ncheiat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de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poate fi compus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din mai multe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cu mai mul</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 furnizori de protec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eligibili, cu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ca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agregat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rezultat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ndeplineasc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Pr="00C011B2">
              <w:rPr>
                <w:rFonts w:ascii="Times New Roman" w:hAnsi="Times New Roman" w:cs="Times New Roman"/>
                <w:bCs/>
                <w:color w:val="000000" w:themeColor="text1"/>
                <w:lang w:val="ro-MD"/>
              </w:rPr>
              <w:t xml:space="preserve">punctele </w:t>
            </w:r>
            <w:r w:rsidR="00A12FFC" w:rsidRPr="00C011B2">
              <w:rPr>
                <w:rFonts w:ascii="Times New Roman" w:hAnsi="Times New Roman" w:cs="Times New Roman"/>
                <w:bCs/>
                <w:color w:val="000000" w:themeColor="text1"/>
                <w:lang w:val="ro-MD"/>
              </w:rPr>
              <w:t>respective.</w:t>
            </w:r>
            <w:bookmarkEnd w:id="90"/>
          </w:p>
        </w:tc>
        <w:tc>
          <w:tcPr>
            <w:tcW w:w="450" w:type="pct"/>
          </w:tcPr>
          <w:p w14:paraId="4A00479D" w14:textId="75C858D5"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07C829C8"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597A0A1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95E2FF6"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▼M17</w:t>
            </w:r>
            <w:r w:rsidRPr="00C011B2">
              <w:rPr>
                <w:rFonts w:ascii="Times New Roman" w:hAnsi="Times New Roman" w:cs="Times New Roman"/>
                <w:bCs/>
                <w:color w:val="000000" w:themeColor="text1"/>
                <w:lang w:val="ro-MD"/>
              </w:rPr>
              <w:t xml:space="preserve"> </w:t>
            </w:r>
          </w:p>
          <w:p w14:paraId="08C2DB19" w14:textId="7C332209"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(5)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expuneri la riscul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o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nzii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nregistrat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aceast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este considerat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fi o acoperire intern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riscului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rezultat din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articolele 84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98 din Directiva 2013/36/UE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ndeplinite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w:t>
            </w:r>
          </w:p>
          <w:p w14:paraId="7A731835" w14:textId="7CC3AA40"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(a) pentru a calcula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abord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articolul 325 alineatul (1) literele (a), (b)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 fost atribuit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unui portofoliu distinct de celelalte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rui strategie de afaceri este dedicat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exclusiv gestion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w:t>
            </w:r>
          </w:p>
          <w:p w14:paraId="134AD72E" w14:textId="0A0289CB"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diminu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riscului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aferent acoperirilor interne ale expunerii la riscul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w:t>
            </w:r>
          </w:p>
          <w:p w14:paraId="66523D9E" w14:textId="4F4729B0"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pentru a calcula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nd abordarea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articolul 325 alineatul (1) litera (b),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 fost atribuit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unui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 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rui strategie de afaceri este dedicat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exclusiv gestion</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rii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diminu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riscului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aferent acoperirilor interne ale expunerii la riscul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w:t>
            </w:r>
          </w:p>
          <w:p w14:paraId="102329E5" w14:textId="5063FF6F"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ia a documentat pe deplin modul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diminueaz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riscul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rezultat din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articolele 84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98 din Directiva 2013/36/UE.</w:t>
            </w:r>
          </w:p>
        </w:tc>
        <w:tc>
          <w:tcPr>
            <w:tcW w:w="1692" w:type="pct"/>
            <w:shd w:val="clear" w:color="auto" w:fill="auto"/>
          </w:tcPr>
          <w:p w14:paraId="5B3FEED8" w14:textId="7A4CBD30" w:rsidR="00A12FFC" w:rsidRPr="00C011B2" w:rsidRDefault="00C80930" w:rsidP="00A12FFC">
            <w:pPr>
              <w:spacing w:after="0" w:line="276" w:lineRule="auto"/>
              <w:jc w:val="both"/>
              <w:rPr>
                <w:rFonts w:ascii="Times New Roman" w:hAnsi="Times New Roman" w:cs="Times New Roman"/>
                <w:bCs/>
                <w:color w:val="000000" w:themeColor="text1"/>
                <w:lang w:val="ro-MD"/>
              </w:rPr>
            </w:pPr>
            <w:bookmarkStart w:id="91" w:name="_Hlk201673116"/>
            <w:r w:rsidRPr="00C011B2">
              <w:rPr>
                <w:rFonts w:ascii="Times New Roman" w:hAnsi="Times New Roman" w:cs="Times New Roman"/>
                <w:bCs/>
                <w:color w:val="000000" w:themeColor="text1"/>
                <w:lang w:val="ro-MD"/>
              </w:rPr>
              <w:lastRenderedPageBreak/>
              <w:t>63.</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care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acoper</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expuneri la riscul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nd o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nzii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nregistrat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aceast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ie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este considerat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fi o acoperire intern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evalu</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riscului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rezultat din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conformitate cu </w:t>
            </w:r>
            <w:r w:rsidR="00AF62AF" w:rsidRPr="00C011B2">
              <w:rPr>
                <w:rFonts w:ascii="Times New Roman" w:hAnsi="Times New Roman" w:cs="Times New Roman"/>
                <w:bCs/>
                <w:color w:val="000000" w:themeColor="text1"/>
                <w:lang w:val="ro-MD"/>
              </w:rPr>
              <w:t>titlul V capitolul II secțiunea 5 din Regulamentul privind cadrul de administrare a activităţii băncilor, aprobat prin HCE al BNM nr.322/2018</w:t>
            </w:r>
            <w:r w:rsidR="00CE1282" w:rsidRPr="00C011B2">
              <w:rPr>
                <w:rFonts w:ascii="Times New Roman" w:hAnsi="Times New Roman" w:cs="Times New Roman"/>
                <w:bCs/>
                <w:color w:val="000000" w:themeColor="text1"/>
                <w:lang w:val="ro-MD"/>
              </w:rPr>
              <w:t xml:space="preserve"> </w:t>
            </w:r>
            <w:r w:rsidR="00AF62AF" w:rsidRPr="00C011B2">
              <w:rPr>
                <w:rFonts w:ascii="Times New Roman" w:hAnsi="Times New Roman" w:cs="Times New Roman"/>
                <w:bCs/>
                <w:color w:val="000000" w:themeColor="text1"/>
                <w:lang w:val="ro-MD"/>
              </w:rPr>
              <w:t xml:space="preserve">și </w:t>
            </w:r>
            <w:r w:rsidR="00CE1282" w:rsidRPr="00C011B2">
              <w:rPr>
                <w:rFonts w:ascii="Times New Roman" w:hAnsi="Times New Roman" w:cs="Times New Roman"/>
                <w:bCs/>
                <w:color w:val="000000" w:themeColor="text1"/>
                <w:lang w:val="ro-MD"/>
              </w:rPr>
              <w:t xml:space="preserve">art.101 </w:t>
            </w:r>
            <w:r w:rsidR="00CE1282" w:rsidRPr="00C011B2">
              <w:rPr>
                <w:rFonts w:ascii="Times New Roman" w:hAnsi="Times New Roman" w:cs="Times New Roman"/>
                <w:bCs/>
                <w:color w:val="000000" w:themeColor="text1"/>
                <w:lang w:val="ro-MD"/>
              </w:rPr>
              <w:lastRenderedPageBreak/>
              <w:t>din Legea nr.202/2017</w:t>
            </w:r>
            <w:r w:rsidR="00A12FFC" w:rsidRPr="00C011B2">
              <w:rPr>
                <w:rFonts w:ascii="Times New Roman" w:hAnsi="Times New Roman" w:cs="Times New Roman"/>
                <w:bCs/>
                <w:color w:val="000000" w:themeColor="text1"/>
                <w:lang w:val="ro-MD"/>
              </w:rPr>
              <w:t xml:space="preserve"> dac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sunt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ndeplinite urm</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toarele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w:t>
            </w:r>
          </w:p>
          <w:p w14:paraId="3EBABF18" w14:textId="615EFC9D" w:rsidR="00A12FFC" w:rsidRPr="00C011B2" w:rsidRDefault="00CE128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63.1.</w:t>
            </w:r>
            <w:r w:rsidR="00A12FFC" w:rsidRPr="00C011B2">
              <w:rPr>
                <w:rFonts w:ascii="Times New Roman" w:hAnsi="Times New Roman" w:cs="Times New Roman"/>
                <w:bCs/>
                <w:color w:val="000000" w:themeColor="text1"/>
                <w:lang w:val="ro-MD"/>
              </w:rPr>
              <w:t xml:space="preserve"> pentru a calcula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nd abord</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rile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ionate la </w:t>
            </w:r>
            <w:r w:rsidR="00DA436F" w:rsidRPr="00C011B2">
              <w:rPr>
                <w:rFonts w:ascii="Times New Roman" w:hAnsi="Times New Roman" w:cs="Times New Roman"/>
                <w:bCs/>
                <w:color w:val="000000" w:themeColor="text1"/>
                <w:lang w:val="ro-RO"/>
              </w:rPr>
              <w:t>subpct.69.1, 69.2 și 69.3</w:t>
            </w:r>
            <w:r w:rsidR="00A12FFC" w:rsidRPr="00C011B2">
              <w:rPr>
                <w:rFonts w:ascii="Times New Roman" w:hAnsi="Times New Roman" w:cs="Times New Roman"/>
                <w:bCs/>
                <w:color w:val="000000" w:themeColor="text1"/>
                <w:lang w:val="ro-MD"/>
              </w:rPr>
              <w:t>,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a fost atribuit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unui portofoliu distinct de celelalte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din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 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rui strategie de afaceri este dedicat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exclusiv gestion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rii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w:t>
            </w:r>
          </w:p>
          <w:p w14:paraId="1D41C168"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diminu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riscului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aferent acoperirilor interne ale expunerii la riscul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w:t>
            </w:r>
          </w:p>
          <w:p w14:paraId="7EA56368" w14:textId="74EC030E" w:rsidR="00A12FFC" w:rsidRPr="00C011B2" w:rsidRDefault="00CE128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63.2.</w:t>
            </w:r>
            <w:r w:rsidR="00A12FFC" w:rsidRPr="00C011B2">
              <w:rPr>
                <w:rFonts w:ascii="Times New Roman" w:hAnsi="Times New Roman" w:cs="Times New Roman"/>
                <w:bCs/>
                <w:color w:val="000000" w:themeColor="text1"/>
                <w:lang w:val="ro-MD"/>
              </w:rPr>
              <w:t xml:space="preserve"> pentru a calcula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nd abordarea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la </w:t>
            </w:r>
            <w:r w:rsidR="00DA436F" w:rsidRPr="00C011B2">
              <w:rPr>
                <w:rFonts w:ascii="Times New Roman" w:hAnsi="Times New Roman" w:cs="Times New Roman"/>
                <w:bCs/>
                <w:color w:val="000000" w:themeColor="text1"/>
                <w:lang w:val="ro-MD"/>
              </w:rPr>
              <w:t>subpct.69.2</w:t>
            </w:r>
            <w:r w:rsidR="00A12FFC" w:rsidRPr="00C011B2">
              <w:rPr>
                <w:rFonts w:ascii="Times New Roman" w:hAnsi="Times New Roman" w:cs="Times New Roman"/>
                <w:bCs/>
                <w:color w:val="000000" w:themeColor="text1"/>
                <w:lang w:val="ro-MD"/>
              </w:rPr>
              <w:t>,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a fost atribuit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unui birou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 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rui strategie de afaceri este dedicat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exclusiv gestion</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rii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diminu</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riscului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aferent acoperirilor interne ale expunerii la riscul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w:t>
            </w:r>
          </w:p>
          <w:p w14:paraId="300AFDAD" w14:textId="21C556A2" w:rsidR="00A12FFC" w:rsidRPr="00C011B2" w:rsidRDefault="00CE1282"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63.3.</w:t>
            </w:r>
            <w:r w:rsidR="00A12FF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 xml:space="preserve">a documentat pe deplin modul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care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diminueaz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riscul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rezultat din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00AF62AF" w:rsidRPr="00C011B2">
              <w:rPr>
                <w:rFonts w:ascii="Times New Roman" w:hAnsi="Times New Roman" w:cs="Times New Roman"/>
                <w:bCs/>
                <w:color w:val="000000" w:themeColor="text1"/>
                <w:lang w:val="ro-MD"/>
              </w:rPr>
              <w:t xml:space="preserve">titlul V capitolul II secțiunea 5 din Regulamentul privind cadrul de administrare a activităţii băncilor, aprobat prin HCE al BNM nr.322/2018 și </w:t>
            </w:r>
            <w:r w:rsidRPr="00C011B2">
              <w:rPr>
                <w:rFonts w:ascii="Times New Roman" w:hAnsi="Times New Roman" w:cs="Times New Roman"/>
                <w:bCs/>
                <w:color w:val="000000" w:themeColor="text1"/>
                <w:lang w:val="ro-MD"/>
              </w:rPr>
              <w:t>art.101 din Legea nr.202/2017</w:t>
            </w:r>
            <w:r w:rsidR="00A12FFC" w:rsidRPr="00C011B2">
              <w:rPr>
                <w:rFonts w:ascii="Times New Roman" w:hAnsi="Times New Roman" w:cs="Times New Roman"/>
                <w:bCs/>
                <w:color w:val="000000" w:themeColor="text1"/>
                <w:lang w:val="ro-MD"/>
              </w:rPr>
              <w:t>.</w:t>
            </w:r>
            <w:bookmarkEnd w:id="91"/>
          </w:p>
        </w:tc>
        <w:tc>
          <w:tcPr>
            <w:tcW w:w="450" w:type="pct"/>
          </w:tcPr>
          <w:p w14:paraId="30B29444" w14:textId="3DA8E53C"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4DEEB3F1"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4CF007D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5CB1D64" w14:textId="09AF3FD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 xml:space="preserve">(5a)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sensul alineatului (5) litera (a),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poate atribui acelui portofoliu 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deschise cu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 sau cu propriul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u portofoliu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at</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timp 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compenseaz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perfect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respectivelor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deschise cu propriul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u portofoliu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prin deschiderea 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de semn opus cu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w:t>
            </w:r>
          </w:p>
          <w:p w14:paraId="6B5A299B" w14:textId="4C3364B6"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w:t>
            </w:r>
          </w:p>
        </w:tc>
        <w:tc>
          <w:tcPr>
            <w:tcW w:w="1692" w:type="pct"/>
            <w:shd w:val="clear" w:color="auto" w:fill="auto"/>
          </w:tcPr>
          <w:p w14:paraId="18FAD8DA" w14:textId="1B026F50" w:rsidR="00A12FFC" w:rsidRPr="00C011B2" w:rsidRDefault="00945B00" w:rsidP="00A12FFC">
            <w:pPr>
              <w:spacing w:after="0" w:line="276" w:lineRule="auto"/>
              <w:jc w:val="both"/>
              <w:rPr>
                <w:rFonts w:ascii="Times New Roman" w:hAnsi="Times New Roman" w:cs="Times New Roman"/>
                <w:bCs/>
                <w:color w:val="000000" w:themeColor="text1"/>
                <w:lang w:val="ro-MD"/>
              </w:rPr>
            </w:pPr>
            <w:bookmarkStart w:id="92" w:name="_Hlk201673308"/>
            <w:r w:rsidRPr="00C011B2">
              <w:rPr>
                <w:rFonts w:ascii="Times New Roman" w:hAnsi="Times New Roman" w:cs="Times New Roman"/>
                <w:bCs/>
                <w:color w:val="000000" w:themeColor="text1"/>
                <w:lang w:val="ro-MD"/>
              </w:rPr>
              <w:t>64.</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sensul</w:t>
            </w:r>
            <w:r w:rsidRPr="00C011B2">
              <w:rPr>
                <w:rFonts w:ascii="Times New Roman" w:hAnsi="Times New Roman" w:cs="Times New Roman"/>
                <w:bCs/>
                <w:color w:val="000000" w:themeColor="text1"/>
                <w:lang w:val="ro-MD"/>
              </w:rPr>
              <w:t xml:space="preserve"> subpct.63.1</w:t>
            </w:r>
            <w:r w:rsidR="00A12FF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poate atribui acelui portofoliu alte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deschise cu p</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 sau cu propriul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u portofoliu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at</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t timp c</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t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compenseaz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perfect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al respectivelor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deschise cu propriul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u portofoliu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prin deschiderea de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de semn opus cu p</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w:t>
            </w:r>
          </w:p>
          <w:p w14:paraId="7CFB1877" w14:textId="6A5DE32F"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w:t>
            </w:r>
            <w:bookmarkEnd w:id="92"/>
          </w:p>
        </w:tc>
        <w:tc>
          <w:tcPr>
            <w:tcW w:w="450" w:type="pct"/>
          </w:tcPr>
          <w:p w14:paraId="47E6827E" w14:textId="368F808F"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7128FFF3"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6F3AE76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A8BD743" w14:textId="0EE15922"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(5b) Biroului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 la alineatul (5) litera (b) de la prezentul articol i se aplic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w:t>
            </w:r>
          </w:p>
          <w:p w14:paraId="6D1DBF1D" w14:textId="71762B6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respectivul birou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poate deschide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cu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 sau cu alte birouri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cu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respective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ndeplineasc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ele de includere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ionate la articolul 104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ca acele alte birouri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compenseze perfect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acelor 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prin deschiderea 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risc de rat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 dob</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nzii de semn opus cu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w:t>
            </w:r>
          </w:p>
          <w:p w14:paraId="2309A167" w14:textId="4A46CECF"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biroului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respectiv nu i se atribuie 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dec</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t cele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ionate la litera (a) de la prezentul alineat;</w:t>
            </w:r>
          </w:p>
          <w:p w14:paraId="410B035F" w14:textId="4645C3CD"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 prin derogare de la articolul 104b, biroul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respectiv nu este supus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alineatele (1), (2)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(3) de la articolul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p>
        </w:tc>
        <w:tc>
          <w:tcPr>
            <w:tcW w:w="1692" w:type="pct"/>
            <w:shd w:val="clear" w:color="auto" w:fill="auto"/>
          </w:tcPr>
          <w:p w14:paraId="2EE1608F" w14:textId="41A9A8BA" w:rsidR="00A12FFC" w:rsidRPr="00C011B2" w:rsidRDefault="00945B00" w:rsidP="00A12FFC">
            <w:pPr>
              <w:spacing w:after="0" w:line="276" w:lineRule="auto"/>
              <w:jc w:val="both"/>
              <w:rPr>
                <w:rFonts w:ascii="Times New Roman" w:hAnsi="Times New Roman" w:cs="Times New Roman"/>
                <w:bCs/>
                <w:color w:val="000000" w:themeColor="text1"/>
                <w:lang w:val="ro-MD"/>
              </w:rPr>
            </w:pPr>
            <w:bookmarkStart w:id="93" w:name="_Hlk201674196"/>
            <w:r w:rsidRPr="00C011B2">
              <w:rPr>
                <w:rFonts w:ascii="Times New Roman" w:hAnsi="Times New Roman" w:cs="Times New Roman"/>
                <w:bCs/>
                <w:color w:val="000000" w:themeColor="text1"/>
                <w:lang w:val="ro-MD"/>
              </w:rPr>
              <w:lastRenderedPageBreak/>
              <w:t>65.</w:t>
            </w:r>
            <w:r w:rsidR="00A12FFC" w:rsidRPr="00C011B2">
              <w:rPr>
                <w:rFonts w:ascii="Times New Roman" w:hAnsi="Times New Roman" w:cs="Times New Roman"/>
                <w:bCs/>
                <w:color w:val="000000" w:themeColor="text1"/>
                <w:lang w:val="ro-MD"/>
              </w:rPr>
              <w:t xml:space="preserve"> Biroului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 la </w:t>
            </w:r>
            <w:r w:rsidRPr="00C011B2">
              <w:rPr>
                <w:rFonts w:ascii="Times New Roman" w:hAnsi="Times New Roman" w:cs="Times New Roman"/>
                <w:bCs/>
                <w:color w:val="000000" w:themeColor="text1"/>
                <w:lang w:val="ro-MD"/>
              </w:rPr>
              <w:t>subpct.63.2</w:t>
            </w:r>
            <w:r w:rsidR="00A12FFC" w:rsidRPr="00C011B2">
              <w:rPr>
                <w:rFonts w:ascii="Times New Roman" w:hAnsi="Times New Roman" w:cs="Times New Roman"/>
                <w:bCs/>
                <w:color w:val="000000" w:themeColor="text1"/>
                <w:lang w:val="ro-MD"/>
              </w:rPr>
              <w:t xml:space="preserve"> i se aplic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urm</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toarele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w:t>
            </w:r>
          </w:p>
          <w:p w14:paraId="174229AA" w14:textId="2750F5E0" w:rsidR="00A12FFC" w:rsidRPr="00C011B2" w:rsidRDefault="00945B00"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65.1.</w:t>
            </w:r>
            <w:r w:rsidR="00A12FFC" w:rsidRPr="00C011B2">
              <w:rPr>
                <w:rFonts w:ascii="Times New Roman" w:hAnsi="Times New Roman" w:cs="Times New Roman"/>
                <w:bCs/>
                <w:color w:val="000000" w:themeColor="text1"/>
                <w:lang w:val="ro-MD"/>
              </w:rPr>
              <w:t xml:space="preserve"> respectivul birou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poate deschide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alte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cu p</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 sau cu alte birouri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ale </w:t>
            </w:r>
            <w:r w:rsidRPr="00C011B2">
              <w:rPr>
                <w:rFonts w:ascii="Times New Roman" w:hAnsi="Times New Roman" w:cs="Times New Roman"/>
                <w:bCs/>
                <w:color w:val="000000" w:themeColor="text1"/>
                <w:lang w:val="ro-MD"/>
              </w:rPr>
              <w:t>băncii</w:t>
            </w:r>
            <w:r w:rsidR="00A12FFC" w:rsidRPr="00C011B2">
              <w:rPr>
                <w:rFonts w:ascii="Times New Roman" w:hAnsi="Times New Roman" w:cs="Times New Roman"/>
                <w:bCs/>
                <w:color w:val="000000" w:themeColor="text1"/>
                <w:lang w:val="ro-MD"/>
              </w:rPr>
              <w:t>, cu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ca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iile respective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ndeplineasc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ele de includere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secțiunea 3</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ca acele alte birouri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compenseze perfect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al acelor alte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prin deschiderea de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risc de rat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 dob</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nzii de semn opus cu p</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w:t>
            </w:r>
          </w:p>
          <w:p w14:paraId="60451ED2" w14:textId="3136EE98" w:rsidR="00A12FFC" w:rsidRPr="00C011B2" w:rsidRDefault="00945B00"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65.2.</w:t>
            </w:r>
            <w:r w:rsidR="00A12FFC" w:rsidRPr="00C011B2">
              <w:rPr>
                <w:rFonts w:ascii="Times New Roman" w:hAnsi="Times New Roman" w:cs="Times New Roman"/>
                <w:bCs/>
                <w:color w:val="000000" w:themeColor="text1"/>
                <w:lang w:val="ro-MD"/>
              </w:rPr>
              <w:t xml:space="preserve"> biroului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respectiv nu i se atribuie alte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din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dec</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t cele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ionate la </w:t>
            </w:r>
            <w:r w:rsidRPr="00C011B2">
              <w:rPr>
                <w:rFonts w:ascii="Times New Roman" w:hAnsi="Times New Roman" w:cs="Times New Roman"/>
                <w:bCs/>
                <w:color w:val="000000" w:themeColor="text1"/>
                <w:lang w:val="ro-MD"/>
              </w:rPr>
              <w:t>subpct.65.1</w:t>
            </w:r>
            <w:r w:rsidR="00A12FFC" w:rsidRPr="00C011B2">
              <w:rPr>
                <w:rFonts w:ascii="Times New Roman" w:hAnsi="Times New Roman" w:cs="Times New Roman"/>
                <w:bCs/>
                <w:color w:val="000000" w:themeColor="text1"/>
                <w:lang w:val="ro-MD"/>
              </w:rPr>
              <w:t>;</w:t>
            </w:r>
          </w:p>
          <w:p w14:paraId="5E8D2170" w14:textId="05470950" w:rsidR="00A12FFC" w:rsidRPr="00C011B2" w:rsidRDefault="00945B00"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65.3.</w:t>
            </w:r>
            <w:r w:rsidR="00A12FFC" w:rsidRPr="00C011B2">
              <w:rPr>
                <w:rFonts w:ascii="Times New Roman" w:hAnsi="Times New Roman" w:cs="Times New Roman"/>
                <w:bCs/>
                <w:color w:val="000000" w:themeColor="text1"/>
                <w:lang w:val="ro-MD"/>
              </w:rPr>
              <w:t xml:space="preserve"> prin derogare de la </w:t>
            </w:r>
            <w:r w:rsidRPr="00C011B2">
              <w:rPr>
                <w:rFonts w:ascii="Times New Roman" w:hAnsi="Times New Roman" w:cs="Times New Roman"/>
                <w:bCs/>
                <w:color w:val="000000" w:themeColor="text1"/>
                <w:lang w:val="ro-MD"/>
              </w:rPr>
              <w:t>secțiunea 5</w:t>
            </w:r>
            <w:r w:rsidR="00A12FFC" w:rsidRPr="00C011B2">
              <w:rPr>
                <w:rFonts w:ascii="Times New Roman" w:hAnsi="Times New Roman" w:cs="Times New Roman"/>
                <w:bCs/>
                <w:color w:val="000000" w:themeColor="text1"/>
                <w:lang w:val="ro-MD"/>
              </w:rPr>
              <w:t>, biroul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respectiv nu este supus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Pr="00C011B2">
              <w:rPr>
                <w:rFonts w:ascii="Times New Roman" w:hAnsi="Times New Roman" w:cs="Times New Roman"/>
                <w:bCs/>
                <w:color w:val="000000" w:themeColor="text1"/>
                <w:lang w:val="ro-MD"/>
              </w:rPr>
              <w:t>subpct.32, 33 și 34</w:t>
            </w:r>
            <w:r w:rsidR="00A12FFC" w:rsidRPr="00C011B2">
              <w:rPr>
                <w:rFonts w:ascii="Times New Roman" w:hAnsi="Times New Roman" w:cs="Times New Roman"/>
                <w:bCs/>
                <w:color w:val="000000" w:themeColor="text1"/>
                <w:lang w:val="ro-MD"/>
              </w:rPr>
              <w:t>.</w:t>
            </w:r>
            <w:bookmarkEnd w:id="93"/>
          </w:p>
        </w:tc>
        <w:tc>
          <w:tcPr>
            <w:tcW w:w="450" w:type="pct"/>
          </w:tcPr>
          <w:p w14:paraId="6748A764" w14:textId="786B633F"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694AA222"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0841D92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AB8E20" w14:textId="10D6DCD5"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tuturor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atribuite portofoliului distinct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 la alineatul (5) litera (a) sau biroului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 la litera (b) de la alineatul respectiv se calculeaz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mod de sine st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tor,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plus fa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de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celelalte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w:t>
            </w:r>
          </w:p>
        </w:tc>
        <w:tc>
          <w:tcPr>
            <w:tcW w:w="1692" w:type="pct"/>
            <w:shd w:val="clear" w:color="auto" w:fill="auto"/>
          </w:tcPr>
          <w:p w14:paraId="01785F35" w14:textId="010F1983" w:rsidR="00A12FFC" w:rsidRPr="00C011B2" w:rsidRDefault="00945B00" w:rsidP="00A12FFC">
            <w:pPr>
              <w:spacing w:after="0" w:line="276" w:lineRule="auto"/>
              <w:jc w:val="both"/>
              <w:rPr>
                <w:rFonts w:ascii="Times New Roman" w:hAnsi="Times New Roman" w:cs="Times New Roman"/>
                <w:bCs/>
                <w:color w:val="000000" w:themeColor="text1"/>
                <w:lang w:val="ro-MD"/>
              </w:rPr>
            </w:pPr>
            <w:bookmarkStart w:id="94" w:name="_Hlk201674400"/>
            <w:r w:rsidRPr="00C011B2">
              <w:rPr>
                <w:rFonts w:ascii="Times New Roman" w:hAnsi="Times New Roman" w:cs="Times New Roman"/>
                <w:bCs/>
                <w:color w:val="000000" w:themeColor="text1"/>
                <w:lang w:val="ro-MD"/>
              </w:rPr>
              <w:t>66.</w:t>
            </w:r>
            <w:r w:rsidR="00A12FFC" w:rsidRPr="00C011B2">
              <w:rPr>
                <w:rFonts w:ascii="Times New Roman" w:hAnsi="Times New Roman" w:cs="Times New Roman"/>
                <w:bCs/>
                <w:color w:val="000000" w:themeColor="text1"/>
                <w:lang w:val="ro-MD"/>
              </w:rPr>
              <w:t xml:space="preserv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al tuturor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iilor atribuite portofoliului distinct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 la </w:t>
            </w:r>
            <w:r w:rsidR="00055E16" w:rsidRPr="00C011B2">
              <w:rPr>
                <w:rFonts w:ascii="Times New Roman" w:hAnsi="Times New Roman" w:cs="Times New Roman"/>
                <w:bCs/>
                <w:color w:val="000000" w:themeColor="text1"/>
                <w:lang w:val="ro-MD"/>
              </w:rPr>
              <w:t>subpct.63.1</w:t>
            </w:r>
            <w:r w:rsidR="00A12FFC" w:rsidRPr="00C011B2">
              <w:rPr>
                <w:rFonts w:ascii="Times New Roman" w:hAnsi="Times New Roman" w:cs="Times New Roman"/>
                <w:bCs/>
                <w:color w:val="000000" w:themeColor="text1"/>
                <w:lang w:val="ro-MD"/>
              </w:rPr>
              <w:t xml:space="preserve"> sau biroului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ionat la </w:t>
            </w:r>
            <w:r w:rsidR="00055E16" w:rsidRPr="00C011B2">
              <w:rPr>
                <w:rFonts w:ascii="Times New Roman" w:hAnsi="Times New Roman" w:cs="Times New Roman"/>
                <w:bCs/>
                <w:color w:val="000000" w:themeColor="text1"/>
                <w:lang w:val="ro-MD"/>
              </w:rPr>
              <w:t>subpct.63.2</w:t>
            </w:r>
            <w:r w:rsidR="00A12FFC" w:rsidRPr="00C011B2">
              <w:rPr>
                <w:rFonts w:ascii="Times New Roman" w:hAnsi="Times New Roman" w:cs="Times New Roman"/>
                <w:bCs/>
                <w:color w:val="000000" w:themeColor="text1"/>
                <w:lang w:val="ro-MD"/>
              </w:rPr>
              <w:t xml:space="preserve"> se calculeaz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mod de sine st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tor,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plus fa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de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de fonduri proprii pentru celelalte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din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w:t>
            </w:r>
            <w:bookmarkEnd w:id="94"/>
          </w:p>
        </w:tc>
        <w:tc>
          <w:tcPr>
            <w:tcW w:w="450" w:type="pct"/>
          </w:tcPr>
          <w:p w14:paraId="01E93838" w14:textId="50346BD9"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B1E6627"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4635029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476F8F3"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▼M17</w:t>
            </w:r>
            <w:r w:rsidRPr="00C011B2">
              <w:rPr>
                <w:rFonts w:ascii="Times New Roman" w:hAnsi="Times New Roman" w:cs="Times New Roman"/>
                <w:bCs/>
                <w:color w:val="000000" w:themeColor="text1"/>
                <w:lang w:val="ro-MD"/>
              </w:rPr>
              <w:t xml:space="preserve"> </w:t>
            </w:r>
          </w:p>
          <w:p w14:paraId="1A0FD9CD" w14:textId="76337A9B"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(7)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acoper</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o expunere la riscul de ajustare a evalu</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creditului (CVA) utiliz</w:t>
            </w:r>
            <w:r w:rsidRPr="00C011B2">
              <w:rPr>
                <w:rFonts w:ascii="Times New Roman" w:hAnsi="Times New Roman" w:cs="Times New Roman" w:hint="eastAsia"/>
                <w:bCs/>
                <w:color w:val="000000" w:themeColor="text1"/>
                <w:lang w:val="ro-MD"/>
              </w:rPr>
              <w:t>â</w:t>
            </w:r>
            <w:r w:rsidRPr="00C011B2">
              <w:rPr>
                <w:rFonts w:ascii="Times New Roman" w:hAnsi="Times New Roman" w:cs="Times New Roman"/>
                <w:bCs/>
                <w:color w:val="000000" w:themeColor="text1"/>
                <w:lang w:val="ro-MD"/>
              </w:rPr>
              <w:t xml:space="preserve">nd un instrument financiar derivat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ncheiat cu portofoliul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u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pe acel instrument financiar derivat este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 acoperire intern</w:t>
            </w:r>
            <w:r w:rsidRPr="00C011B2">
              <w:rPr>
                <w:rFonts w:ascii="Times New Roman" w:hAnsi="Times New Roman" w:cs="Times New Roman" w:hint="eastAsia"/>
                <w:bCs/>
                <w:color w:val="000000" w:themeColor="text1"/>
                <w:lang w:val="ro-MD"/>
              </w:rPr>
              <w:t>ă</w:t>
            </w:r>
          </w:p>
          <w:p w14:paraId="4688054A" w14:textId="1C522048"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pentru expunerea la riscul CVA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elor de fonduri proprii pentru riscurile CVA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abord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articolul 383 sau 384, dac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sunt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ndeplinite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w:t>
            </w:r>
          </w:p>
          <w:p w14:paraId="058DA3B0" w14:textId="317E31AD"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pe instrumentul financiar derivat este recunoscut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ca acoperire eligibil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articolul 386;</w:t>
            </w:r>
          </w:p>
          <w:p w14:paraId="0EAF3106" w14:textId="0E59E08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 xml:space="preserve">(b)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pe instrumentul financiar derivat face obiectul oric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reia dintre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articolul 325c alineatul (2) litera (b) sau (c) sau la articolul 325e alineatul (1) litera (c),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compenseaz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perfect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al respectivei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pe instrumentul financiar derivat prin deschiderea de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 de semn opus cu p</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 ter</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w:t>
            </w:r>
          </w:p>
          <w:p w14:paraId="6C3265D6" w14:textId="5D03781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de semn opus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aferent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acoperirii interne recunoscute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conformitate cu primul paragraf se include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al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iei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scopul calcul</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elor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w:t>
            </w:r>
          </w:p>
        </w:tc>
        <w:tc>
          <w:tcPr>
            <w:tcW w:w="1692" w:type="pct"/>
            <w:shd w:val="clear" w:color="auto" w:fill="auto"/>
          </w:tcPr>
          <w:p w14:paraId="5A95CED5" w14:textId="08643B93" w:rsidR="00A12FFC" w:rsidRPr="00C011B2" w:rsidRDefault="00055E16" w:rsidP="00A12FFC">
            <w:pPr>
              <w:spacing w:after="0" w:line="276" w:lineRule="auto"/>
              <w:jc w:val="both"/>
              <w:rPr>
                <w:rFonts w:ascii="Times New Roman" w:hAnsi="Times New Roman" w:cs="Times New Roman"/>
                <w:bCs/>
                <w:color w:val="000000" w:themeColor="text1"/>
                <w:lang w:val="ro-MD"/>
              </w:rPr>
            </w:pPr>
            <w:bookmarkStart w:id="95" w:name="_Hlk201674630"/>
            <w:r w:rsidRPr="00C011B2">
              <w:rPr>
                <w:rFonts w:ascii="Times New Roman" w:hAnsi="Times New Roman" w:cs="Times New Roman"/>
                <w:bCs/>
                <w:color w:val="000000" w:themeColor="text1"/>
                <w:lang w:val="ro-MD"/>
              </w:rPr>
              <w:lastRenderedPageBreak/>
              <w:t>67.</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care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acoper</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o expunere la riscul de ajustare a evalu</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creditului (CVA) utiliz</w:t>
            </w:r>
            <w:r w:rsidR="00A12FFC" w:rsidRPr="00C011B2">
              <w:rPr>
                <w:rFonts w:ascii="Times New Roman" w:hAnsi="Times New Roman" w:cs="Times New Roman" w:hint="eastAsia"/>
                <w:bCs/>
                <w:color w:val="000000" w:themeColor="text1"/>
                <w:lang w:val="ro-MD"/>
              </w:rPr>
              <w:t>â</w:t>
            </w:r>
            <w:r w:rsidR="00A12FFC" w:rsidRPr="00C011B2">
              <w:rPr>
                <w:rFonts w:ascii="Times New Roman" w:hAnsi="Times New Roman" w:cs="Times New Roman"/>
                <w:bCs/>
                <w:color w:val="000000" w:themeColor="text1"/>
                <w:lang w:val="ro-MD"/>
              </w:rPr>
              <w:t xml:space="preserve">nd un instrument financiar derivat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ncheiat cu portofoliul 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u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pe acel instrument financiar derivat este recunoscut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ca acoperire intern</w:t>
            </w:r>
            <w:r w:rsidR="00A12FFC" w:rsidRPr="00C011B2">
              <w:rPr>
                <w:rFonts w:ascii="Times New Roman" w:hAnsi="Times New Roman" w:cs="Times New Roman" w:hint="eastAsia"/>
                <w:bCs/>
                <w:color w:val="000000" w:themeColor="text1"/>
                <w:lang w:val="ro-MD"/>
              </w:rPr>
              <w:t>ă</w:t>
            </w:r>
            <w:r w:rsidR="00AF62AF"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bCs/>
                <w:color w:val="000000" w:themeColor="text1"/>
                <w:lang w:val="ro-MD"/>
              </w:rPr>
              <w:t xml:space="preserve">pentru expunerea la riscul CVA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calcul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elor de fonduri proprii pentru riscurile CVA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conformitate cu abord</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rile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0005607D" w:rsidRPr="00C011B2">
              <w:rPr>
                <w:rFonts w:ascii="Times New Roman" w:hAnsi="Times New Roman" w:cs="Times New Roman"/>
                <w:bCs/>
                <w:color w:val="000000" w:themeColor="text1"/>
                <w:lang w:val="ro-RO"/>
              </w:rPr>
              <w:t xml:space="preserve">pct.17-20 sau capitolul V din </w:t>
            </w:r>
            <w:r w:rsidR="0005607D" w:rsidRPr="00C011B2">
              <w:rPr>
                <w:rFonts w:ascii="Times New Roman" w:hAnsi="Times New Roman" w:cs="Times New Roman"/>
                <w:bCs/>
                <w:color w:val="000000" w:themeColor="text1"/>
                <w:lang w:val="ro-MD"/>
              </w:rPr>
              <w:t xml:space="preserve"> </w:t>
            </w:r>
            <w:r w:rsidR="0005607D" w:rsidRPr="00C011B2">
              <w:rPr>
                <w:rFonts w:ascii="Times New Roman" w:hAnsi="Times New Roman" w:cs="Times New Roman"/>
                <w:bCs/>
                <w:color w:val="000000" w:themeColor="text1"/>
                <w:lang w:val="ro-RO"/>
              </w:rPr>
              <w:t>Regulamentul cu privire la tratamentul riscului de ajustare a evaluării creditului pentru bănci, aprobat prin hotărârea Comitetului executiv al BNM nr.YY/2026 (în continuare – Regulamentul nr.YY/2026)</w:t>
            </w:r>
            <w:r w:rsidR="00A12FFC" w:rsidRPr="00C011B2">
              <w:rPr>
                <w:rFonts w:ascii="Times New Roman" w:hAnsi="Times New Roman" w:cs="Times New Roman"/>
                <w:bCs/>
                <w:color w:val="000000" w:themeColor="text1"/>
                <w:lang w:val="ro-MD"/>
              </w:rPr>
              <w:t>, dac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sunt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ndeplinite urm</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toarele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w:t>
            </w:r>
          </w:p>
          <w:p w14:paraId="402CAA0E" w14:textId="3D4E9CBE" w:rsidR="00A12FFC" w:rsidRPr="00C011B2" w:rsidRDefault="00055E16"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67.1.</w:t>
            </w:r>
            <w:r w:rsidR="00A12FFC" w:rsidRPr="00C011B2">
              <w:rPr>
                <w:rFonts w:ascii="Times New Roman" w:hAnsi="Times New Roman" w:cs="Times New Roman"/>
                <w:bCs/>
                <w:color w:val="000000" w:themeColor="text1"/>
                <w:lang w:val="ro-MD"/>
              </w:rPr>
              <w:t xml:space="preserv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pe instrumentul financiar derivat este recunoscut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ca acoperire eligibil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conformitate cu </w:t>
            </w:r>
            <w:r w:rsidR="0005607D" w:rsidRPr="00C011B2">
              <w:rPr>
                <w:rFonts w:ascii="Times New Roman" w:hAnsi="Times New Roman" w:cs="Times New Roman"/>
                <w:bCs/>
                <w:color w:val="000000" w:themeColor="text1"/>
                <w:lang w:val="ro-RO"/>
              </w:rPr>
              <w:t>capitolul VI din Regulamentul nr.YY/2026</w:t>
            </w:r>
            <w:r w:rsidR="00A12FFC" w:rsidRPr="00C011B2">
              <w:rPr>
                <w:rFonts w:ascii="Times New Roman" w:hAnsi="Times New Roman" w:cs="Times New Roman"/>
                <w:bCs/>
                <w:color w:val="000000" w:themeColor="text1"/>
                <w:lang w:val="ro-MD"/>
              </w:rPr>
              <w:t>;</w:t>
            </w:r>
          </w:p>
          <w:p w14:paraId="0C84AB6A" w14:textId="7BB1795B" w:rsidR="00A12FFC" w:rsidRPr="00C011B2" w:rsidRDefault="00055E16"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67.2.</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care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pe instrumentul financiar derivat face obiectul oric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reia dintre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00EE3C57" w:rsidRPr="00C011B2">
              <w:rPr>
                <w:rFonts w:ascii="Times New Roman" w:hAnsi="Times New Roman" w:cs="Times New Roman"/>
                <w:bCs/>
                <w:color w:val="000000" w:themeColor="text1"/>
                <w:lang w:val="ro-MD"/>
              </w:rPr>
              <w:t>subpct.95.2 sau 95.3</w:t>
            </w:r>
            <w:r w:rsidR="00A12FFC" w:rsidRPr="00C011B2">
              <w:rPr>
                <w:rFonts w:ascii="Times New Roman" w:hAnsi="Times New Roman" w:cs="Times New Roman"/>
                <w:bCs/>
                <w:color w:val="000000" w:themeColor="text1"/>
                <w:lang w:val="ro-MD"/>
              </w:rPr>
              <w:t xml:space="preserve"> sau la </w:t>
            </w:r>
            <w:r w:rsidR="00EE3C57" w:rsidRPr="00C011B2">
              <w:rPr>
                <w:rFonts w:ascii="Times New Roman" w:hAnsi="Times New Roman" w:cs="Times New Roman"/>
                <w:bCs/>
                <w:color w:val="000000" w:themeColor="text1"/>
                <w:lang w:val="ro-MD"/>
              </w:rPr>
              <w:t>subpct.104.3</w:t>
            </w:r>
            <w:r w:rsidR="00A12FF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compenseaz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perfect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al respectivei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pe instrumentul financiar derivat prin deschiderea de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 de semn opus cu p</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 ter</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w:t>
            </w:r>
          </w:p>
          <w:p w14:paraId="6479C258" w14:textId="12F193E4" w:rsidR="00A12FFC" w:rsidRPr="00C011B2" w:rsidRDefault="00055E16"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68. </w:t>
            </w:r>
            <w:r w:rsidR="00A12FFC" w:rsidRPr="00C011B2">
              <w:rPr>
                <w:rFonts w:ascii="Times New Roman" w:hAnsi="Times New Roman" w:cs="Times New Roman"/>
                <w:bCs/>
                <w:color w:val="000000" w:themeColor="text1"/>
                <w:lang w:val="ro-MD"/>
              </w:rPr>
              <w:t>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ia de semn opus din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aferent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acoperirii interne recunoscute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conformitate cu </w:t>
            </w:r>
            <w:r w:rsidRPr="00C011B2">
              <w:rPr>
                <w:rFonts w:ascii="Times New Roman" w:hAnsi="Times New Roman" w:cs="Times New Roman"/>
                <w:bCs/>
                <w:color w:val="000000" w:themeColor="text1"/>
                <w:lang w:val="ro-MD"/>
              </w:rPr>
              <w:t>pct.67</w:t>
            </w:r>
            <w:r w:rsidR="00A12FFC" w:rsidRPr="00C011B2">
              <w:rPr>
                <w:rFonts w:ascii="Times New Roman" w:hAnsi="Times New Roman" w:cs="Times New Roman"/>
                <w:bCs/>
                <w:color w:val="000000" w:themeColor="text1"/>
                <w:lang w:val="ro-MD"/>
              </w:rPr>
              <w:t xml:space="preserve"> se include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al </w:t>
            </w:r>
            <w:r w:rsidRPr="00C011B2">
              <w:rPr>
                <w:rFonts w:ascii="Times New Roman" w:hAnsi="Times New Roman" w:cs="Times New Roman"/>
                <w:bCs/>
                <w:color w:val="000000" w:themeColor="text1"/>
                <w:lang w:val="ro-MD"/>
              </w:rPr>
              <w:t xml:space="preserve">băncii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scopul calcul</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elor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w:t>
            </w:r>
            <w:bookmarkEnd w:id="95"/>
          </w:p>
        </w:tc>
        <w:tc>
          <w:tcPr>
            <w:tcW w:w="450" w:type="pct"/>
          </w:tcPr>
          <w:p w14:paraId="2E2190B2" w14:textId="56BE159C"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58B8D7A0"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FA7D23" w14:paraId="1C6B38E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07388A9" w14:textId="6235969A"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TITLUL IV</w:t>
            </w:r>
          </w:p>
          <w:p w14:paraId="6B4E5CE3" w14:textId="1D012F71"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CERINŢE DE FONDURI PROPRII PENTRU RISCUL DE PIAŢĂ</w:t>
            </w:r>
          </w:p>
          <w:p w14:paraId="46617B13" w14:textId="2D73FEE9"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384E51B9" w14:textId="77777777" w:rsidR="00A12FFC" w:rsidRPr="00C011B2" w:rsidRDefault="00A12FFC" w:rsidP="00A12FF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CAPITOLUL 1</w:t>
            </w:r>
          </w:p>
          <w:p w14:paraId="543BCB0B" w14:textId="77777777" w:rsidR="00A12FFC" w:rsidRPr="00C011B2" w:rsidRDefault="00A12FFC" w:rsidP="00A12FFC">
            <w:pPr>
              <w:spacing w:after="0" w:line="276" w:lineRule="auto"/>
              <w:jc w:val="both"/>
              <w:rPr>
                <w:rFonts w:ascii="Times New Roman" w:hAnsi="Times New Roman" w:cs="Times New Roman"/>
                <w:b/>
                <w:bCs/>
                <w:i/>
                <w:iCs/>
                <w:color w:val="000000" w:themeColor="text1"/>
                <w:lang w:val="ro-MD"/>
              </w:rPr>
            </w:pPr>
            <w:r w:rsidRPr="00C011B2">
              <w:rPr>
                <w:rFonts w:ascii="Times New Roman" w:hAnsi="Times New Roman" w:cs="Times New Roman"/>
                <w:b/>
                <w:bCs/>
                <w:i/>
                <w:iCs/>
                <w:color w:val="000000" w:themeColor="text1"/>
                <w:lang w:val="ro-MD"/>
              </w:rPr>
              <w:t>Dispoziţii generale</w:t>
            </w:r>
          </w:p>
          <w:p w14:paraId="30725C11" w14:textId="77777777" w:rsidR="00A12FFC" w:rsidRPr="00C011B2" w:rsidRDefault="00A12FFC" w:rsidP="00A12FF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Articolul 325</w:t>
            </w:r>
          </w:p>
          <w:p w14:paraId="041F3D9F" w14:textId="16C26F83"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Abordări pentru calcularea cerinţelor de fonduri proprii pentru riscul de piaţă</w:t>
            </w:r>
          </w:p>
        </w:tc>
        <w:tc>
          <w:tcPr>
            <w:tcW w:w="1692" w:type="pct"/>
            <w:shd w:val="clear" w:color="auto" w:fill="auto"/>
          </w:tcPr>
          <w:p w14:paraId="33BE3683" w14:textId="58C342D4" w:rsidR="00A12FFC" w:rsidRPr="00C011B2" w:rsidRDefault="00A12FFC" w:rsidP="00A12FFC">
            <w:pPr>
              <w:spacing w:after="0" w:line="276" w:lineRule="auto"/>
              <w:jc w:val="both"/>
              <w:rPr>
                <w:rFonts w:ascii="Times New Roman" w:hAnsi="Times New Roman" w:cs="Times New Roman"/>
                <w:bCs/>
                <w:color w:val="000000" w:themeColor="text1"/>
                <w:lang w:val="ro-MD"/>
              </w:rPr>
            </w:pPr>
            <w:bookmarkStart w:id="96" w:name="_Hlk201674977"/>
            <w:r w:rsidRPr="00C011B2">
              <w:rPr>
                <w:rFonts w:ascii="Times New Roman" w:hAnsi="Times New Roman" w:cs="Times New Roman"/>
                <w:bCs/>
                <w:color w:val="000000" w:themeColor="text1"/>
                <w:lang w:val="ro-MD"/>
              </w:rPr>
              <w:t xml:space="preserve">TITLUL </w:t>
            </w:r>
            <w:r w:rsidR="00055E16" w:rsidRPr="00C011B2">
              <w:rPr>
                <w:rFonts w:ascii="Times New Roman" w:hAnsi="Times New Roman" w:cs="Times New Roman"/>
                <w:bCs/>
                <w:color w:val="000000" w:themeColor="text1"/>
                <w:lang w:val="ro-MD"/>
              </w:rPr>
              <w:t>II</w:t>
            </w:r>
          </w:p>
          <w:p w14:paraId="233E0E0B" w14:textId="77777777"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CERINŢE DE FONDURI PROPRII PENTRU RISCUL DE PIAŢĂ</w:t>
            </w:r>
          </w:p>
          <w:p w14:paraId="7F9FDADB" w14:textId="356EE6BA" w:rsidR="00A12FFC" w:rsidRPr="00C011B2" w:rsidRDefault="00A12FFC" w:rsidP="00A12FF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Cs/>
                <w:i/>
                <w:iCs/>
                <w:color w:val="000000" w:themeColor="text1"/>
                <w:lang w:val="ro-MD"/>
              </w:rPr>
              <w:t xml:space="preserve">CAPITOLUL </w:t>
            </w:r>
            <w:r w:rsidR="00055E16" w:rsidRPr="00C011B2">
              <w:rPr>
                <w:rFonts w:ascii="Times New Roman" w:hAnsi="Times New Roman" w:cs="Times New Roman"/>
                <w:bCs/>
                <w:i/>
                <w:iCs/>
                <w:color w:val="000000" w:themeColor="text1"/>
                <w:lang w:val="ro-MD"/>
              </w:rPr>
              <w:t>I</w:t>
            </w:r>
          </w:p>
          <w:p w14:paraId="2782736B" w14:textId="04DDC675" w:rsidR="00A12FFC" w:rsidRPr="00C011B2" w:rsidRDefault="00055E16" w:rsidP="00A12FFC">
            <w:pPr>
              <w:spacing w:after="0" w:line="276" w:lineRule="auto"/>
              <w:jc w:val="both"/>
              <w:rPr>
                <w:rFonts w:ascii="Times New Roman" w:hAnsi="Times New Roman" w:cs="Times New Roman"/>
                <w:bCs/>
                <w:i/>
                <w:iCs/>
                <w:color w:val="000000" w:themeColor="text1"/>
                <w:lang w:val="ro-MD"/>
              </w:rPr>
            </w:pPr>
            <w:r w:rsidRPr="00C011B2">
              <w:rPr>
                <w:rFonts w:ascii="Times New Roman" w:hAnsi="Times New Roman" w:cs="Times New Roman"/>
                <w:b/>
                <w:bCs/>
                <w:i/>
                <w:iCs/>
                <w:color w:val="000000" w:themeColor="text1"/>
                <w:lang w:val="ro-MD"/>
              </w:rPr>
              <w:t xml:space="preserve">ABORDĂRILE PENTRU CALCULAREA CERINŢELOR DE FONDURI PROPRII PENTRU RISCUL DE PIAŢĂ </w:t>
            </w:r>
            <w:r w:rsidRPr="00C011B2">
              <w:rPr>
                <w:rFonts w:ascii="Times New Roman" w:hAnsi="Times New Roman" w:cs="Times New Roman"/>
                <w:bCs/>
                <w:i/>
                <w:iCs/>
                <w:color w:val="000000" w:themeColor="text1"/>
                <w:lang w:val="ro-MD"/>
              </w:rPr>
              <w:t>Secțiunea 1</w:t>
            </w:r>
          </w:p>
          <w:p w14:paraId="3D8BA526" w14:textId="1BF97ED1"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
                <w:bCs/>
                <w:color w:val="000000" w:themeColor="text1"/>
                <w:lang w:val="ro-MD"/>
              </w:rPr>
              <w:t>Abordări pentru calcularea cerinţelor de fonduri proprii pentru riscul de piaţă</w:t>
            </w:r>
            <w:bookmarkEnd w:id="96"/>
          </w:p>
        </w:tc>
        <w:tc>
          <w:tcPr>
            <w:tcW w:w="450" w:type="pct"/>
          </w:tcPr>
          <w:p w14:paraId="314B78F9"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c>
          <w:tcPr>
            <w:tcW w:w="1261" w:type="pct"/>
          </w:tcPr>
          <w:p w14:paraId="376CBDF3"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4E7690F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EEFA2EA" w14:textId="77777777"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013C6E8A" w14:textId="5CC68734"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(1)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calculeaz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ele de fonduri proprii pentru riscul de pia</w:t>
            </w:r>
            <w:r w:rsidRPr="00C011B2">
              <w:rPr>
                <w:rFonts w:ascii="Times New Roman" w:hAnsi="Times New Roman" w:cs="Times New Roman" w:hint="eastAsia"/>
                <w:bCs/>
                <w:color w:val="000000" w:themeColor="text1"/>
                <w:lang w:val="ro-MD"/>
              </w:rPr>
              <w:t>ţă</w:t>
            </w:r>
            <w:r w:rsidRPr="00C011B2">
              <w:rPr>
                <w:rFonts w:ascii="Times New Roman" w:hAnsi="Times New Roman" w:cs="Times New Roman"/>
                <w:bCs/>
                <w:color w:val="000000" w:themeColor="text1"/>
                <w:lang w:val="ro-MD"/>
              </w:rPr>
              <w:t xml:space="preserve"> pentru toate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pentru toate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 risc valutar sau un risc de marf</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conformitate cu urm</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toarele abord</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w:t>
            </w:r>
          </w:p>
          <w:p w14:paraId="0669543E" w14:textId="77777777"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(a) abordarea standardizat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alternativ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capitolul 1a;</w:t>
            </w:r>
          </w:p>
          <w:p w14:paraId="70394E55" w14:textId="6CD4C10E"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(b) abordarea bazat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pe modele interne alternativ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capitolul 1b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cazul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atribuite birourilor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pentru care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 primit aprobarea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sale competente de a utiliza respectiva abordare alternativ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astfel cum se prevede la articolul 325az alineatul (1);</w:t>
            </w:r>
          </w:p>
          <w:p w14:paraId="248F7E3A" w14:textId="114913BB"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 abordarea standardizat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simplificat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men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la alineatul (2) de la prezentul articol, cu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ca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s</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ndeplineasc</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condi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zute la articolul 325a alineatul (1).</w:t>
            </w:r>
          </w:p>
          <w:p w14:paraId="27134833" w14:textId="08FBEF7D"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Prin derogare de la primul paragraf, o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 nu calculeaz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cerin</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e de fonduri proprii pentru riscul valutar aferente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din portofoliul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 xml:space="preserve">ionare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iilor din afara portofoliului de tranzac</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ionare care prezint</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un risc valutar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 xml:space="preserve">n cazul </w:t>
            </w:r>
            <w:r w:rsidRPr="00C011B2">
              <w:rPr>
                <w:rFonts w:ascii="Times New Roman" w:hAnsi="Times New Roman" w:cs="Times New Roman" w:hint="eastAsia"/>
                <w:bCs/>
                <w:color w:val="000000" w:themeColor="text1"/>
                <w:lang w:val="ro-MD"/>
              </w:rPr>
              <w:t>î</w:t>
            </w:r>
            <w:r w:rsidRPr="00C011B2">
              <w:rPr>
                <w:rFonts w:ascii="Times New Roman" w:hAnsi="Times New Roman" w:cs="Times New Roman"/>
                <w:bCs/>
                <w:color w:val="000000" w:themeColor="text1"/>
                <w:lang w:val="ro-MD"/>
              </w:rPr>
              <w:t>n care 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respective sunt deduse din fondurile proprii ale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iei. Institu</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documenteaz</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 utilizarea</w:t>
            </w:r>
          </w:p>
          <w:p w14:paraId="4C24C15D" w14:textId="203D7F1A" w:rsidR="00A12FFC" w:rsidRPr="00C011B2" w:rsidRDefault="00A12FFC"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derog</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rii prev</w:t>
            </w:r>
            <w:r w:rsidRPr="00C011B2">
              <w:rPr>
                <w:rFonts w:ascii="Times New Roman" w:hAnsi="Times New Roman" w:cs="Times New Roman" w:hint="eastAsia"/>
                <w:bCs/>
                <w:color w:val="000000" w:themeColor="text1"/>
                <w:lang w:val="ro-MD"/>
              </w:rPr>
              <w:t>ă</w:t>
            </w:r>
            <w:r w:rsidRPr="00C011B2">
              <w:rPr>
                <w:rFonts w:ascii="Times New Roman" w:hAnsi="Times New Roman" w:cs="Times New Roman"/>
                <w:bCs/>
                <w:color w:val="000000" w:themeColor="text1"/>
                <w:lang w:val="ro-MD"/>
              </w:rPr>
              <w:t xml:space="preserve">zute la prezentul paragraf, inclusiv impactul acesteia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 xml:space="preserve">i caracterul ei semnificativ, </w:t>
            </w:r>
            <w:r w:rsidRPr="00C011B2">
              <w:rPr>
                <w:rFonts w:ascii="Times New Roman" w:hAnsi="Times New Roman" w:cs="Times New Roman" w:hint="eastAsia"/>
                <w:bCs/>
                <w:color w:val="000000" w:themeColor="text1"/>
                <w:lang w:val="ro-MD"/>
              </w:rPr>
              <w:t>ș</w:t>
            </w:r>
            <w:r w:rsidRPr="00C011B2">
              <w:rPr>
                <w:rFonts w:ascii="Times New Roman" w:hAnsi="Times New Roman" w:cs="Times New Roman"/>
                <w:bCs/>
                <w:color w:val="000000" w:themeColor="text1"/>
                <w:lang w:val="ro-MD"/>
              </w:rPr>
              <w:t>i pune informa</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iile la dispozi</w:t>
            </w:r>
            <w:r w:rsidRPr="00C011B2">
              <w:rPr>
                <w:rFonts w:ascii="Times New Roman" w:hAnsi="Times New Roman" w:cs="Times New Roman" w:hint="eastAsia"/>
                <w:bCs/>
                <w:color w:val="000000" w:themeColor="text1"/>
                <w:lang w:val="ro-MD"/>
              </w:rPr>
              <w:t>ţ</w:t>
            </w:r>
            <w:r w:rsidRPr="00C011B2">
              <w:rPr>
                <w:rFonts w:ascii="Times New Roman" w:hAnsi="Times New Roman" w:cs="Times New Roman"/>
                <w:bCs/>
                <w:color w:val="000000" w:themeColor="text1"/>
                <w:lang w:val="ro-MD"/>
              </w:rPr>
              <w:t>ia autorit</w:t>
            </w:r>
            <w:r w:rsidRPr="00C011B2">
              <w:rPr>
                <w:rFonts w:ascii="Times New Roman" w:hAnsi="Times New Roman" w:cs="Times New Roman" w:hint="eastAsia"/>
                <w:bCs/>
                <w:color w:val="000000" w:themeColor="text1"/>
                <w:lang w:val="ro-MD"/>
              </w:rPr>
              <w:t>ăţ</w:t>
            </w:r>
            <w:r w:rsidRPr="00C011B2">
              <w:rPr>
                <w:rFonts w:ascii="Times New Roman" w:hAnsi="Times New Roman" w:cs="Times New Roman"/>
                <w:bCs/>
                <w:color w:val="000000" w:themeColor="text1"/>
                <w:lang w:val="ro-MD"/>
              </w:rPr>
              <w:t>ii sale competente, la cererea acesteia.</w:t>
            </w:r>
          </w:p>
        </w:tc>
        <w:tc>
          <w:tcPr>
            <w:tcW w:w="1692" w:type="pct"/>
            <w:shd w:val="clear" w:color="auto" w:fill="auto"/>
          </w:tcPr>
          <w:p w14:paraId="2FA32156" w14:textId="11A2A5D0" w:rsidR="00A12FFC" w:rsidRPr="00C011B2" w:rsidRDefault="003E3DC4" w:rsidP="00A12FFC">
            <w:pPr>
              <w:spacing w:after="0" w:line="276" w:lineRule="auto"/>
              <w:jc w:val="both"/>
              <w:rPr>
                <w:rFonts w:ascii="Times New Roman" w:hAnsi="Times New Roman" w:cs="Times New Roman"/>
                <w:bCs/>
                <w:color w:val="000000" w:themeColor="text1"/>
                <w:lang w:val="ro-MD"/>
              </w:rPr>
            </w:pPr>
            <w:bookmarkStart w:id="97" w:name="_Hlk201845972"/>
            <w:r w:rsidRPr="00C011B2">
              <w:rPr>
                <w:rFonts w:ascii="Times New Roman" w:hAnsi="Times New Roman" w:cs="Times New Roman"/>
                <w:bCs/>
                <w:color w:val="000000" w:themeColor="text1"/>
                <w:lang w:val="ro-MD"/>
              </w:rPr>
              <w:lastRenderedPageBreak/>
              <w:t>69.</w:t>
            </w:r>
            <w:r w:rsidR="00A12FF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calculeaz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ele de fonduri proprii pentru riscul de pia</w:t>
            </w:r>
            <w:r w:rsidR="00A12FFC" w:rsidRPr="00C011B2">
              <w:rPr>
                <w:rFonts w:ascii="Times New Roman" w:hAnsi="Times New Roman" w:cs="Times New Roman" w:hint="eastAsia"/>
                <w:bCs/>
                <w:color w:val="000000" w:themeColor="text1"/>
                <w:lang w:val="ro-MD"/>
              </w:rPr>
              <w:t>ţă</w:t>
            </w:r>
            <w:r w:rsidR="00A12FFC" w:rsidRPr="00C011B2">
              <w:rPr>
                <w:rFonts w:ascii="Times New Roman" w:hAnsi="Times New Roman" w:cs="Times New Roman"/>
                <w:bCs/>
                <w:color w:val="000000" w:themeColor="text1"/>
                <w:lang w:val="ro-MD"/>
              </w:rPr>
              <w:t xml:space="preserve"> pentru toate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iile din portofoliul de </w:t>
            </w:r>
            <w:r w:rsidR="00A12FFC" w:rsidRPr="00C011B2">
              <w:rPr>
                <w:rFonts w:ascii="Times New Roman" w:hAnsi="Times New Roman" w:cs="Times New Roman"/>
                <w:bCs/>
                <w:color w:val="000000" w:themeColor="text1"/>
                <w:lang w:val="ro-MD"/>
              </w:rPr>
              <w:lastRenderedPageBreak/>
              <w:t>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pentru toate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iile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care prezint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un risc valutar sau un risc de marf</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conformitate cu urm</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toarele abord</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w:t>
            </w:r>
          </w:p>
          <w:p w14:paraId="2042A720" w14:textId="039D0CD2" w:rsidR="00A12FFC" w:rsidRPr="00C011B2" w:rsidRDefault="003E3DC4"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69.1.</w:t>
            </w:r>
            <w:r w:rsidR="00A12FFC" w:rsidRPr="00C011B2">
              <w:rPr>
                <w:rFonts w:ascii="Times New Roman" w:hAnsi="Times New Roman" w:cs="Times New Roman"/>
                <w:bCs/>
                <w:color w:val="000000" w:themeColor="text1"/>
                <w:lang w:val="ro-MD"/>
              </w:rPr>
              <w:t xml:space="preserve"> abordarea standardizat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alternativ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zut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capitolul </w:t>
            </w:r>
            <w:r w:rsidRPr="00C011B2">
              <w:rPr>
                <w:rFonts w:ascii="Times New Roman" w:hAnsi="Times New Roman" w:cs="Times New Roman"/>
                <w:bCs/>
                <w:color w:val="000000" w:themeColor="text1"/>
                <w:lang w:val="ro-MD"/>
              </w:rPr>
              <w:t>II</w:t>
            </w:r>
            <w:r w:rsidR="00A12FFC" w:rsidRPr="00C011B2">
              <w:rPr>
                <w:rFonts w:ascii="Times New Roman" w:hAnsi="Times New Roman" w:cs="Times New Roman"/>
                <w:bCs/>
                <w:color w:val="000000" w:themeColor="text1"/>
                <w:lang w:val="ro-MD"/>
              </w:rPr>
              <w:t>;</w:t>
            </w:r>
          </w:p>
          <w:p w14:paraId="38124A05" w14:textId="0D22FCD3" w:rsidR="00A12FFC" w:rsidRPr="00C011B2" w:rsidRDefault="003E3DC4"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69.2.</w:t>
            </w:r>
            <w:r w:rsidR="00A12FFC" w:rsidRPr="00C011B2">
              <w:rPr>
                <w:rFonts w:ascii="Times New Roman" w:hAnsi="Times New Roman" w:cs="Times New Roman"/>
                <w:bCs/>
                <w:color w:val="000000" w:themeColor="text1"/>
                <w:lang w:val="ro-MD"/>
              </w:rPr>
              <w:t xml:space="preserve"> abordarea bazat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pe modele interne alternativ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zut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capitolul </w:t>
            </w:r>
            <w:r w:rsidRPr="00C011B2">
              <w:rPr>
                <w:rFonts w:ascii="Times New Roman" w:hAnsi="Times New Roman" w:cs="Times New Roman"/>
                <w:bCs/>
                <w:color w:val="000000" w:themeColor="text1"/>
                <w:lang w:val="ro-MD"/>
              </w:rPr>
              <w:t xml:space="preserve">III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cazul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iilor atribuite birourilor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pentru care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 xml:space="preserve">a primit aprobarea </w:t>
            </w:r>
            <w:r w:rsidR="00AF62AF" w:rsidRPr="00C011B2">
              <w:rPr>
                <w:rFonts w:ascii="Times New Roman" w:hAnsi="Times New Roman" w:cs="Times New Roman"/>
                <w:bCs/>
                <w:color w:val="000000" w:themeColor="text1"/>
                <w:lang w:val="ro-MD"/>
              </w:rPr>
              <w:t xml:space="preserve">prealabilă a </w:t>
            </w:r>
            <w:r w:rsidRPr="00C011B2">
              <w:rPr>
                <w:rFonts w:ascii="Times New Roman" w:hAnsi="Times New Roman" w:cs="Times New Roman"/>
                <w:bCs/>
                <w:color w:val="000000" w:themeColor="text1"/>
                <w:lang w:val="ro-MD"/>
              </w:rPr>
              <w:t>BNM</w:t>
            </w:r>
            <w:r w:rsidR="00A12FFC" w:rsidRPr="00C011B2">
              <w:rPr>
                <w:rFonts w:ascii="Times New Roman" w:hAnsi="Times New Roman" w:cs="Times New Roman"/>
                <w:bCs/>
                <w:color w:val="000000" w:themeColor="text1"/>
                <w:lang w:val="ro-MD"/>
              </w:rPr>
              <w:t xml:space="preserve"> de a utiliza respectiva abordare alternativ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astfel cum se prevede la </w:t>
            </w:r>
            <w:r w:rsidR="00EE3C57" w:rsidRPr="00C011B2">
              <w:rPr>
                <w:rFonts w:ascii="Times New Roman" w:hAnsi="Times New Roman" w:cs="Times New Roman"/>
                <w:bCs/>
                <w:color w:val="000000" w:themeColor="text1"/>
                <w:lang w:val="ro-MD"/>
              </w:rPr>
              <w:t>subpct.330</w:t>
            </w:r>
            <w:r w:rsidR="00A12FFC" w:rsidRPr="00C011B2">
              <w:rPr>
                <w:rFonts w:ascii="Times New Roman" w:hAnsi="Times New Roman" w:cs="Times New Roman"/>
                <w:bCs/>
                <w:color w:val="000000" w:themeColor="text1"/>
                <w:lang w:val="ro-MD"/>
              </w:rPr>
              <w:t>;</w:t>
            </w:r>
          </w:p>
          <w:p w14:paraId="30AE8207" w14:textId="7FA49606" w:rsidR="00A12FFC" w:rsidRPr="00C011B2" w:rsidRDefault="003E3DC4"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69.3.</w:t>
            </w:r>
            <w:r w:rsidR="00A12FFC" w:rsidRPr="00C011B2">
              <w:rPr>
                <w:rFonts w:ascii="Times New Roman" w:hAnsi="Times New Roman" w:cs="Times New Roman"/>
                <w:bCs/>
                <w:color w:val="000000" w:themeColor="text1"/>
                <w:lang w:val="ro-MD"/>
              </w:rPr>
              <w:t xml:space="preserve"> abordarea standardizat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simplificat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men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la </w:t>
            </w:r>
            <w:r w:rsidRPr="00C011B2">
              <w:rPr>
                <w:rFonts w:ascii="Times New Roman" w:hAnsi="Times New Roman" w:cs="Times New Roman"/>
                <w:bCs/>
                <w:color w:val="000000" w:themeColor="text1"/>
                <w:lang w:val="ro-MD"/>
              </w:rPr>
              <w:t>pct.71</w:t>
            </w:r>
            <w:r w:rsidR="00A12FFC" w:rsidRPr="00C011B2">
              <w:rPr>
                <w:rFonts w:ascii="Times New Roman" w:hAnsi="Times New Roman" w:cs="Times New Roman"/>
                <w:bCs/>
                <w:color w:val="000000" w:themeColor="text1"/>
                <w:lang w:val="ro-MD"/>
              </w:rPr>
              <w:t>, cu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ia ca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s</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ndeplineasc</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condi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iile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w:t>
            </w:r>
            <w:r w:rsidR="008F0958" w:rsidRPr="00C011B2">
              <w:rPr>
                <w:rFonts w:ascii="Times New Roman" w:hAnsi="Times New Roman" w:cs="Times New Roman"/>
                <w:bCs/>
                <w:color w:val="000000" w:themeColor="text1"/>
                <w:lang w:val="ro-MD"/>
              </w:rPr>
              <w:t>pct.79</w:t>
            </w:r>
            <w:r w:rsidR="00A12FFC" w:rsidRPr="00C011B2">
              <w:rPr>
                <w:rFonts w:ascii="Times New Roman" w:hAnsi="Times New Roman" w:cs="Times New Roman"/>
                <w:bCs/>
                <w:color w:val="000000" w:themeColor="text1"/>
                <w:lang w:val="ro-MD"/>
              </w:rPr>
              <w:t>.</w:t>
            </w:r>
          </w:p>
          <w:p w14:paraId="391AE247" w14:textId="775DD42A" w:rsidR="00A12FFC" w:rsidRPr="00C011B2" w:rsidRDefault="003E3DC4"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 xml:space="preserve">70. </w:t>
            </w:r>
            <w:r w:rsidR="00A12FFC" w:rsidRPr="00C011B2">
              <w:rPr>
                <w:rFonts w:ascii="Times New Roman" w:hAnsi="Times New Roman" w:cs="Times New Roman"/>
                <w:bCs/>
                <w:color w:val="000000" w:themeColor="text1"/>
                <w:lang w:val="ro-MD"/>
              </w:rPr>
              <w:t xml:space="preserve">Prin derogare de la </w:t>
            </w:r>
            <w:r w:rsidRPr="00C011B2">
              <w:rPr>
                <w:rFonts w:ascii="Times New Roman" w:hAnsi="Times New Roman" w:cs="Times New Roman"/>
                <w:bCs/>
                <w:color w:val="000000" w:themeColor="text1"/>
                <w:lang w:val="ro-MD"/>
              </w:rPr>
              <w:t>pct.69</w:t>
            </w:r>
            <w:r w:rsidR="00A12FFC" w:rsidRPr="00C011B2">
              <w:rPr>
                <w:rFonts w:ascii="Times New Roman" w:hAnsi="Times New Roman" w:cs="Times New Roman"/>
                <w:bCs/>
                <w:color w:val="000000" w:themeColor="text1"/>
                <w:lang w:val="ro-MD"/>
              </w:rPr>
              <w:t xml:space="preserve">, o </w:t>
            </w:r>
            <w:r w:rsidRPr="00C011B2">
              <w:rPr>
                <w:rFonts w:ascii="Times New Roman" w:hAnsi="Times New Roman" w:cs="Times New Roman"/>
                <w:bCs/>
                <w:color w:val="000000" w:themeColor="text1"/>
                <w:lang w:val="ro-MD"/>
              </w:rPr>
              <w:t xml:space="preserve">bancă </w:t>
            </w:r>
            <w:r w:rsidR="00A12FFC" w:rsidRPr="00C011B2">
              <w:rPr>
                <w:rFonts w:ascii="Times New Roman" w:hAnsi="Times New Roman" w:cs="Times New Roman"/>
                <w:bCs/>
                <w:color w:val="000000" w:themeColor="text1"/>
                <w:lang w:val="ro-MD"/>
              </w:rPr>
              <w:t>nu calculeaz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cerin</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e de fonduri proprii pentru riscul valutar aferente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iilor din portofoliul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ionare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iilor din afara portofoliului de tranzac</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ionare care prezint</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un risc valutar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 xml:space="preserve">n cazul </w:t>
            </w:r>
            <w:r w:rsidR="00A12FFC" w:rsidRPr="00C011B2">
              <w:rPr>
                <w:rFonts w:ascii="Times New Roman" w:hAnsi="Times New Roman" w:cs="Times New Roman" w:hint="eastAsia"/>
                <w:bCs/>
                <w:color w:val="000000" w:themeColor="text1"/>
                <w:lang w:val="ro-MD"/>
              </w:rPr>
              <w:t>î</w:t>
            </w:r>
            <w:r w:rsidR="00A12FFC" w:rsidRPr="00C011B2">
              <w:rPr>
                <w:rFonts w:ascii="Times New Roman" w:hAnsi="Times New Roman" w:cs="Times New Roman"/>
                <w:bCs/>
                <w:color w:val="000000" w:themeColor="text1"/>
                <w:lang w:val="ro-MD"/>
              </w:rPr>
              <w:t>n care 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iile respective sunt deduse din fondurile proprii ale </w:t>
            </w:r>
            <w:r w:rsidRPr="00C011B2">
              <w:rPr>
                <w:rFonts w:ascii="Times New Roman" w:hAnsi="Times New Roman" w:cs="Times New Roman"/>
                <w:bCs/>
                <w:color w:val="000000" w:themeColor="text1"/>
                <w:lang w:val="ro-MD"/>
              </w:rPr>
              <w:t>băncii</w:t>
            </w:r>
            <w:r w:rsidR="00A12FFC" w:rsidRPr="00C011B2">
              <w:rPr>
                <w:rFonts w:ascii="Times New Roman" w:hAnsi="Times New Roman" w:cs="Times New Roman"/>
                <w:bCs/>
                <w:color w:val="000000" w:themeColor="text1"/>
                <w:lang w:val="ro-MD"/>
              </w:rPr>
              <w:t xml:space="preserve">. </w:t>
            </w:r>
            <w:r w:rsidRPr="00C011B2">
              <w:rPr>
                <w:rFonts w:ascii="Times New Roman" w:hAnsi="Times New Roman" w:cs="Times New Roman"/>
                <w:bCs/>
                <w:color w:val="000000" w:themeColor="text1"/>
                <w:lang w:val="ro-MD"/>
              </w:rPr>
              <w:t xml:space="preserve">Banca </w:t>
            </w:r>
            <w:r w:rsidR="00A12FFC" w:rsidRPr="00C011B2">
              <w:rPr>
                <w:rFonts w:ascii="Times New Roman" w:hAnsi="Times New Roman" w:cs="Times New Roman"/>
                <w:bCs/>
                <w:color w:val="000000" w:themeColor="text1"/>
                <w:lang w:val="ro-MD"/>
              </w:rPr>
              <w:t>documenteaz</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 utilizarea</w:t>
            </w:r>
            <w:r w:rsidRPr="00C011B2">
              <w:rPr>
                <w:rFonts w:ascii="Times New Roman" w:hAnsi="Times New Roman" w:cs="Times New Roman"/>
                <w:bCs/>
                <w:color w:val="000000" w:themeColor="text1"/>
                <w:lang w:val="ro-MD"/>
              </w:rPr>
              <w:t xml:space="preserve"> </w:t>
            </w:r>
            <w:r w:rsidR="00A12FFC" w:rsidRPr="00C011B2">
              <w:rPr>
                <w:rFonts w:ascii="Times New Roman" w:hAnsi="Times New Roman" w:cs="Times New Roman"/>
                <w:bCs/>
                <w:color w:val="000000" w:themeColor="text1"/>
                <w:lang w:val="ro-MD"/>
              </w:rPr>
              <w:t>derog</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rii prev</w:t>
            </w:r>
            <w:r w:rsidR="00A12FFC" w:rsidRPr="00C011B2">
              <w:rPr>
                <w:rFonts w:ascii="Times New Roman" w:hAnsi="Times New Roman" w:cs="Times New Roman" w:hint="eastAsia"/>
                <w:bCs/>
                <w:color w:val="000000" w:themeColor="text1"/>
                <w:lang w:val="ro-MD"/>
              </w:rPr>
              <w:t>ă</w:t>
            </w:r>
            <w:r w:rsidR="00A12FFC" w:rsidRPr="00C011B2">
              <w:rPr>
                <w:rFonts w:ascii="Times New Roman" w:hAnsi="Times New Roman" w:cs="Times New Roman"/>
                <w:bCs/>
                <w:color w:val="000000" w:themeColor="text1"/>
                <w:lang w:val="ro-MD"/>
              </w:rPr>
              <w:t xml:space="preserve">zute la prezentul </w:t>
            </w:r>
            <w:r w:rsidRPr="00C011B2">
              <w:rPr>
                <w:rFonts w:ascii="Times New Roman" w:hAnsi="Times New Roman" w:cs="Times New Roman"/>
                <w:bCs/>
                <w:color w:val="000000" w:themeColor="text1"/>
                <w:lang w:val="ro-MD"/>
              </w:rPr>
              <w:t>punct</w:t>
            </w:r>
            <w:r w:rsidR="00A12FFC" w:rsidRPr="00C011B2">
              <w:rPr>
                <w:rFonts w:ascii="Times New Roman" w:hAnsi="Times New Roman" w:cs="Times New Roman"/>
                <w:bCs/>
                <w:color w:val="000000" w:themeColor="text1"/>
                <w:lang w:val="ro-MD"/>
              </w:rPr>
              <w:t xml:space="preserve">, inclusiv impactul acesteia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 xml:space="preserve">i caracterul ei semnificativ, </w:t>
            </w:r>
            <w:r w:rsidR="00A12FFC" w:rsidRPr="00C011B2">
              <w:rPr>
                <w:rFonts w:ascii="Times New Roman" w:hAnsi="Times New Roman" w:cs="Times New Roman" w:hint="eastAsia"/>
                <w:bCs/>
                <w:color w:val="000000" w:themeColor="text1"/>
                <w:lang w:val="ro-MD"/>
              </w:rPr>
              <w:t>ș</w:t>
            </w:r>
            <w:r w:rsidR="00A12FFC" w:rsidRPr="00C011B2">
              <w:rPr>
                <w:rFonts w:ascii="Times New Roman" w:hAnsi="Times New Roman" w:cs="Times New Roman"/>
                <w:bCs/>
                <w:color w:val="000000" w:themeColor="text1"/>
                <w:lang w:val="ro-MD"/>
              </w:rPr>
              <w:t>i pune informa</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iile la dispozi</w:t>
            </w:r>
            <w:r w:rsidR="00A12FFC" w:rsidRPr="00C011B2">
              <w:rPr>
                <w:rFonts w:ascii="Times New Roman" w:hAnsi="Times New Roman" w:cs="Times New Roman" w:hint="eastAsia"/>
                <w:bCs/>
                <w:color w:val="000000" w:themeColor="text1"/>
                <w:lang w:val="ro-MD"/>
              </w:rPr>
              <w:t>ţ</w:t>
            </w:r>
            <w:r w:rsidR="00A12FFC" w:rsidRPr="00C011B2">
              <w:rPr>
                <w:rFonts w:ascii="Times New Roman" w:hAnsi="Times New Roman" w:cs="Times New Roman"/>
                <w:bCs/>
                <w:color w:val="000000" w:themeColor="text1"/>
                <w:lang w:val="ro-MD"/>
              </w:rPr>
              <w:t xml:space="preserve">ia </w:t>
            </w:r>
            <w:r w:rsidRPr="00C011B2">
              <w:rPr>
                <w:rFonts w:ascii="Times New Roman" w:hAnsi="Times New Roman" w:cs="Times New Roman"/>
                <w:bCs/>
                <w:color w:val="000000" w:themeColor="text1"/>
                <w:lang w:val="ro-MD"/>
              </w:rPr>
              <w:t>BNM</w:t>
            </w:r>
            <w:r w:rsidR="00A12FFC" w:rsidRPr="00C011B2">
              <w:rPr>
                <w:rFonts w:ascii="Times New Roman" w:hAnsi="Times New Roman" w:cs="Times New Roman"/>
                <w:bCs/>
                <w:color w:val="000000" w:themeColor="text1"/>
                <w:lang w:val="ro-MD"/>
              </w:rPr>
              <w:t>, la cererea acesteia.</w:t>
            </w:r>
            <w:bookmarkEnd w:id="97"/>
          </w:p>
        </w:tc>
        <w:tc>
          <w:tcPr>
            <w:tcW w:w="450" w:type="pct"/>
          </w:tcPr>
          <w:p w14:paraId="5767A14C" w14:textId="57A21E9C" w:rsidR="00A12FFC" w:rsidRPr="00C011B2" w:rsidRDefault="003E3DC4"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3DA3C2D7"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0C8552A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2C51F4A" w14:textId="0AFDE5A6"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calculate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simplificat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sunt egale cu suma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toarelor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 de fonduri proprii, dup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caz:</w:t>
            </w:r>
          </w:p>
          <w:p w14:paraId="74BBC20B" w14:textId="787A906E"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capitolul 2,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nmul</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ite cu:</w:t>
            </w:r>
          </w:p>
          <w:p w14:paraId="635C185E" w14:textId="7DD1D525"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 1,3 pentru riscurile generale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specifice ale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pe instrumente de datorie, cu excep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instrumentelor de securitizare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articolul 337;</w:t>
            </w:r>
          </w:p>
          <w:p w14:paraId="6064B993" w14:textId="52935018"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(ii) 3,5 pentru riscurile generale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specifice ale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pe instrumente de capital;</w:t>
            </w:r>
          </w:p>
          <w:p w14:paraId="13302D79" w14:textId="77777777"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valutar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w:t>
            </w:r>
          </w:p>
          <w:p w14:paraId="3A4D321B" w14:textId="77777777"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capitolul 3,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nmul</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ite cu 1,2;</w:t>
            </w:r>
          </w:p>
          <w:p w14:paraId="030139AC" w14:textId="2CC0CB95"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capitolul 4,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nmul</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ite cu 1,9;</w:t>
            </w:r>
          </w:p>
          <w:p w14:paraId="4F58DBD9" w14:textId="1C75C852"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instrumentele de securitizare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articolul 337.</w:t>
            </w:r>
          </w:p>
        </w:tc>
        <w:tc>
          <w:tcPr>
            <w:tcW w:w="1692" w:type="pct"/>
            <w:shd w:val="clear" w:color="auto" w:fill="auto"/>
          </w:tcPr>
          <w:p w14:paraId="7DFF871D" w14:textId="65A1523B" w:rsidR="00A12FFC" w:rsidRPr="00C011B2" w:rsidRDefault="003E3DC4" w:rsidP="00A12FFC">
            <w:pPr>
              <w:spacing w:after="0" w:line="276" w:lineRule="auto"/>
              <w:jc w:val="both"/>
              <w:rPr>
                <w:rFonts w:ascii="Times New Roman" w:hAnsi="Times New Roman" w:cs="Times New Roman"/>
                <w:color w:val="000000" w:themeColor="text1"/>
                <w:lang w:val="ro-MD"/>
              </w:rPr>
            </w:pPr>
            <w:bookmarkStart w:id="98" w:name="_Hlk201847126"/>
            <w:r w:rsidRPr="00C011B2">
              <w:rPr>
                <w:rFonts w:ascii="Times New Roman" w:hAnsi="Times New Roman" w:cs="Times New Roman"/>
                <w:color w:val="000000" w:themeColor="text1"/>
                <w:lang w:val="ro-MD"/>
              </w:rPr>
              <w:t>71.</w:t>
            </w:r>
            <w:r w:rsidR="00A12FFC" w:rsidRPr="00C011B2">
              <w:rPr>
                <w:rFonts w:ascii="Times New Roman" w:hAnsi="Times New Roman" w:cs="Times New Roman"/>
                <w:color w:val="000000" w:themeColor="text1"/>
                <w:lang w:val="ro-MD"/>
              </w:rPr>
              <w:t xml:space="preserve">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pentru riscul de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calculate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conformitate cu abordarea standardizat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simplificat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sunt egale cu suma urm</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toarelor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 de fonduri proprii, dup</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caz:</w:t>
            </w:r>
          </w:p>
          <w:p w14:paraId="4EEF5D38" w14:textId="405D5C7A" w:rsidR="00A12FFC" w:rsidRPr="00C011B2" w:rsidRDefault="00956F58"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71.1.</w:t>
            </w:r>
            <w:r w:rsidR="00A12FFC" w:rsidRPr="00C011B2">
              <w:rPr>
                <w:rFonts w:ascii="Times New Roman" w:hAnsi="Times New Roman" w:cs="Times New Roman"/>
                <w:color w:val="000000" w:themeColor="text1"/>
                <w:lang w:val="ro-MD"/>
              </w:rPr>
              <w:t xml:space="preserve">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pentru riscul de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capitolul </w:t>
            </w:r>
            <w:r w:rsidRPr="00C011B2">
              <w:rPr>
                <w:rFonts w:ascii="Times New Roman" w:hAnsi="Times New Roman" w:cs="Times New Roman"/>
                <w:color w:val="000000" w:themeColor="text1"/>
                <w:lang w:val="ro-MD"/>
              </w:rPr>
              <w:t>IV</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nmul</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ite cu:</w:t>
            </w:r>
          </w:p>
          <w:p w14:paraId="4FD80695" w14:textId="2F03886E" w:rsidR="00A12FFC" w:rsidRPr="00C011B2" w:rsidRDefault="00956F58"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71.1.1</w:t>
            </w:r>
            <w:r w:rsidR="00A12FFC" w:rsidRPr="00C011B2">
              <w:rPr>
                <w:rFonts w:ascii="Times New Roman" w:hAnsi="Times New Roman" w:cs="Times New Roman"/>
                <w:color w:val="000000" w:themeColor="text1"/>
                <w:lang w:val="ro-MD"/>
              </w:rPr>
              <w:t xml:space="preserve"> 1,3 pentru riscurile generale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specifice ale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iilor pe instrumente de datorie, cu excep</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ia instrumentelor de securitizare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paragraful 3, subsecțiunea 1, secțiunea 2, capitolul IV</w:t>
            </w:r>
            <w:r w:rsidR="00A12FFC" w:rsidRPr="00C011B2">
              <w:rPr>
                <w:rFonts w:ascii="Times New Roman" w:hAnsi="Times New Roman" w:cs="Times New Roman"/>
                <w:color w:val="000000" w:themeColor="text1"/>
                <w:lang w:val="ro-MD"/>
              </w:rPr>
              <w:t>;</w:t>
            </w:r>
          </w:p>
          <w:p w14:paraId="2D8168C8" w14:textId="3595AC91" w:rsidR="00A12FFC" w:rsidRPr="00C011B2" w:rsidRDefault="00956F58"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71.1.2.</w:t>
            </w:r>
            <w:r w:rsidR="00A12FFC" w:rsidRPr="00C011B2">
              <w:rPr>
                <w:rFonts w:ascii="Times New Roman" w:hAnsi="Times New Roman" w:cs="Times New Roman"/>
                <w:color w:val="000000" w:themeColor="text1"/>
                <w:lang w:val="ro-MD"/>
              </w:rPr>
              <w:t xml:space="preserve"> 3,5 pentru riscurile generale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specifice ale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iilor pe instrumente de capital;</w:t>
            </w:r>
          </w:p>
          <w:p w14:paraId="589D94A6" w14:textId="4A0A10E4" w:rsidR="00A12FFC" w:rsidRPr="00C011B2" w:rsidRDefault="00956F58"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71.2.</w:t>
            </w:r>
            <w:r w:rsidR="00A12FFC" w:rsidRPr="00C011B2">
              <w:rPr>
                <w:rFonts w:ascii="Times New Roman" w:hAnsi="Times New Roman" w:cs="Times New Roman"/>
                <w:color w:val="000000" w:themeColor="text1"/>
                <w:lang w:val="ro-MD"/>
              </w:rPr>
              <w:t xml:space="preserve">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pentru riscul valutar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w:t>
            </w:r>
          </w:p>
          <w:p w14:paraId="305C95E6" w14:textId="7F36C8FA"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capitolul </w:t>
            </w:r>
            <w:r w:rsidR="001311F9"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nmul</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ite cu 1,2;</w:t>
            </w:r>
          </w:p>
          <w:p w14:paraId="6AEF5A1D" w14:textId="02903F59" w:rsidR="00A12FFC" w:rsidRPr="00C011B2" w:rsidRDefault="001311F9"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71.3.</w:t>
            </w:r>
            <w:r w:rsidR="00A12FFC" w:rsidRPr="00C011B2">
              <w:rPr>
                <w:rFonts w:ascii="Times New Roman" w:hAnsi="Times New Roman" w:cs="Times New Roman"/>
                <w:color w:val="000000" w:themeColor="text1"/>
                <w:lang w:val="ro-MD"/>
              </w:rPr>
              <w:t xml:space="preserve">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pentru riscul de marf</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capitolul </w:t>
            </w:r>
            <w:r w:rsidRPr="00C011B2">
              <w:rPr>
                <w:rFonts w:ascii="Times New Roman" w:hAnsi="Times New Roman" w:cs="Times New Roman"/>
                <w:color w:val="000000" w:themeColor="text1"/>
                <w:lang w:val="ro-MD"/>
              </w:rPr>
              <w:t>VI</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nmul</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ite cu 1,9;</w:t>
            </w:r>
          </w:p>
          <w:p w14:paraId="1EF70653" w14:textId="51153165" w:rsidR="00A12FFC" w:rsidRPr="00C011B2" w:rsidRDefault="001311F9" w:rsidP="00A12FFC">
            <w:pPr>
              <w:spacing w:after="0" w:line="276" w:lineRule="auto"/>
              <w:jc w:val="both"/>
              <w:rPr>
                <w:rFonts w:ascii="Times New Roman" w:hAnsi="Times New Roman" w:cs="Times New Roman"/>
                <w:bCs/>
                <w:color w:val="000000" w:themeColor="text1"/>
                <w:lang w:val="ro-MD"/>
              </w:rPr>
            </w:pPr>
            <w:r w:rsidRPr="00C011B2">
              <w:rPr>
                <w:rFonts w:ascii="Times New Roman" w:hAnsi="Times New Roman" w:cs="Times New Roman"/>
                <w:color w:val="000000" w:themeColor="text1"/>
                <w:lang w:val="ro-MD"/>
              </w:rPr>
              <w:t>71.4.</w:t>
            </w:r>
            <w:r w:rsidR="00A12FFC" w:rsidRPr="00C011B2">
              <w:rPr>
                <w:rFonts w:ascii="Times New Roman" w:hAnsi="Times New Roman" w:cs="Times New Roman"/>
                <w:color w:val="000000" w:themeColor="text1"/>
                <w:lang w:val="ro-MD"/>
              </w:rPr>
              <w:t xml:space="preserve">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pentru instrumentele de securitizare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w:t>
            </w:r>
            <w:r w:rsidRPr="00C011B2">
              <w:rPr>
                <w:rFonts w:ascii="Times New Roman" w:hAnsi="Times New Roman" w:cs="Times New Roman"/>
                <w:color w:val="000000" w:themeColor="text1"/>
                <w:lang w:val="ro-MD"/>
              </w:rPr>
              <w:t>paragraful 3, subsecțiunea 1, secțiunea 2, capitolul IV</w:t>
            </w:r>
            <w:r w:rsidR="00A12FFC" w:rsidRPr="00C011B2">
              <w:rPr>
                <w:rFonts w:ascii="Times New Roman" w:hAnsi="Times New Roman" w:cs="Times New Roman"/>
                <w:color w:val="000000" w:themeColor="text1"/>
                <w:lang w:val="ro-MD"/>
              </w:rPr>
              <w:t>.</w:t>
            </w:r>
            <w:bookmarkEnd w:id="98"/>
          </w:p>
        </w:tc>
        <w:tc>
          <w:tcPr>
            <w:tcW w:w="450" w:type="pct"/>
          </w:tcPr>
          <w:p w14:paraId="05BA669D" w14:textId="6BCCE107" w:rsidR="00A12FFC" w:rsidRPr="00C011B2" w:rsidRDefault="001311F9" w:rsidP="00A12FFC">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5AFF3AF3" w14:textId="77777777" w:rsidR="00A12FFC" w:rsidRPr="00C011B2" w:rsidRDefault="00A12FFC" w:rsidP="00A12FFC">
            <w:pPr>
              <w:spacing w:line="276" w:lineRule="auto"/>
              <w:jc w:val="both"/>
              <w:rPr>
                <w:rFonts w:ascii="Times New Roman" w:hAnsi="Times New Roman" w:cs="Times New Roman"/>
                <w:bCs/>
                <w:color w:val="000000" w:themeColor="text1"/>
                <w:lang w:val="ro-MD"/>
              </w:rPr>
            </w:pPr>
          </w:p>
        </w:tc>
      </w:tr>
      <w:tr w:rsidR="00A12FFC" w:rsidRPr="00C011B2" w14:paraId="694DEDB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551AF8" w14:textId="285E0C1C"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care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abordarea bazat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modele interne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(b) de la prezentul articol pentru a calcula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aferente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valutar sau un risc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raporteaz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sale competente calculul lunar al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(a) de la prezentul articol pentru fiecare birou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ruia i-au fost atribuite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respective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articolul 104b.</w:t>
            </w:r>
          </w:p>
        </w:tc>
        <w:tc>
          <w:tcPr>
            <w:tcW w:w="1692" w:type="pct"/>
            <w:shd w:val="clear" w:color="auto" w:fill="auto"/>
          </w:tcPr>
          <w:p w14:paraId="45F89A59" w14:textId="3BDE1736" w:rsidR="00A12FFC" w:rsidRPr="00C011B2" w:rsidRDefault="001311F9" w:rsidP="00A12FFC">
            <w:pPr>
              <w:spacing w:after="0" w:line="276" w:lineRule="auto"/>
              <w:jc w:val="both"/>
              <w:rPr>
                <w:rFonts w:ascii="Times New Roman" w:hAnsi="Times New Roman" w:cs="Times New Roman"/>
                <w:color w:val="000000" w:themeColor="text1"/>
                <w:lang w:val="ro-MD"/>
              </w:rPr>
            </w:pPr>
            <w:bookmarkStart w:id="99" w:name="_Hlk201847817"/>
            <w:r w:rsidRPr="00C011B2">
              <w:rPr>
                <w:rFonts w:ascii="Times New Roman" w:hAnsi="Times New Roman" w:cs="Times New Roman"/>
                <w:color w:val="000000" w:themeColor="text1"/>
                <w:lang w:val="ro-MD"/>
              </w:rPr>
              <w:t>72.</w:t>
            </w:r>
            <w:r w:rsidR="00A12FFC"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A12FFC" w:rsidRPr="00C011B2">
              <w:rPr>
                <w:rFonts w:ascii="Times New Roman" w:hAnsi="Times New Roman" w:cs="Times New Roman"/>
                <w:color w:val="000000" w:themeColor="text1"/>
                <w:lang w:val="ro-MD"/>
              </w:rPr>
              <w:t>care utilizeaz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abordarea bazat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pe modele interne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subpct.69.2</w:t>
            </w:r>
            <w:r w:rsidR="00A12FFC" w:rsidRPr="00C011B2">
              <w:rPr>
                <w:rFonts w:ascii="Times New Roman" w:hAnsi="Times New Roman" w:cs="Times New Roman"/>
                <w:color w:val="000000" w:themeColor="text1"/>
                <w:lang w:val="ro-MD"/>
              </w:rPr>
              <w:t xml:space="preserve"> pentru a calcula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pentru riscul de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aferente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iilor din portofoliul de tranzac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ionare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iilor din afara portofoliului de tranzac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ionare care prezint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un risc valutar sau un risc de marf</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raporteaz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w:t>
            </w:r>
            <w:r w:rsidR="00027921" w:rsidRPr="00C011B2">
              <w:rPr>
                <w:rFonts w:ascii="Times New Roman" w:hAnsi="Times New Roman" w:cs="Times New Roman"/>
                <w:color w:val="000000" w:themeColor="text1"/>
                <w:lang w:val="ro-MD"/>
              </w:rPr>
              <w:t>BNM</w:t>
            </w:r>
            <w:r w:rsidR="00A12FFC" w:rsidRPr="00C011B2">
              <w:rPr>
                <w:rFonts w:ascii="Times New Roman" w:hAnsi="Times New Roman" w:cs="Times New Roman"/>
                <w:color w:val="000000" w:themeColor="text1"/>
                <w:lang w:val="ro-MD"/>
              </w:rPr>
              <w:t xml:space="preserve"> calculul lunar al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elor de fonduri proprii pentru riscul de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utiliz</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nd abordarea standardizat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la </w:t>
            </w:r>
            <w:r w:rsidR="00027921" w:rsidRPr="00C011B2">
              <w:rPr>
                <w:rFonts w:ascii="Times New Roman" w:hAnsi="Times New Roman" w:cs="Times New Roman"/>
                <w:color w:val="000000" w:themeColor="text1"/>
                <w:lang w:val="ro-MD"/>
              </w:rPr>
              <w:t xml:space="preserve">subpct.69.1 </w:t>
            </w:r>
            <w:r w:rsidR="00A12FFC" w:rsidRPr="00C011B2">
              <w:rPr>
                <w:rFonts w:ascii="Times New Roman" w:hAnsi="Times New Roman" w:cs="Times New Roman"/>
                <w:color w:val="000000" w:themeColor="text1"/>
                <w:lang w:val="ro-MD"/>
              </w:rPr>
              <w:t>pentru fiecare birou de tranzac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ionare c</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ruia i-au fost atribuite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iile respective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conformitate cu </w:t>
            </w:r>
            <w:r w:rsidR="00027921" w:rsidRPr="00C011B2">
              <w:rPr>
                <w:rFonts w:ascii="Times New Roman" w:hAnsi="Times New Roman" w:cs="Times New Roman"/>
                <w:color w:val="000000" w:themeColor="text1"/>
                <w:lang w:val="ro-MD"/>
              </w:rPr>
              <w:t>secțiunea 5, capitolul III, titlul I</w:t>
            </w:r>
            <w:r w:rsidR="00A12FFC" w:rsidRPr="00C011B2">
              <w:rPr>
                <w:rFonts w:ascii="Times New Roman" w:hAnsi="Times New Roman" w:cs="Times New Roman"/>
                <w:color w:val="000000" w:themeColor="text1"/>
                <w:lang w:val="ro-MD"/>
              </w:rPr>
              <w:t>.</w:t>
            </w:r>
            <w:bookmarkEnd w:id="99"/>
          </w:p>
        </w:tc>
        <w:tc>
          <w:tcPr>
            <w:tcW w:w="450" w:type="pct"/>
          </w:tcPr>
          <w:p w14:paraId="6D4624B7" w14:textId="142E534E" w:rsidR="00A12FFC" w:rsidRPr="00C011B2" w:rsidRDefault="00027921" w:rsidP="00A12FFC">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36FB7F43"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r>
      <w:tr w:rsidR="00A12FFC" w:rsidRPr="00C011B2" w14:paraId="6ECB017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D9AD029" w14:textId="115EAE56"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poate utiliza o combina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(a) de la prezentul articol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abordarea bazat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modele interne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(b) de la prezentul articol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mod permanent, cu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totale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calculate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bazat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modele interne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reprezinte cel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10 % din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totale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individual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nu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niciuna dintre aceste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ri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combina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cu abordarea </w:t>
            </w:r>
            <w:r w:rsidRPr="00C011B2">
              <w:rPr>
                <w:rFonts w:ascii="Times New Roman" w:hAnsi="Times New Roman" w:cs="Times New Roman"/>
                <w:color w:val="000000" w:themeColor="text1"/>
                <w:lang w:val="ro-MD"/>
              </w:rPr>
              <w:lastRenderedPageBreak/>
              <w:t>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simplificat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(c) de la prezentul articol. La nivel consolidat,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poate utiliza o combina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a acestor trei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 pentru a calcula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articolul 325b alineatul (4) litera (b), at</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t timp 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t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simplificat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este utilizat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combina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cu celelalte dou</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ri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cadrul unei singure entit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 juridice.</w:t>
            </w:r>
          </w:p>
        </w:tc>
        <w:tc>
          <w:tcPr>
            <w:tcW w:w="1692" w:type="pct"/>
            <w:shd w:val="clear" w:color="auto" w:fill="auto"/>
          </w:tcPr>
          <w:p w14:paraId="3730A151" w14:textId="12AA9B0D" w:rsidR="00A12FFC" w:rsidRPr="00C011B2" w:rsidRDefault="00DF1F69" w:rsidP="00A12FFC">
            <w:pPr>
              <w:spacing w:after="0" w:line="276" w:lineRule="auto"/>
              <w:jc w:val="both"/>
              <w:rPr>
                <w:rFonts w:ascii="Times New Roman" w:hAnsi="Times New Roman" w:cs="Times New Roman"/>
                <w:color w:val="000000" w:themeColor="text1"/>
                <w:lang w:val="ro-MD"/>
              </w:rPr>
            </w:pPr>
            <w:bookmarkStart w:id="100" w:name="_Hlk201848166"/>
            <w:r w:rsidRPr="00C011B2">
              <w:rPr>
                <w:rFonts w:ascii="Times New Roman" w:hAnsi="Times New Roman" w:cs="Times New Roman"/>
                <w:color w:val="000000" w:themeColor="text1"/>
                <w:lang w:val="ro-MD"/>
              </w:rPr>
              <w:lastRenderedPageBreak/>
              <w:t>73.</w:t>
            </w:r>
            <w:r w:rsidR="00A12FFC"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A12FFC" w:rsidRPr="00C011B2">
              <w:rPr>
                <w:rFonts w:ascii="Times New Roman" w:hAnsi="Times New Roman" w:cs="Times New Roman"/>
                <w:color w:val="000000" w:themeColor="text1"/>
                <w:lang w:val="ro-MD"/>
              </w:rPr>
              <w:t>poate utiliza o combina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ntre abordarea standardizat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subpct.69.1</w:t>
            </w:r>
            <w:r w:rsidR="00A12FFC"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abordarea bazat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pe modele interne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subpct.69.2</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mod permanent, cu condi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ia ca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totale pentru riscul de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calculate utiliz</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nd abordarea bazat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pe modele interne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reprezinte cel pu</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in 10 % din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ele de fonduri proprii totale pentru riscul de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Pe baz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individual</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A12FFC" w:rsidRPr="00C011B2">
              <w:rPr>
                <w:rFonts w:ascii="Times New Roman" w:hAnsi="Times New Roman" w:cs="Times New Roman"/>
                <w:color w:val="000000" w:themeColor="text1"/>
                <w:lang w:val="ro-MD"/>
              </w:rPr>
              <w:t>nu utilizeaz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niciuna dintre aceste abord</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ri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combina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ie cu abordarea standardizat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simplificat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subpct.69.3</w:t>
            </w:r>
            <w:r w:rsidR="00A12FFC" w:rsidRPr="00C011B2">
              <w:rPr>
                <w:rFonts w:ascii="Times New Roman" w:hAnsi="Times New Roman" w:cs="Times New Roman"/>
                <w:color w:val="000000" w:themeColor="text1"/>
                <w:lang w:val="ro-MD"/>
              </w:rPr>
              <w:t xml:space="preserve">. La nivel consolidat, o </w:t>
            </w:r>
            <w:r w:rsidRPr="00C011B2">
              <w:rPr>
                <w:rFonts w:ascii="Times New Roman" w:hAnsi="Times New Roman" w:cs="Times New Roman"/>
                <w:color w:val="000000" w:themeColor="text1"/>
                <w:lang w:val="ro-MD"/>
              </w:rPr>
              <w:t xml:space="preserve">bancă </w:t>
            </w:r>
            <w:r w:rsidR="00A12FFC" w:rsidRPr="00C011B2">
              <w:rPr>
                <w:rFonts w:ascii="Times New Roman" w:hAnsi="Times New Roman" w:cs="Times New Roman"/>
                <w:color w:val="000000" w:themeColor="text1"/>
                <w:lang w:val="ro-MD"/>
              </w:rPr>
              <w:t>poate utiliza o combina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ie a acestor trei abord</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ri pentru a calcula cerin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ele </w:t>
            </w:r>
            <w:r w:rsidR="00A12FFC" w:rsidRPr="00C011B2">
              <w:rPr>
                <w:rFonts w:ascii="Times New Roman" w:hAnsi="Times New Roman" w:cs="Times New Roman"/>
                <w:color w:val="000000" w:themeColor="text1"/>
                <w:lang w:val="ro-MD"/>
              </w:rPr>
              <w:lastRenderedPageBreak/>
              <w:t>de fonduri proprii pentru riscul de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conformitate cu </w:t>
            </w:r>
            <w:r w:rsidR="008F0958" w:rsidRPr="00C011B2">
              <w:rPr>
                <w:rFonts w:ascii="Times New Roman" w:hAnsi="Times New Roman" w:cs="Times New Roman"/>
                <w:color w:val="000000" w:themeColor="text1"/>
                <w:lang w:val="ro-RO"/>
              </w:rPr>
              <w:t>subpct.91.2</w:t>
            </w:r>
            <w:r w:rsidR="00A12FFC" w:rsidRPr="00C011B2">
              <w:rPr>
                <w:rFonts w:ascii="Times New Roman" w:hAnsi="Times New Roman" w:cs="Times New Roman"/>
                <w:color w:val="000000" w:themeColor="text1"/>
                <w:lang w:val="ro-MD"/>
              </w:rPr>
              <w:t>, at</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t timp c</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t abordarea standardizat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simplificat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nu este utilizat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combina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ie cu celelalte dou</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abord</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ri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cadrul unei singure entit</w:t>
            </w:r>
            <w:r w:rsidR="00A12FFC" w:rsidRPr="00C011B2">
              <w:rPr>
                <w:rFonts w:ascii="Times New Roman" w:hAnsi="Times New Roman" w:cs="Times New Roman" w:hint="eastAsia"/>
                <w:color w:val="000000" w:themeColor="text1"/>
                <w:lang w:val="ro-MD"/>
              </w:rPr>
              <w:t>ăţ</w:t>
            </w:r>
            <w:r w:rsidR="00A12FFC" w:rsidRPr="00C011B2">
              <w:rPr>
                <w:rFonts w:ascii="Times New Roman" w:hAnsi="Times New Roman" w:cs="Times New Roman"/>
                <w:color w:val="000000" w:themeColor="text1"/>
                <w:lang w:val="ro-MD"/>
              </w:rPr>
              <w:t>i juridice.</w:t>
            </w:r>
            <w:bookmarkEnd w:id="100"/>
          </w:p>
        </w:tc>
        <w:tc>
          <w:tcPr>
            <w:tcW w:w="450" w:type="pct"/>
          </w:tcPr>
          <w:p w14:paraId="5FA973F8" w14:textId="0C5E7DEF" w:rsidR="00A12FFC" w:rsidRPr="00C011B2" w:rsidRDefault="00BE7A81" w:rsidP="00A12FFC">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lastRenderedPageBreak/>
              <w:t>compatibil</w:t>
            </w:r>
          </w:p>
        </w:tc>
        <w:tc>
          <w:tcPr>
            <w:tcW w:w="1261" w:type="pct"/>
          </w:tcPr>
          <w:p w14:paraId="02D2DF3E"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r>
      <w:tr w:rsidR="00A12FFC" w:rsidRPr="00C011B2" w14:paraId="3071975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A845BCA" w14:textId="727AAB29"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nu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abordarea bazat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modele interne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(b) pentru instrumentele din portofoliul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u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care sunt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securitizare sau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 incluse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corela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(ACTP)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la alineatele (6), (7)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(8).</w:t>
            </w:r>
          </w:p>
        </w:tc>
        <w:tc>
          <w:tcPr>
            <w:tcW w:w="1692" w:type="pct"/>
            <w:shd w:val="clear" w:color="auto" w:fill="auto"/>
          </w:tcPr>
          <w:p w14:paraId="52C22707" w14:textId="3C65F295" w:rsidR="00A12FFC" w:rsidRPr="00C011B2" w:rsidRDefault="00DF1F69" w:rsidP="00A12FFC">
            <w:pPr>
              <w:spacing w:after="0" w:line="276" w:lineRule="auto"/>
              <w:jc w:val="both"/>
              <w:rPr>
                <w:rFonts w:ascii="Times New Roman" w:hAnsi="Times New Roman" w:cs="Times New Roman"/>
                <w:color w:val="000000" w:themeColor="text1"/>
                <w:lang w:val="ro-MD"/>
              </w:rPr>
            </w:pPr>
            <w:bookmarkStart w:id="101" w:name="_Hlk201848374"/>
            <w:r w:rsidRPr="00C011B2">
              <w:rPr>
                <w:rFonts w:ascii="Times New Roman" w:hAnsi="Times New Roman" w:cs="Times New Roman"/>
                <w:color w:val="000000" w:themeColor="text1"/>
                <w:lang w:val="ro-MD"/>
              </w:rPr>
              <w:t>74.</w:t>
            </w:r>
            <w:r w:rsidR="00A12FFC"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A12FFC" w:rsidRPr="00C011B2">
              <w:rPr>
                <w:rFonts w:ascii="Times New Roman" w:hAnsi="Times New Roman" w:cs="Times New Roman"/>
                <w:color w:val="000000" w:themeColor="text1"/>
                <w:lang w:val="ro-MD"/>
              </w:rPr>
              <w:t>nu utilizeaz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abordarea bazat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pe modele interne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subpct.69.2</w:t>
            </w:r>
            <w:r w:rsidR="00A12FFC" w:rsidRPr="00C011B2">
              <w:rPr>
                <w:rFonts w:ascii="Times New Roman" w:hAnsi="Times New Roman" w:cs="Times New Roman"/>
                <w:color w:val="000000" w:themeColor="text1"/>
                <w:lang w:val="ro-MD"/>
              </w:rPr>
              <w:t xml:space="preserve"> pentru instrumentele din portofoliul s</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u de tranzac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ionare care sunt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 din securitizare sau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ii incluse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portofoliul de tranzac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ionare pe baz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de corela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ie alternativ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(ACTP) prev</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zute la </w:t>
            </w:r>
            <w:r w:rsidR="00B025A2" w:rsidRPr="00C011B2">
              <w:rPr>
                <w:rFonts w:ascii="Times New Roman" w:hAnsi="Times New Roman" w:cs="Times New Roman"/>
                <w:color w:val="000000" w:themeColor="text1"/>
                <w:lang w:val="ro-MD"/>
              </w:rPr>
              <w:t>pct.75-78</w:t>
            </w:r>
            <w:r w:rsidR="00A12FFC" w:rsidRPr="00C011B2">
              <w:rPr>
                <w:rFonts w:ascii="Times New Roman" w:hAnsi="Times New Roman" w:cs="Times New Roman"/>
                <w:color w:val="000000" w:themeColor="text1"/>
                <w:lang w:val="ro-MD"/>
              </w:rPr>
              <w:t>.</w:t>
            </w:r>
            <w:bookmarkEnd w:id="101"/>
          </w:p>
        </w:tc>
        <w:tc>
          <w:tcPr>
            <w:tcW w:w="450" w:type="pct"/>
          </w:tcPr>
          <w:p w14:paraId="7D601ECA" w14:textId="75D98C80" w:rsidR="00A12FFC" w:rsidRPr="00C011B2" w:rsidRDefault="00BE7A81" w:rsidP="00A12FFC">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compatibil</w:t>
            </w:r>
          </w:p>
        </w:tc>
        <w:tc>
          <w:tcPr>
            <w:tcW w:w="1261" w:type="pct"/>
          </w:tcPr>
          <w:p w14:paraId="6B8A371F"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r>
      <w:tr w:rsidR="00A12FFC" w:rsidRPr="00C011B2" w14:paraId="0BDACA9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5B4422" w14:textId="77777777" w:rsidR="00A12FFC" w:rsidRPr="00C011B2" w:rsidRDefault="00A12FFC" w:rsidP="00A12FFC">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6B651119" w14:textId="08A79EA6"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din securitizare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instrumentele financiare derivate de credit de tipul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n th -to-default</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care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ndeplinesc toate criteriile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toare se includ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ACTP:</w:t>
            </w:r>
          </w:p>
          <w:p w14:paraId="397957E1" w14:textId="751AC926"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nu sunt nici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resecuritizare, nici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iuni pe o tran</w:t>
            </w:r>
            <w:r w:rsidRPr="00C011B2">
              <w:rPr>
                <w:rFonts w:ascii="Times New Roman" w:hAnsi="Times New Roman" w:cs="Times New Roman" w:hint="eastAsia"/>
                <w:color w:val="000000" w:themeColor="text1"/>
                <w:lang w:val="ro-MD"/>
              </w:rPr>
              <w:t>șă</w:t>
            </w:r>
            <w:r w:rsidRPr="00C011B2">
              <w:rPr>
                <w:rFonts w:ascii="Times New Roman" w:hAnsi="Times New Roman" w:cs="Times New Roman"/>
                <w:color w:val="000000" w:themeColor="text1"/>
                <w:lang w:val="ro-MD"/>
              </w:rPr>
              <w:t xml:space="preserve"> din securitizare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nici alte instrumente financiare derivate ale expunerilor din securitizare care nu ofer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repartizare propor</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w:t>
            </w:r>
            <w:r w:rsidRPr="00C011B2">
              <w:rPr>
                <w:rFonts w:ascii="Times New Roman" w:hAnsi="Times New Roman" w:cs="Times New Roman" w:hint="eastAsia"/>
                <w:color w:val="000000" w:themeColor="text1"/>
                <w:lang w:val="ro-MD"/>
              </w:rPr>
              <w:t>ă</w:t>
            </w:r>
          </w:p>
          <w:p w14:paraId="7F2D1A71" w14:textId="77777777"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din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ncas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rile unei tran</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e din securitizare;</w:t>
            </w:r>
          </w:p>
          <w:p w14:paraId="005C5ABD" w14:textId="77777777"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toate instrumentele lor suport sunt:</w:t>
            </w:r>
          </w:p>
          <w:p w14:paraId="38FF91D5" w14:textId="691873CA"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instrumente av</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la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singur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semn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single-name instruments</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inclusiv instrumente financiare derivate de credit av</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la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singur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semn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single-name credit derivatives</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pentru care exist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lichid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bidirec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p w14:paraId="3BD13116" w14:textId="420AC0FF"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indici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mod normal, care se bazeaz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instrumentele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punctul (i).</w:t>
            </w:r>
          </w:p>
          <w:p w14:paraId="762BDBF4" w14:textId="2708680F"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consider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exist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bidirec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atunci 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exist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oferte independente, de bun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credin</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de cump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rare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v</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 xml:space="preserve">nzare, astfel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 xml:space="preserve">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cadrul unei zile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 poat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determina un pre</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 care este corelat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mod rezonabil cu ultimul pre</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 de v</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nzare sau cu cota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curente competitive, de bun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credin</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de cump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rare sau de v</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 xml:space="preserve">nzare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 poat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efectua decontarea la acest pre</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ntr-un interval relativ scurt potrivit uzan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ei comerciale.</w:t>
            </w:r>
          </w:p>
        </w:tc>
        <w:tc>
          <w:tcPr>
            <w:tcW w:w="1692" w:type="pct"/>
            <w:shd w:val="clear" w:color="auto" w:fill="auto"/>
          </w:tcPr>
          <w:p w14:paraId="5EEB1101" w14:textId="6C0C05E5" w:rsidR="00A12FFC" w:rsidRPr="00C011B2" w:rsidRDefault="00DF1F69" w:rsidP="00A12FFC">
            <w:pPr>
              <w:spacing w:after="0" w:line="276" w:lineRule="auto"/>
              <w:jc w:val="both"/>
              <w:rPr>
                <w:rFonts w:ascii="Times New Roman" w:hAnsi="Times New Roman" w:cs="Times New Roman"/>
                <w:color w:val="000000" w:themeColor="text1"/>
                <w:lang w:val="ro-MD"/>
              </w:rPr>
            </w:pPr>
            <w:bookmarkStart w:id="102" w:name="_Hlk201849832"/>
            <w:r w:rsidRPr="00C011B2">
              <w:rPr>
                <w:rFonts w:ascii="Times New Roman" w:hAnsi="Times New Roman" w:cs="Times New Roman"/>
                <w:color w:val="000000" w:themeColor="text1"/>
                <w:lang w:val="ro-MD"/>
              </w:rPr>
              <w:lastRenderedPageBreak/>
              <w:t>75.</w:t>
            </w:r>
            <w:r w:rsidR="00A12FFC" w:rsidRPr="00C011B2">
              <w:rPr>
                <w:rFonts w:ascii="Times New Roman" w:hAnsi="Times New Roman" w:cs="Times New Roman"/>
                <w:color w:val="000000" w:themeColor="text1"/>
                <w:lang w:val="ro-MD"/>
              </w:rPr>
              <w:t xml:space="preserv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iile din securitizare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 xml:space="preserve">i instrumentele financiare derivate de credit de tipul </w:t>
            </w:r>
            <w:r w:rsidR="00A12FFC" w:rsidRPr="00C011B2">
              <w:rPr>
                <w:rFonts w:ascii="Times New Roman" w:hAnsi="Times New Roman" w:cs="Times New Roman" w:hint="eastAsia"/>
                <w:color w:val="000000" w:themeColor="text1"/>
                <w:lang w:val="ro-MD"/>
              </w:rPr>
              <w:t>„</w:t>
            </w:r>
            <w:r w:rsidR="00A12FFC" w:rsidRPr="00C011B2">
              <w:rPr>
                <w:rFonts w:ascii="Times New Roman" w:hAnsi="Times New Roman" w:cs="Times New Roman"/>
                <w:color w:val="000000" w:themeColor="text1"/>
                <w:lang w:val="ro-MD"/>
              </w:rPr>
              <w:t>n th -to-default</w:t>
            </w:r>
            <w:r w:rsidR="00A12FFC" w:rsidRPr="00C011B2">
              <w:rPr>
                <w:rFonts w:ascii="Times New Roman" w:hAnsi="Times New Roman" w:cs="Times New Roman" w:hint="eastAsia"/>
                <w:color w:val="000000" w:themeColor="text1"/>
                <w:lang w:val="ro-MD"/>
              </w:rPr>
              <w:t>”</w:t>
            </w:r>
            <w:r w:rsidR="00A12FFC" w:rsidRPr="00C011B2">
              <w:rPr>
                <w:rFonts w:ascii="Times New Roman" w:hAnsi="Times New Roman" w:cs="Times New Roman"/>
                <w:color w:val="000000" w:themeColor="text1"/>
                <w:lang w:val="ro-MD"/>
              </w:rPr>
              <w:t xml:space="preserve"> care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ndeplinesc toate criteriile urm</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toare se includ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ACTP:</w:t>
            </w:r>
          </w:p>
          <w:p w14:paraId="7AF83CC9" w14:textId="244B1163" w:rsidR="00A12FFC" w:rsidRPr="00C011B2" w:rsidRDefault="00DF1F69"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75.1.</w:t>
            </w:r>
            <w:r w:rsidR="00A12FFC" w:rsidRPr="00C011B2">
              <w:rPr>
                <w:rFonts w:ascii="Times New Roman" w:hAnsi="Times New Roman" w:cs="Times New Roman"/>
                <w:color w:val="000000" w:themeColor="text1"/>
                <w:lang w:val="ro-MD"/>
              </w:rPr>
              <w:t xml:space="preserv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iile nu sunt nici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 din resecuritizare, nici op</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iuni pe o tran</w:t>
            </w:r>
            <w:r w:rsidR="00A12FFC" w:rsidRPr="00C011B2">
              <w:rPr>
                <w:rFonts w:ascii="Times New Roman" w:hAnsi="Times New Roman" w:cs="Times New Roman" w:hint="eastAsia"/>
                <w:color w:val="000000" w:themeColor="text1"/>
                <w:lang w:val="ro-MD"/>
              </w:rPr>
              <w:t>șă</w:t>
            </w:r>
            <w:r w:rsidR="00A12FFC" w:rsidRPr="00C011B2">
              <w:rPr>
                <w:rFonts w:ascii="Times New Roman" w:hAnsi="Times New Roman" w:cs="Times New Roman"/>
                <w:color w:val="000000" w:themeColor="text1"/>
                <w:lang w:val="ro-MD"/>
              </w:rPr>
              <w:t xml:space="preserve"> din securitizare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nici alte instrumente financiare derivate ale expunerilor din securitizare care nu ofer</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 repartizare propor</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ional</w:t>
            </w:r>
            <w:r w:rsidR="00A12FFC" w:rsidRPr="00C011B2">
              <w:rPr>
                <w:rFonts w:ascii="Times New Roman" w:hAnsi="Times New Roman" w:cs="Times New Roman" w:hint="eastAsia"/>
                <w:color w:val="000000" w:themeColor="text1"/>
                <w:lang w:val="ro-MD"/>
              </w:rPr>
              <w:t>ă</w:t>
            </w:r>
          </w:p>
          <w:p w14:paraId="2040DAAA" w14:textId="77777777"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din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ncas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rile unei tran</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e din securitizare;</w:t>
            </w:r>
          </w:p>
          <w:p w14:paraId="7311781B" w14:textId="6EE6CBB8" w:rsidR="00A12FFC" w:rsidRPr="00C011B2" w:rsidRDefault="00DF1F69"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75.2.</w:t>
            </w:r>
            <w:r w:rsidR="00A12FFC" w:rsidRPr="00C011B2">
              <w:rPr>
                <w:rFonts w:ascii="Times New Roman" w:hAnsi="Times New Roman" w:cs="Times New Roman"/>
                <w:color w:val="000000" w:themeColor="text1"/>
                <w:lang w:val="ro-MD"/>
              </w:rPr>
              <w:t xml:space="preserve"> toate instrumentele lor suport sunt:</w:t>
            </w:r>
          </w:p>
          <w:p w14:paraId="0039A789" w14:textId="272239FF" w:rsidR="00A12FFC" w:rsidRPr="00C011B2" w:rsidRDefault="00DF1F69"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75.2.1.</w:t>
            </w:r>
            <w:r w:rsidR="00A12FFC" w:rsidRPr="00C011B2">
              <w:rPr>
                <w:rFonts w:ascii="Times New Roman" w:hAnsi="Times New Roman" w:cs="Times New Roman"/>
                <w:color w:val="000000" w:themeColor="text1"/>
                <w:lang w:val="ro-MD"/>
              </w:rPr>
              <w:t xml:space="preserve"> instrumente av</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nd la baz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 singur</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semn</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tur</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w:t>
            </w:r>
            <w:r w:rsidR="00A12FFC" w:rsidRPr="00C011B2">
              <w:rPr>
                <w:rFonts w:ascii="Times New Roman" w:hAnsi="Times New Roman" w:cs="Times New Roman"/>
                <w:color w:val="000000" w:themeColor="text1"/>
                <w:lang w:val="ro-MD"/>
              </w:rPr>
              <w:t>single-name instruments</w:t>
            </w:r>
            <w:r w:rsidR="00A12FFC" w:rsidRPr="00C011B2">
              <w:rPr>
                <w:rFonts w:ascii="Times New Roman" w:hAnsi="Times New Roman" w:cs="Times New Roman" w:hint="eastAsia"/>
                <w:color w:val="000000" w:themeColor="text1"/>
                <w:lang w:val="ro-MD"/>
              </w:rPr>
              <w:t>”</w:t>
            </w:r>
            <w:r w:rsidR="00A12FFC" w:rsidRPr="00C011B2">
              <w:rPr>
                <w:rFonts w:ascii="Times New Roman" w:hAnsi="Times New Roman" w:cs="Times New Roman"/>
                <w:color w:val="000000" w:themeColor="text1"/>
                <w:lang w:val="ro-MD"/>
              </w:rPr>
              <w:t>), inclusiv instrumente financiare derivate de credit av</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nd la baz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 singur</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semn</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tur</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w:t>
            </w:r>
            <w:r w:rsidR="00A12FFC" w:rsidRPr="00C011B2">
              <w:rPr>
                <w:rFonts w:ascii="Times New Roman" w:hAnsi="Times New Roman" w:cs="Times New Roman"/>
                <w:color w:val="000000" w:themeColor="text1"/>
                <w:lang w:val="ro-MD"/>
              </w:rPr>
              <w:t>single-name credit derivatives</w:t>
            </w:r>
            <w:r w:rsidR="00A12FFC" w:rsidRPr="00C011B2">
              <w:rPr>
                <w:rFonts w:ascii="Times New Roman" w:hAnsi="Times New Roman" w:cs="Times New Roman" w:hint="eastAsia"/>
                <w:color w:val="000000" w:themeColor="text1"/>
                <w:lang w:val="ro-MD"/>
              </w:rPr>
              <w:t>”</w:t>
            </w:r>
            <w:r w:rsidR="00A12FFC" w:rsidRPr="00C011B2">
              <w:rPr>
                <w:rFonts w:ascii="Times New Roman" w:hAnsi="Times New Roman" w:cs="Times New Roman"/>
                <w:color w:val="000000" w:themeColor="text1"/>
                <w:lang w:val="ro-MD"/>
              </w:rPr>
              <w:t>), pentru care exist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lichid</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bidirec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ional</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w:t>
            </w:r>
            <w:r w:rsidR="0081359B" w:rsidRPr="00C011B2">
              <w:rPr>
                <w:rFonts w:ascii="Times New Roman" w:hAnsi="Times New Roman" w:cs="Times New Roman"/>
                <w:color w:val="000000" w:themeColor="text1"/>
                <w:lang w:val="ro-MD"/>
              </w:rPr>
              <w:t xml:space="preserve"> </w:t>
            </w:r>
          </w:p>
          <w:p w14:paraId="3EDCF2D5" w14:textId="1308CD23" w:rsidR="00A12FFC" w:rsidRPr="00C011B2" w:rsidRDefault="00BE7A81"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75.2.2.</w:t>
            </w:r>
            <w:r w:rsidR="00A12FFC" w:rsidRPr="00C011B2">
              <w:rPr>
                <w:rFonts w:ascii="Times New Roman" w:hAnsi="Times New Roman" w:cs="Times New Roman"/>
                <w:color w:val="000000" w:themeColor="text1"/>
                <w:lang w:val="ro-MD"/>
              </w:rPr>
              <w:t xml:space="preserve"> indici tranzac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mod normal, care se bazeaz</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pe instrumentele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subpct.75.2.1</w:t>
            </w:r>
            <w:r w:rsidR="00A12FFC" w:rsidRPr="00C011B2">
              <w:rPr>
                <w:rFonts w:ascii="Times New Roman" w:hAnsi="Times New Roman" w:cs="Times New Roman"/>
                <w:color w:val="000000" w:themeColor="text1"/>
                <w:lang w:val="ro-MD"/>
              </w:rPr>
              <w:t>.</w:t>
            </w:r>
          </w:p>
          <w:p w14:paraId="0BA213EF" w14:textId="480233DA" w:rsidR="00A12FFC" w:rsidRPr="00C011B2" w:rsidRDefault="00BE7A81"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76. </w:t>
            </w:r>
            <w:r w:rsidR="00A12FFC" w:rsidRPr="00C011B2">
              <w:rPr>
                <w:rFonts w:ascii="Times New Roman" w:hAnsi="Times New Roman" w:cs="Times New Roman"/>
                <w:color w:val="000000" w:themeColor="text1"/>
                <w:lang w:val="ro-MD"/>
              </w:rPr>
              <w:t>Se consider</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c</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exist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 pia</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bidirec</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ional</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atunci c</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nd exist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oferte independente, de bun</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credin</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de cump</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rare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v</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 xml:space="preserve">nzare, astfel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nc</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 xml:space="preserve">t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cadrul unei zile s</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se poat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determina un pre</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 care este corelat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mod rezonabil cu ultimul pre</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 de v</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nzare sau cu cota</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 curente competitive, de bun</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credin</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de cump</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rare sau de v</w:t>
            </w:r>
            <w:r w:rsidR="00A12FFC" w:rsidRPr="00C011B2">
              <w:rPr>
                <w:rFonts w:ascii="Times New Roman" w:hAnsi="Times New Roman" w:cs="Times New Roman" w:hint="eastAsia"/>
                <w:color w:val="000000" w:themeColor="text1"/>
                <w:lang w:val="ro-MD"/>
              </w:rPr>
              <w:t>â</w:t>
            </w:r>
            <w:r w:rsidR="00A12FFC" w:rsidRPr="00C011B2">
              <w:rPr>
                <w:rFonts w:ascii="Times New Roman" w:hAnsi="Times New Roman" w:cs="Times New Roman"/>
                <w:color w:val="000000" w:themeColor="text1"/>
                <w:lang w:val="ro-MD"/>
              </w:rPr>
              <w:t xml:space="preserve">nzare </w:t>
            </w:r>
            <w:r w:rsidR="00A12FFC" w:rsidRPr="00C011B2">
              <w:rPr>
                <w:rFonts w:ascii="Times New Roman" w:hAnsi="Times New Roman" w:cs="Times New Roman" w:hint="eastAsia"/>
                <w:color w:val="000000" w:themeColor="text1"/>
                <w:lang w:val="ro-MD"/>
              </w:rPr>
              <w:t>ș</w:t>
            </w:r>
            <w:r w:rsidR="00A12FFC" w:rsidRPr="00C011B2">
              <w:rPr>
                <w:rFonts w:ascii="Times New Roman" w:hAnsi="Times New Roman" w:cs="Times New Roman"/>
                <w:color w:val="000000" w:themeColor="text1"/>
                <w:lang w:val="ro-MD"/>
              </w:rPr>
              <w:t>i s</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se poat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efectua decontarea la acest pre</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ntr-un interval relativ scurt potrivit uzan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ei comerciale.</w:t>
            </w:r>
            <w:bookmarkEnd w:id="102"/>
          </w:p>
        </w:tc>
        <w:tc>
          <w:tcPr>
            <w:tcW w:w="450" w:type="pct"/>
          </w:tcPr>
          <w:p w14:paraId="63E367B4" w14:textId="58CAA969" w:rsidR="00A12FFC" w:rsidRPr="00C011B2" w:rsidRDefault="00D12468" w:rsidP="00A12FFC">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60E40DB"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r>
      <w:tr w:rsidR="00A12FFC" w:rsidRPr="00C011B2" w14:paraId="7999FD5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651C1A" w14:textId="5CC408BE"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cu oricare dintre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toarele instrumente-suport nu se includ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ACTP:</w:t>
            </w:r>
          </w:p>
          <w:p w14:paraId="04A3500E" w14:textId="242BF694"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instrumente-suport care sunt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ncadrate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clasele de expuneri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articolul 112 litera (h) sau (i);</w:t>
            </w:r>
          </w:p>
          <w:p w14:paraId="2244516A" w14:textId="2B79BF5F"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o crean</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asupra unei entit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 cu scop special, garantat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direct sau indirect, cu o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care,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w:t>
            </w:r>
            <w:r w:rsidRPr="00C011B2">
              <w:rPr>
                <w:rFonts w:ascii="Times New Roman" w:hAnsi="Times New Roman" w:cs="Times New Roman"/>
                <w:color w:val="000000" w:themeColor="text1"/>
                <w:lang w:val="ro-MD"/>
              </w:rPr>
              <w:lastRenderedPageBreak/>
              <w:t>conformitate cu alineatul (6), nu ar fi eligibil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sine pentru includere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ACTP.</w:t>
            </w:r>
          </w:p>
        </w:tc>
        <w:tc>
          <w:tcPr>
            <w:tcW w:w="1692" w:type="pct"/>
            <w:shd w:val="clear" w:color="auto" w:fill="auto"/>
          </w:tcPr>
          <w:p w14:paraId="2978635C" w14:textId="53B27887" w:rsidR="00A12FFC" w:rsidRPr="00C011B2" w:rsidRDefault="00BE7A81" w:rsidP="00A12FFC">
            <w:pPr>
              <w:spacing w:after="0" w:line="276" w:lineRule="auto"/>
              <w:jc w:val="both"/>
              <w:rPr>
                <w:rFonts w:ascii="Times New Roman" w:hAnsi="Times New Roman" w:cs="Times New Roman"/>
                <w:color w:val="000000" w:themeColor="text1"/>
                <w:lang w:val="ro-MD"/>
              </w:rPr>
            </w:pPr>
            <w:bookmarkStart w:id="103" w:name="_Hlk201849876"/>
            <w:r w:rsidRPr="00C011B2">
              <w:rPr>
                <w:rFonts w:ascii="Times New Roman" w:hAnsi="Times New Roman" w:cs="Times New Roman"/>
                <w:color w:val="000000" w:themeColor="text1"/>
                <w:lang w:val="ro-MD"/>
              </w:rPr>
              <w:lastRenderedPageBreak/>
              <w:t>77.</w:t>
            </w:r>
            <w:r w:rsidR="00A12FFC" w:rsidRPr="00C011B2">
              <w:rPr>
                <w:rFonts w:ascii="Times New Roman" w:hAnsi="Times New Roman" w:cs="Times New Roman"/>
                <w:color w:val="000000" w:themeColor="text1"/>
                <w:lang w:val="ro-MD"/>
              </w:rPr>
              <w:t xml:space="preserve">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iile cu oricare dintre urm</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toarele instrumente-suport nu se includ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ACTP:</w:t>
            </w:r>
          </w:p>
          <w:p w14:paraId="0A887C12" w14:textId="619283E2" w:rsidR="00A12FFC" w:rsidRPr="00C011B2" w:rsidRDefault="00BE7A81"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77.1.</w:t>
            </w:r>
            <w:r w:rsidR="00A12FFC" w:rsidRPr="00C011B2">
              <w:rPr>
                <w:rFonts w:ascii="Times New Roman" w:hAnsi="Times New Roman" w:cs="Times New Roman"/>
                <w:color w:val="000000" w:themeColor="text1"/>
                <w:lang w:val="ro-MD"/>
              </w:rPr>
              <w:t xml:space="preserve"> instrumente-suport care sunt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ncadrate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clasele de expuneri men</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ionate la </w:t>
            </w:r>
            <w:r w:rsidR="0081359B" w:rsidRPr="00C011B2">
              <w:rPr>
                <w:rFonts w:ascii="Times New Roman" w:hAnsi="Times New Roman" w:cs="Times New Roman"/>
                <w:color w:val="000000" w:themeColor="text1"/>
                <w:lang w:val="ro-MD"/>
              </w:rPr>
              <w:t xml:space="preserve">subpct.8) sau 9) pct.11 din Regulamentul </w:t>
            </w:r>
            <w:r w:rsidR="00A70D2E" w:rsidRPr="00C011B2">
              <w:rPr>
                <w:rFonts w:ascii="Times New Roman" w:hAnsi="Times New Roman" w:cs="Times New Roman"/>
                <w:color w:val="000000" w:themeColor="text1"/>
                <w:lang w:val="ro-MD"/>
              </w:rPr>
              <w:t xml:space="preserve">cu privire la tratamentul riscului de credit pentru bănci potrivit abordării standardizate, aprobat prin </w:t>
            </w:r>
            <w:r w:rsidR="00A70D2E" w:rsidRPr="00C011B2">
              <w:rPr>
                <w:rFonts w:ascii="Times New Roman" w:hAnsi="Times New Roman" w:cs="Times New Roman"/>
                <w:color w:val="000000" w:themeColor="text1"/>
                <w:lang w:val="ro-MD"/>
              </w:rPr>
              <w:lastRenderedPageBreak/>
              <w:t>hotărârea Comitetului executiv al BNM nr.111/2018 (în continuare – Regulamentul nr.111/2018)</w:t>
            </w:r>
            <w:r w:rsidR="00A12FFC" w:rsidRPr="00C011B2">
              <w:rPr>
                <w:rFonts w:ascii="Times New Roman" w:hAnsi="Times New Roman" w:cs="Times New Roman"/>
                <w:color w:val="000000" w:themeColor="text1"/>
                <w:lang w:val="ro-MD"/>
              </w:rPr>
              <w:t>;</w:t>
            </w:r>
          </w:p>
          <w:p w14:paraId="31F4218E" w14:textId="709453D8" w:rsidR="00A12FFC" w:rsidRPr="00C011B2" w:rsidRDefault="00BE7A81"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77.2.</w:t>
            </w:r>
            <w:r w:rsidR="00A12FFC" w:rsidRPr="00C011B2">
              <w:rPr>
                <w:rFonts w:ascii="Times New Roman" w:hAnsi="Times New Roman" w:cs="Times New Roman"/>
                <w:color w:val="000000" w:themeColor="text1"/>
                <w:lang w:val="ro-MD"/>
              </w:rPr>
              <w:t xml:space="preserve"> o crean</w:t>
            </w:r>
            <w:r w:rsidR="00A12FFC" w:rsidRPr="00C011B2">
              <w:rPr>
                <w:rFonts w:ascii="Times New Roman" w:hAnsi="Times New Roman" w:cs="Times New Roman" w:hint="eastAsia"/>
                <w:color w:val="000000" w:themeColor="text1"/>
                <w:lang w:val="ro-MD"/>
              </w:rPr>
              <w:t>ţă</w:t>
            </w:r>
            <w:r w:rsidR="00A12FFC" w:rsidRPr="00C011B2">
              <w:rPr>
                <w:rFonts w:ascii="Times New Roman" w:hAnsi="Times New Roman" w:cs="Times New Roman"/>
                <w:color w:val="000000" w:themeColor="text1"/>
                <w:lang w:val="ro-MD"/>
              </w:rPr>
              <w:t xml:space="preserve"> asupra unei entit</w:t>
            </w:r>
            <w:r w:rsidR="00A12FFC" w:rsidRPr="00C011B2">
              <w:rPr>
                <w:rFonts w:ascii="Times New Roman" w:hAnsi="Times New Roman" w:cs="Times New Roman" w:hint="eastAsia"/>
                <w:color w:val="000000" w:themeColor="text1"/>
                <w:lang w:val="ro-MD"/>
              </w:rPr>
              <w:t>ăţ</w:t>
            </w:r>
            <w:r w:rsidR="00A12FFC" w:rsidRPr="00C011B2">
              <w:rPr>
                <w:rFonts w:ascii="Times New Roman" w:hAnsi="Times New Roman" w:cs="Times New Roman"/>
                <w:color w:val="000000" w:themeColor="text1"/>
                <w:lang w:val="ro-MD"/>
              </w:rPr>
              <w:t>i cu scop special, garantat</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direct sau indirect, cu o pozi</w:t>
            </w:r>
            <w:r w:rsidR="00A12FFC" w:rsidRPr="00C011B2">
              <w:rPr>
                <w:rFonts w:ascii="Times New Roman" w:hAnsi="Times New Roman" w:cs="Times New Roman" w:hint="eastAsia"/>
                <w:color w:val="000000" w:themeColor="text1"/>
                <w:lang w:val="ro-MD"/>
              </w:rPr>
              <w:t>ţ</w:t>
            </w:r>
            <w:r w:rsidR="00A12FFC" w:rsidRPr="00C011B2">
              <w:rPr>
                <w:rFonts w:ascii="Times New Roman" w:hAnsi="Times New Roman" w:cs="Times New Roman"/>
                <w:color w:val="000000" w:themeColor="text1"/>
                <w:lang w:val="ro-MD"/>
              </w:rPr>
              <w:t xml:space="preserve">ie care,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conformitate cu </w:t>
            </w:r>
            <w:r w:rsidR="0021356F" w:rsidRPr="00C011B2">
              <w:rPr>
                <w:rFonts w:ascii="Times New Roman" w:hAnsi="Times New Roman" w:cs="Times New Roman"/>
                <w:color w:val="000000" w:themeColor="text1"/>
                <w:lang w:val="ro-MD"/>
              </w:rPr>
              <w:t>pct.75</w:t>
            </w:r>
            <w:r w:rsidR="00A12FFC" w:rsidRPr="00C011B2">
              <w:rPr>
                <w:rFonts w:ascii="Times New Roman" w:hAnsi="Times New Roman" w:cs="Times New Roman"/>
                <w:color w:val="000000" w:themeColor="text1"/>
                <w:lang w:val="ro-MD"/>
              </w:rPr>
              <w:t>, nu ar fi eligibil</w:t>
            </w:r>
            <w:r w:rsidR="00A12FFC" w:rsidRPr="00C011B2">
              <w:rPr>
                <w:rFonts w:ascii="Times New Roman" w:hAnsi="Times New Roman" w:cs="Times New Roman" w:hint="eastAsia"/>
                <w:color w:val="000000" w:themeColor="text1"/>
                <w:lang w:val="ro-MD"/>
              </w:rPr>
              <w:t>ă</w:t>
            </w:r>
            <w:r w:rsidR="00A12FFC" w:rsidRPr="00C011B2">
              <w:rPr>
                <w:rFonts w:ascii="Times New Roman" w:hAnsi="Times New Roman" w:cs="Times New Roman"/>
                <w:color w:val="000000" w:themeColor="text1"/>
                <w:lang w:val="ro-MD"/>
              </w:rPr>
              <w:t xml:space="preserv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 xml:space="preserve">n sine pentru includere </w:t>
            </w:r>
            <w:r w:rsidR="00A12FFC" w:rsidRPr="00C011B2">
              <w:rPr>
                <w:rFonts w:ascii="Times New Roman" w:hAnsi="Times New Roman" w:cs="Times New Roman" w:hint="eastAsia"/>
                <w:color w:val="000000" w:themeColor="text1"/>
                <w:lang w:val="ro-MD"/>
              </w:rPr>
              <w:t>î</w:t>
            </w:r>
            <w:r w:rsidR="00A12FFC" w:rsidRPr="00C011B2">
              <w:rPr>
                <w:rFonts w:ascii="Times New Roman" w:hAnsi="Times New Roman" w:cs="Times New Roman"/>
                <w:color w:val="000000" w:themeColor="text1"/>
                <w:lang w:val="ro-MD"/>
              </w:rPr>
              <w:t>n ACTP.</w:t>
            </w:r>
            <w:bookmarkEnd w:id="103"/>
          </w:p>
        </w:tc>
        <w:tc>
          <w:tcPr>
            <w:tcW w:w="450" w:type="pct"/>
          </w:tcPr>
          <w:p w14:paraId="7DB81A73" w14:textId="6858B37E" w:rsidR="00A12FFC" w:rsidRPr="00C011B2" w:rsidRDefault="00D12468" w:rsidP="00A12FFC">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ADBB420"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r>
      <w:tr w:rsidR="00A12FFC" w:rsidRPr="00FA7D23" w14:paraId="533936C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15C554" w14:textId="2700607C" w:rsidR="00A12FFC" w:rsidRPr="00C011B2" w:rsidRDefault="00A12FFC" w:rsidP="00A12FFC">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Instituţiile pot include în ACTP poziţii care nu sunt nici poziţii din securitizare, nici instrumente financiare derivate de credit de tipul „n th -to-default”, dar care acoperă alte poziţii din acest portofoliu, cu condiţia să existe o piaţă lichidă bidirecţională, astfel cum este descrisă la alineatul (6) al doilea paragraf, pentru instrumentul respectiv sau pentru instrumentele-suport ale acestuia.</w:t>
            </w:r>
          </w:p>
        </w:tc>
        <w:tc>
          <w:tcPr>
            <w:tcW w:w="1692" w:type="pct"/>
            <w:shd w:val="clear" w:color="auto" w:fill="auto"/>
          </w:tcPr>
          <w:p w14:paraId="0F400BD9" w14:textId="61AC22A1" w:rsidR="00A12FFC" w:rsidRPr="00C011B2" w:rsidRDefault="00B025A2" w:rsidP="00A12FFC">
            <w:pPr>
              <w:spacing w:after="0" w:line="276" w:lineRule="auto"/>
              <w:jc w:val="both"/>
              <w:rPr>
                <w:rFonts w:ascii="Times New Roman" w:hAnsi="Times New Roman" w:cs="Times New Roman"/>
                <w:color w:val="000000" w:themeColor="text1"/>
                <w:lang w:val="ro-MD"/>
              </w:rPr>
            </w:pPr>
            <w:bookmarkStart w:id="104" w:name="_Hlk201849995"/>
            <w:r w:rsidRPr="00C011B2">
              <w:rPr>
                <w:rFonts w:ascii="Times New Roman" w:hAnsi="Times New Roman" w:cs="Times New Roman"/>
                <w:color w:val="000000" w:themeColor="text1"/>
                <w:lang w:val="ro-MD"/>
              </w:rPr>
              <w:t>78.</w:t>
            </w:r>
            <w:r w:rsidR="00A12FFC"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A12FFC" w:rsidRPr="00C011B2">
              <w:rPr>
                <w:rFonts w:ascii="Times New Roman" w:hAnsi="Times New Roman" w:cs="Times New Roman"/>
                <w:color w:val="000000" w:themeColor="text1"/>
                <w:lang w:val="ro-MD"/>
              </w:rPr>
              <w:t>pot include în ACTP poziţii care nu sunt nici poziţii din securitizare, nici instrumente financiare derivate de credit de tipul „n th -to-default”, dar care acoperă alte poziţii din acest portofoliu, cu condiţia să existe o piaţă lichidă bidirecţională, astfel cum este descrisă la</w:t>
            </w:r>
            <w:r w:rsidRPr="00C011B2">
              <w:rPr>
                <w:rFonts w:ascii="Times New Roman" w:hAnsi="Times New Roman" w:cs="Times New Roman"/>
                <w:color w:val="000000" w:themeColor="text1"/>
                <w:lang w:val="ro-MD"/>
              </w:rPr>
              <w:t xml:space="preserve"> pct.76</w:t>
            </w:r>
            <w:r w:rsidR="00A12FFC" w:rsidRPr="00C011B2">
              <w:rPr>
                <w:rFonts w:ascii="Times New Roman" w:hAnsi="Times New Roman" w:cs="Times New Roman"/>
                <w:color w:val="000000" w:themeColor="text1"/>
                <w:lang w:val="ro-MD"/>
              </w:rPr>
              <w:t>, pentru instrumentul respectiv sau pentru instrumentele-suport ale acestuia.</w:t>
            </w:r>
            <w:bookmarkEnd w:id="104"/>
          </w:p>
        </w:tc>
        <w:tc>
          <w:tcPr>
            <w:tcW w:w="450" w:type="pct"/>
          </w:tcPr>
          <w:p w14:paraId="27133FA0"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c>
          <w:tcPr>
            <w:tcW w:w="1261" w:type="pct"/>
          </w:tcPr>
          <w:p w14:paraId="287CB505" w14:textId="77777777" w:rsidR="00A12FFC" w:rsidRPr="00C011B2" w:rsidRDefault="00A12FFC" w:rsidP="00A12FFC">
            <w:pPr>
              <w:spacing w:line="276" w:lineRule="auto"/>
              <w:jc w:val="both"/>
              <w:rPr>
                <w:rFonts w:ascii="Times New Roman" w:hAnsi="Times New Roman" w:cs="Times New Roman"/>
                <w:color w:val="000000" w:themeColor="text1"/>
                <w:lang w:val="ro-MD"/>
              </w:rPr>
            </w:pPr>
          </w:p>
        </w:tc>
      </w:tr>
      <w:tr w:rsidR="00DF1F69" w:rsidRPr="00FA7D23" w14:paraId="11E7C0F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198525"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2E300DFA" w14:textId="6DD59585"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ABE elaboreaz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proiecte de standarde tehnice de reglementare pentru a preciza modul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trebuie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calculeze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aferente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valutar sau un risc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zute la</w:t>
            </w:r>
          </w:p>
          <w:p w14:paraId="619B2CDA" w14:textId="6FD6565E"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alineatul (1) literele (a)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(b) de la prezentul articol, </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seama de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la articolul 104b alineatele (5)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(6), dup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caz.</w:t>
            </w:r>
          </w:p>
          <w:p w14:paraId="1125F8FF"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ABE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Comisiei aceste proiecte de standarde tehnice de reglementare p</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10 iulie 2025.</w:t>
            </w:r>
          </w:p>
          <w:p w14:paraId="56E1125A" w14:textId="14059B76"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Comisiei competen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de a completa prezentul regulament prin adoptarea standardelor tehnice de reglementare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la primul paragraf de la prezentul alineat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articolele 10-14 din Regulamentul (UE) nr. 1093/2010.</w:t>
            </w:r>
          </w:p>
        </w:tc>
        <w:tc>
          <w:tcPr>
            <w:tcW w:w="1692" w:type="pct"/>
            <w:shd w:val="clear" w:color="auto" w:fill="auto"/>
          </w:tcPr>
          <w:p w14:paraId="1389D8AB" w14:textId="4CE3DA0C" w:rsidR="00DF1F69" w:rsidRPr="00C011B2" w:rsidRDefault="00DF1F69" w:rsidP="00DF1F69">
            <w:pPr>
              <w:spacing w:after="0" w:line="276" w:lineRule="auto"/>
              <w:jc w:val="both"/>
              <w:rPr>
                <w:rFonts w:ascii="Times New Roman" w:hAnsi="Times New Roman" w:cs="Times New Roman"/>
                <w:color w:val="000000" w:themeColor="text1"/>
                <w:lang w:val="ro-MD"/>
              </w:rPr>
            </w:pPr>
          </w:p>
        </w:tc>
        <w:tc>
          <w:tcPr>
            <w:tcW w:w="450" w:type="pct"/>
          </w:tcPr>
          <w:p w14:paraId="2A49E706" w14:textId="7B0ED765" w:rsidR="00DF1F69" w:rsidRPr="00C011B2" w:rsidRDefault="00DF1F69"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70308EEB" w14:textId="0B563EE0" w:rsidR="00DF1F69" w:rsidRPr="00C011B2" w:rsidRDefault="00DF1F69"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w:t>
            </w:r>
            <w:r w:rsidR="00106FB1" w:rsidRPr="00C011B2">
              <w:rPr>
                <w:rFonts w:ascii="Times New Roman" w:hAnsi="Times New Roman" w:cs="Times New Roman"/>
                <w:bCs/>
                <w:color w:val="000000" w:themeColor="text1"/>
                <w:lang w:val="ro-MD"/>
              </w:rPr>
              <w:t>9</w:t>
            </w:r>
            <w:r w:rsidRPr="00C011B2">
              <w:rPr>
                <w:rFonts w:ascii="Times New Roman" w:hAnsi="Times New Roman" w:cs="Times New Roman"/>
                <w:bCs/>
                <w:color w:val="000000" w:themeColor="text1"/>
                <w:lang w:val="ro-MD"/>
              </w:rPr>
              <w:t>) stabilește obligații pentru autorități europene – Autoritatea Bancară Europeană.</w:t>
            </w:r>
          </w:p>
        </w:tc>
      </w:tr>
      <w:tr w:rsidR="00DF1F69" w:rsidRPr="00FA7D23" w14:paraId="364D4FC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A1838FA"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3E4ECBCD" w14:textId="77777777" w:rsidR="00DF1F69" w:rsidRPr="00C011B2" w:rsidRDefault="00DF1F69" w:rsidP="00DF1F69">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w:t>
            </w:r>
          </w:p>
          <w:p w14:paraId="6FED5069"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3FCEA17B" w14:textId="7E32BD4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Condiţii pentru utilizarea abordării standardizate simplificate</w:t>
            </w:r>
          </w:p>
        </w:tc>
        <w:tc>
          <w:tcPr>
            <w:tcW w:w="1692" w:type="pct"/>
            <w:shd w:val="clear" w:color="auto" w:fill="auto"/>
          </w:tcPr>
          <w:p w14:paraId="7515B124" w14:textId="400B01A3" w:rsidR="00DF1F69" w:rsidRPr="00C011B2" w:rsidRDefault="009B26EF" w:rsidP="00DF1F69">
            <w:pPr>
              <w:spacing w:after="0" w:line="276" w:lineRule="auto"/>
              <w:jc w:val="both"/>
              <w:rPr>
                <w:rFonts w:ascii="Times New Roman" w:hAnsi="Times New Roman" w:cs="Times New Roman"/>
                <w:color w:val="000000" w:themeColor="text1"/>
                <w:lang w:val="ro-MD"/>
              </w:rPr>
            </w:pPr>
            <w:bookmarkStart w:id="105" w:name="_Hlk202790112"/>
            <w:r w:rsidRPr="00C011B2">
              <w:rPr>
                <w:rFonts w:ascii="Times New Roman" w:hAnsi="Times New Roman" w:cs="Times New Roman"/>
                <w:b/>
                <w:bCs/>
                <w:color w:val="000000" w:themeColor="text1"/>
                <w:lang w:val="ro-MD"/>
              </w:rPr>
              <w:t>Secțiunea 2</w:t>
            </w:r>
            <w:r w:rsidR="00AF62AF" w:rsidRPr="00C011B2">
              <w:rPr>
                <w:rFonts w:ascii="Times New Roman" w:hAnsi="Times New Roman" w:cs="Times New Roman"/>
                <w:i/>
                <w:iCs/>
                <w:color w:val="000000" w:themeColor="text1"/>
                <w:lang w:val="ro-MD"/>
              </w:rPr>
              <w:t xml:space="preserve">. </w:t>
            </w:r>
            <w:r w:rsidR="00DF1F69" w:rsidRPr="00C011B2">
              <w:rPr>
                <w:rFonts w:ascii="Times New Roman" w:hAnsi="Times New Roman" w:cs="Times New Roman"/>
                <w:b/>
                <w:bCs/>
                <w:color w:val="000000" w:themeColor="text1"/>
                <w:lang w:val="ro-MD"/>
              </w:rPr>
              <w:t>Condiţii pentru utilizarea abordării standardizate simplificate</w:t>
            </w:r>
            <w:bookmarkEnd w:id="105"/>
          </w:p>
        </w:tc>
        <w:tc>
          <w:tcPr>
            <w:tcW w:w="450" w:type="pct"/>
          </w:tcPr>
          <w:p w14:paraId="5C399A87"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c>
          <w:tcPr>
            <w:tcW w:w="1261" w:type="pct"/>
          </w:tcPr>
          <w:p w14:paraId="28EA0EFA"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E359DF" w:rsidRPr="00C011B2" w14:paraId="0FF52CF1" w14:textId="77777777" w:rsidTr="00BF4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EA551C9" w14:textId="77777777" w:rsidR="00E359DF" w:rsidRPr="00C011B2" w:rsidRDefault="00E359DF" w:rsidP="00E359DF">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573F791D" w14:textId="77777777" w:rsidR="00E359DF" w:rsidRPr="00C011B2" w:rsidRDefault="00E359DF" w:rsidP="00E359DF">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w:t>
            </w:r>
            <w:r w:rsidRPr="00C011B2">
              <w:rPr>
                <w:rFonts w:ascii="Times New Roman" w:hAnsi="Times New Roman" w:cs="Times New Roman"/>
                <w:b/>
                <w:bCs/>
                <w:color w:val="000000" w:themeColor="text1"/>
                <w:lang w:val="ro-MD"/>
              </w:rPr>
              <w:t xml:space="preserve">►M17 </w:t>
            </w:r>
            <w:r w:rsidRPr="00C011B2">
              <w:rPr>
                <w:rFonts w:ascii="Times New Roman" w:hAnsi="Times New Roman" w:cs="Times New Roman"/>
                <w:color w:val="000000" w:themeColor="text1"/>
                <w:lang w:val="ro-MD"/>
              </w:rPr>
              <w:t>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poate calcula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simplificat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articolul 325 alineatul (1) litera (c), cu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 dimensiunea opera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iunilor bilan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extrabilan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iere ale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fie mai mic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sau egal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cu fiecare dintre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toarele praguri, pe baza unei evalu</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 realizate lunar,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 xml:space="preserve">nd datele din ultima zi a lunii: </w:t>
            </w:r>
            <w:r w:rsidRPr="00C011B2">
              <w:rPr>
                <w:rFonts w:ascii="Arial" w:hAnsi="Arial" w:cs="Arial"/>
                <w:color w:val="000000" w:themeColor="text1"/>
                <w:lang w:val="ro-MD"/>
              </w:rPr>
              <w:t>◄</w:t>
            </w:r>
          </w:p>
          <w:p w14:paraId="3916395C" w14:textId="77777777" w:rsidR="00E359DF" w:rsidRPr="00C011B2" w:rsidRDefault="00E359DF" w:rsidP="00E359DF">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10 % din activele totale ale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w:t>
            </w:r>
          </w:p>
          <w:p w14:paraId="24A34083" w14:textId="77777777" w:rsidR="00E359DF" w:rsidRPr="00C011B2" w:rsidRDefault="00E359DF" w:rsidP="00E359DF">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500 de milioane EUR.</w:t>
            </w:r>
          </w:p>
          <w:p w14:paraId="03C39E40" w14:textId="77777777" w:rsidR="00E359DF" w:rsidRPr="00C011B2" w:rsidRDefault="00E359DF" w:rsidP="00DF1F69">
            <w:pPr>
              <w:spacing w:after="0" w:line="276" w:lineRule="auto"/>
              <w:jc w:val="both"/>
              <w:rPr>
                <w:rFonts w:ascii="Times New Roman" w:hAnsi="Times New Roman" w:cs="Times New Roman"/>
                <w:b/>
                <w:bCs/>
                <w:color w:val="000000" w:themeColor="text1"/>
                <w:lang w:val="ro-MD"/>
              </w:rPr>
            </w:pPr>
          </w:p>
        </w:tc>
        <w:tc>
          <w:tcPr>
            <w:tcW w:w="1692" w:type="pct"/>
            <w:shd w:val="clear" w:color="auto" w:fill="auto"/>
          </w:tcPr>
          <w:p w14:paraId="63E258E7" w14:textId="766709D3" w:rsidR="00F05B7F" w:rsidRPr="00C011B2" w:rsidRDefault="00F05B7F" w:rsidP="00F05B7F">
            <w:pPr>
              <w:spacing w:after="0" w:line="276" w:lineRule="auto"/>
              <w:jc w:val="both"/>
              <w:rPr>
                <w:rFonts w:ascii="Times New Roman" w:hAnsi="Times New Roman" w:cs="Times New Roman"/>
                <w:b/>
                <w:bCs/>
                <w:color w:val="000000" w:themeColor="text1"/>
                <w:lang w:val="ro-MD"/>
              </w:rPr>
            </w:pPr>
          </w:p>
          <w:p w14:paraId="428BE605" w14:textId="21D4442E" w:rsidR="00F05B7F" w:rsidRPr="00C011B2" w:rsidRDefault="00F05B7F" w:rsidP="00F05B7F">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79.</w:t>
            </w:r>
            <w:r w:rsidRPr="00C011B2">
              <w:rPr>
                <w:rFonts w:ascii="Times New Roman" w:hAnsi="Times New Roman" w:cs="Times New Roman"/>
                <w:b/>
                <w:bCs/>
                <w:color w:val="000000" w:themeColor="text1"/>
                <w:lang w:val="ro-MD"/>
              </w:rPr>
              <w:t xml:space="preserve"> </w:t>
            </w:r>
            <w:r w:rsidRPr="00C011B2">
              <w:rPr>
                <w:rFonts w:ascii="Times New Roman" w:hAnsi="Times New Roman" w:cs="Times New Roman"/>
                <w:color w:val="000000" w:themeColor="text1"/>
                <w:lang w:val="ro-MD"/>
              </w:rPr>
              <w:t xml:space="preserve">O </w:t>
            </w:r>
            <w:r w:rsidR="00D805C9"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poate calcula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simplificat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w:t>
            </w:r>
            <w:r w:rsidR="00D805C9" w:rsidRPr="00C011B2">
              <w:rPr>
                <w:rFonts w:ascii="Times New Roman" w:hAnsi="Times New Roman" w:cs="Times New Roman"/>
                <w:color w:val="000000" w:themeColor="text1"/>
                <w:lang w:val="ro-MD"/>
              </w:rPr>
              <w:t>subpct.69.3</w:t>
            </w:r>
            <w:r w:rsidRPr="00C011B2">
              <w:rPr>
                <w:rFonts w:ascii="Times New Roman" w:hAnsi="Times New Roman" w:cs="Times New Roman"/>
                <w:color w:val="000000" w:themeColor="text1"/>
                <w:lang w:val="ro-MD"/>
              </w:rPr>
              <w:t>, cu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 dimensiunea opera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iunilor bilan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extrabilan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iere ale </w:t>
            </w:r>
            <w:r w:rsidR="00D805C9" w:rsidRPr="00C011B2">
              <w:rPr>
                <w:rFonts w:ascii="Times New Roman" w:hAnsi="Times New Roman" w:cs="Times New Roman"/>
                <w:color w:val="000000" w:themeColor="text1"/>
                <w:lang w:val="ro-MD"/>
              </w:rPr>
              <w:t xml:space="preserve">băncii </w:t>
            </w:r>
            <w:r w:rsidRPr="00C011B2">
              <w:rPr>
                <w:rFonts w:ascii="Times New Roman" w:hAnsi="Times New Roman" w:cs="Times New Roman"/>
                <w:color w:val="000000" w:themeColor="text1"/>
                <w:lang w:val="ro-MD"/>
              </w:rPr>
              <w:t>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fie mai mic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sau egal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cu fiecare dintre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toarele praguri, pe baza unei evalu</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 realizate lunar,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 xml:space="preserve">nd datele din ultima zi a lunii: </w:t>
            </w:r>
          </w:p>
          <w:p w14:paraId="0C043778" w14:textId="692ED76E" w:rsidR="00F05B7F" w:rsidRPr="00C011B2" w:rsidRDefault="00D805C9" w:rsidP="00F05B7F">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79.1.</w:t>
            </w:r>
            <w:r w:rsidR="00F05B7F" w:rsidRPr="00C011B2">
              <w:rPr>
                <w:rFonts w:ascii="Times New Roman" w:hAnsi="Times New Roman" w:cs="Times New Roman"/>
                <w:color w:val="000000" w:themeColor="text1"/>
                <w:lang w:val="ro-MD"/>
              </w:rPr>
              <w:t xml:space="preserve"> 10 % din activele totale ale </w:t>
            </w:r>
            <w:r w:rsidRPr="00C011B2">
              <w:rPr>
                <w:rFonts w:ascii="Times New Roman" w:hAnsi="Times New Roman" w:cs="Times New Roman"/>
                <w:color w:val="000000" w:themeColor="text1"/>
                <w:lang w:val="ro-MD"/>
              </w:rPr>
              <w:t>băncii</w:t>
            </w:r>
            <w:r w:rsidR="00F05B7F" w:rsidRPr="00C011B2">
              <w:rPr>
                <w:rFonts w:ascii="Times New Roman" w:hAnsi="Times New Roman" w:cs="Times New Roman"/>
                <w:color w:val="000000" w:themeColor="text1"/>
                <w:lang w:val="ro-MD"/>
              </w:rPr>
              <w:t>;</w:t>
            </w:r>
          </w:p>
          <w:p w14:paraId="18D0AE6B" w14:textId="450B8A93" w:rsidR="00F05B7F" w:rsidRPr="00C011B2" w:rsidRDefault="00D805C9" w:rsidP="00F05B7F">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79.2.</w:t>
            </w:r>
            <w:r w:rsidR="00F05B7F" w:rsidRPr="00C011B2">
              <w:rPr>
                <w:rFonts w:ascii="Times New Roman" w:hAnsi="Times New Roman" w:cs="Times New Roman"/>
                <w:color w:val="000000" w:themeColor="text1"/>
                <w:lang w:val="ro-MD"/>
              </w:rPr>
              <w:t xml:space="preserve"> 500 de milioane EUR.</w:t>
            </w:r>
          </w:p>
          <w:p w14:paraId="029AB91F" w14:textId="77777777" w:rsidR="00E359DF" w:rsidRPr="00C011B2" w:rsidDel="00BF4976" w:rsidRDefault="00E359DF" w:rsidP="00F05B7F">
            <w:pPr>
              <w:spacing w:after="0" w:line="276" w:lineRule="auto"/>
              <w:jc w:val="both"/>
              <w:rPr>
                <w:rFonts w:ascii="Times New Roman" w:hAnsi="Times New Roman" w:cs="Times New Roman"/>
                <w:b/>
                <w:bCs/>
                <w:color w:val="000000" w:themeColor="text1"/>
                <w:lang w:val="ro-MD"/>
              </w:rPr>
            </w:pPr>
          </w:p>
        </w:tc>
        <w:tc>
          <w:tcPr>
            <w:tcW w:w="450" w:type="pct"/>
          </w:tcPr>
          <w:p w14:paraId="04BC92C3" w14:textId="7AE54816" w:rsidR="00E359DF"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156F4AB" w14:textId="77777777" w:rsidR="00E359DF" w:rsidRPr="00C011B2" w:rsidRDefault="00E359DF" w:rsidP="00DF1F69">
            <w:pPr>
              <w:spacing w:line="276" w:lineRule="auto"/>
              <w:jc w:val="both"/>
              <w:rPr>
                <w:rFonts w:ascii="Times New Roman" w:hAnsi="Times New Roman" w:cs="Times New Roman"/>
                <w:color w:val="000000" w:themeColor="text1"/>
                <w:lang w:val="ro-MD"/>
              </w:rPr>
            </w:pPr>
          </w:p>
        </w:tc>
      </w:tr>
      <w:tr w:rsidR="00DF1F69" w:rsidRPr="00C011B2" w14:paraId="0443DEF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9AE069F"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volumul opera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iunilor lor bilan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extrabilan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iere</w:t>
            </w:r>
          </w:p>
          <w:p w14:paraId="7440C412"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date din ultima zi a</w:t>
            </w:r>
          </w:p>
          <w:p w14:paraId="73AEDD39"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lunii,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w:t>
            </w:r>
          </w:p>
          <w:p w14:paraId="1669C91F"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sunt incluse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cu</w:t>
            </w:r>
          </w:p>
          <w:p w14:paraId="73557603"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excep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instrumentelor financiare derivate de credit care sunt recunoscute</w:t>
            </w:r>
          </w:p>
          <w:p w14:paraId="309D436F"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ca acoperiri interne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mpotriva expunerilor la riscul de credit</w:t>
            </w:r>
          </w:p>
          <w:p w14:paraId="1C30B3FF"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cu</w:t>
            </w:r>
          </w:p>
          <w:p w14:paraId="1375F9BB"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instrumente financiare derivate de credit care compenseaz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perfect</w:t>
            </w:r>
          </w:p>
          <w:p w14:paraId="2FFA4856"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al acoperirilor interne, astfel cum se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w:t>
            </w:r>
          </w:p>
          <w:p w14:paraId="2FB5D712"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articolul 106 alineatul (3);</w:t>
            </w:r>
          </w:p>
          <w:p w14:paraId="6E08A07B"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5C0191CF"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sunt incluse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w:t>
            </w:r>
          </w:p>
          <w:p w14:paraId="4343873E"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valutar sau un risc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cu excep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w:t>
            </w:r>
          </w:p>
          <w:p w14:paraId="10A83596"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care sunt excluse din calculul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w:t>
            </w:r>
          </w:p>
          <w:p w14:paraId="201C69BA"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proprii pentru riscul valutar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articolul 104c sau</w:t>
            </w:r>
          </w:p>
          <w:p w14:paraId="7D10BAD1"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care sunt deduse din fondurile proprii ale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w:t>
            </w:r>
          </w:p>
          <w:p w14:paraId="05DBD140"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▼C7</w:t>
            </w:r>
          </w:p>
          <w:p w14:paraId="23927B22" w14:textId="38328E6C"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sunt evaluate la valorile lor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de la data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cu excep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la litera (b);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valoarea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a unei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nu este disponibil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o anumit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valoarea just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de la data vizat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valoarea just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valoarea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a unei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nu sunt disponibile la o</w:t>
            </w:r>
          </w:p>
          <w:p w14:paraId="6FABC74D"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anumit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cea mai recent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valoare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sau valoare just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p w14:paraId="21238C00" w14:textId="6588A9C2"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valutar sunt considerate ca fiind o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total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net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valut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evaluate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articolul 352;</w:t>
            </w:r>
          </w:p>
          <w:p w14:paraId="70ADC6E1" w14:textId="6F30658E"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sunt evaluate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conformitate cu articolele 357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358;</w:t>
            </w:r>
          </w:p>
          <w:p w14:paraId="55B39947"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78BD9C50" w14:textId="6B5B0183"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(f) valoarea absolut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lungi agregate se adun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cu valoarea absolut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scurte agregate.</w:t>
            </w:r>
          </w:p>
          <w:p w14:paraId="54CD3292" w14:textId="2AA80D61"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sensul primului paragraf,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lungi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scurte au acela</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eles ca cel stabilit la articolul 94 alineatul (3).</w:t>
            </w:r>
          </w:p>
          <w:p w14:paraId="68706525" w14:textId="5A08F75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sensul primului paragraf, valoarea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lungi (scurte) agregate este egal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cu suma valorilor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iilor lungi (scurte) individuale incluse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calcul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conformitate cu literele (a)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(b) de la paragraful respectiv.</w:t>
            </w:r>
          </w:p>
        </w:tc>
        <w:tc>
          <w:tcPr>
            <w:tcW w:w="1692" w:type="pct"/>
            <w:shd w:val="clear" w:color="auto" w:fill="auto"/>
          </w:tcPr>
          <w:p w14:paraId="6F0767AD" w14:textId="5FFC6EF4" w:rsidR="00DF1F69" w:rsidRPr="00C011B2" w:rsidRDefault="00BF4976" w:rsidP="00DF1F69">
            <w:pPr>
              <w:spacing w:after="0" w:line="276" w:lineRule="auto"/>
              <w:jc w:val="both"/>
              <w:rPr>
                <w:rFonts w:ascii="Times New Roman" w:hAnsi="Times New Roman" w:cs="Times New Roman"/>
                <w:color w:val="000000" w:themeColor="text1"/>
                <w:lang w:val="ro-MD"/>
              </w:rPr>
            </w:pPr>
            <w:bookmarkStart w:id="106" w:name="_Hlk202792658"/>
            <w:r w:rsidRPr="00C011B2">
              <w:rPr>
                <w:rFonts w:ascii="Times New Roman" w:hAnsi="Times New Roman" w:cs="Times New Roman"/>
                <w:color w:val="000000" w:themeColor="text1"/>
                <w:lang w:val="ro-MD"/>
              </w:rPr>
              <w:lastRenderedPageBreak/>
              <w:t>80.</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volumul opera</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iunilor lor bilan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iere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extrabilan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iere</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care prezint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un risc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utiliz</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date din ultima zi a</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 xml:space="preserve">lunii,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toarele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w:t>
            </w:r>
          </w:p>
          <w:p w14:paraId="0514492D" w14:textId="720DF289"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80.1</w:t>
            </w:r>
            <w:r w:rsidR="00DF1F69" w:rsidRPr="00C011B2">
              <w:rPr>
                <w:rFonts w:ascii="Times New Roman" w:hAnsi="Times New Roman" w:cs="Times New Roman"/>
                <w:color w:val="000000" w:themeColor="text1"/>
                <w:lang w:val="ro-MD"/>
              </w:rPr>
              <w:t xml:space="preserve"> sunt incluse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cu</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excep</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instrumentelor financiare derivate de credit care sunt recunoscute</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 xml:space="preserve">ca acoperiri interne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mpotriva expunerilor la riscul de credit</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din afara portofoliului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ionare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iilor cu</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instrumente financiare derivate de credit care compenseaz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perfect</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al acoperirilor interne, astfel cum se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w:t>
            </w:r>
            <w:r w:rsidR="00AF62AF"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pct.58 și 59</w:t>
            </w:r>
            <w:r w:rsidR="00DF1F69" w:rsidRPr="00C011B2">
              <w:rPr>
                <w:rFonts w:ascii="Times New Roman" w:hAnsi="Times New Roman" w:cs="Times New Roman"/>
                <w:color w:val="000000" w:themeColor="text1"/>
                <w:lang w:val="ro-MD"/>
              </w:rPr>
              <w:t>;</w:t>
            </w:r>
          </w:p>
          <w:p w14:paraId="34BD63F3" w14:textId="55EC9775"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80.2.</w:t>
            </w:r>
            <w:r w:rsidR="00DF1F69" w:rsidRPr="00C011B2">
              <w:rPr>
                <w:rFonts w:ascii="Times New Roman" w:hAnsi="Times New Roman" w:cs="Times New Roman"/>
                <w:color w:val="000000" w:themeColor="text1"/>
                <w:lang w:val="ro-MD"/>
              </w:rPr>
              <w:t xml:space="preserve"> sunt incluse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din afara portofoliului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care prezint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un risc valutar sau un risc de marf</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cu excep</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iilor care sunt excluse din calculul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elor de fonduri</w:t>
            </w:r>
            <w:r w:rsidR="00AF62AF"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 xml:space="preserve">proprii pentru riscul valutar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w:t>
            </w:r>
            <w:r w:rsidRPr="00C011B2">
              <w:rPr>
                <w:rFonts w:ascii="Times New Roman" w:hAnsi="Times New Roman" w:cs="Times New Roman"/>
                <w:color w:val="000000" w:themeColor="text1"/>
                <w:lang w:val="ro-MD"/>
              </w:rPr>
              <w:t>secșiunea 6, capitolul III, titlul I</w:t>
            </w:r>
            <w:r w:rsidR="00DF1F69" w:rsidRPr="00C011B2">
              <w:rPr>
                <w:rFonts w:ascii="Times New Roman" w:hAnsi="Times New Roman" w:cs="Times New Roman"/>
                <w:color w:val="000000" w:themeColor="text1"/>
                <w:lang w:val="ro-MD"/>
              </w:rPr>
              <w:t xml:space="preserve"> sau</w:t>
            </w:r>
            <w:r w:rsidR="00CF3280"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 xml:space="preserve">care sunt deduse din fondurile proprii ale </w:t>
            </w:r>
            <w:r w:rsidRPr="00C011B2">
              <w:rPr>
                <w:rFonts w:ascii="Times New Roman" w:hAnsi="Times New Roman" w:cs="Times New Roman"/>
                <w:color w:val="000000" w:themeColor="text1"/>
                <w:lang w:val="ro-MD"/>
              </w:rPr>
              <w:t>băncilor</w:t>
            </w:r>
            <w:r w:rsidR="00DF1F69" w:rsidRPr="00C011B2">
              <w:rPr>
                <w:rFonts w:ascii="Times New Roman" w:hAnsi="Times New Roman" w:cs="Times New Roman"/>
                <w:color w:val="000000" w:themeColor="text1"/>
                <w:lang w:val="ro-MD"/>
              </w:rPr>
              <w:t>;</w:t>
            </w:r>
          </w:p>
          <w:p w14:paraId="0D1B0053" w14:textId="7CE8663E"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80.3.</w:t>
            </w:r>
            <w:r w:rsidR="00DF1F69" w:rsidRPr="00C011B2">
              <w:rPr>
                <w:rFonts w:ascii="Times New Roman" w:hAnsi="Times New Roman" w:cs="Times New Roman"/>
                <w:color w:val="000000" w:themeColor="text1"/>
                <w:lang w:val="ro-MD"/>
              </w:rPr>
              <w:t xml:space="preserve">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sunt evaluate la valorile lor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de la data respectiv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cu excep</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iilor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subpct.80.2</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cazul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care valoarea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a unei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nu este disponibil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o anumit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utilizeaz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valoarea just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de la data vizat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cazul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care valoarea just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valoarea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a unei </w:t>
            </w:r>
            <w:r w:rsidR="00DF1F69" w:rsidRPr="00C011B2">
              <w:rPr>
                <w:rFonts w:ascii="Times New Roman" w:hAnsi="Times New Roman" w:cs="Times New Roman"/>
                <w:color w:val="000000" w:themeColor="text1"/>
                <w:lang w:val="ro-MD"/>
              </w:rPr>
              <w:lastRenderedPageBreak/>
              <w:t>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nu sunt disponibile la o</w:t>
            </w:r>
            <w:r w:rsidR="00CF3280"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anumit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utilizeaz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cea mai recent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valoare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sau valoare just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respectiv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w:t>
            </w:r>
          </w:p>
          <w:p w14:paraId="5FE8305D" w14:textId="75BF0445"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80.4.</w:t>
            </w:r>
            <w:r w:rsidR="00DF1F69" w:rsidRPr="00C011B2">
              <w:rPr>
                <w:rFonts w:ascii="Times New Roman" w:hAnsi="Times New Roman" w:cs="Times New Roman"/>
                <w:color w:val="000000" w:themeColor="text1"/>
                <w:lang w:val="ro-MD"/>
              </w:rPr>
              <w:t xml:space="preserve">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din afara portofoliului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care prezint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un risc valutar sunt considerate ca fiind o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ie total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net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 valut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evaluate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w:t>
            </w:r>
            <w:r w:rsidRPr="00C011B2">
              <w:rPr>
                <w:rFonts w:ascii="Times New Roman" w:hAnsi="Times New Roman" w:cs="Times New Roman"/>
                <w:color w:val="000000" w:themeColor="text1"/>
                <w:lang w:val="ro-MD"/>
              </w:rPr>
              <w:t>secțiunea 2, capitolul V</w:t>
            </w:r>
            <w:r w:rsidR="00DF1F69" w:rsidRPr="00C011B2">
              <w:rPr>
                <w:rFonts w:ascii="Times New Roman" w:hAnsi="Times New Roman" w:cs="Times New Roman"/>
                <w:color w:val="000000" w:themeColor="text1"/>
                <w:lang w:val="ro-MD"/>
              </w:rPr>
              <w:t>;</w:t>
            </w:r>
          </w:p>
          <w:p w14:paraId="6994532C" w14:textId="6A780AA1"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80.5.</w:t>
            </w:r>
            <w:r w:rsidR="00DF1F69" w:rsidRPr="00C011B2">
              <w:rPr>
                <w:rFonts w:ascii="Times New Roman" w:hAnsi="Times New Roman" w:cs="Times New Roman"/>
                <w:color w:val="000000" w:themeColor="text1"/>
                <w:lang w:val="ro-MD"/>
              </w:rPr>
              <w:t xml:space="preserve">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din afara portofoliului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care prezint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un risc de marf</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sunt evaluate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w:t>
            </w:r>
            <w:r w:rsidRPr="00C011B2">
              <w:rPr>
                <w:rFonts w:ascii="Times New Roman" w:hAnsi="Times New Roman" w:cs="Times New Roman"/>
                <w:color w:val="000000" w:themeColor="text1"/>
                <w:lang w:val="ro-MD"/>
              </w:rPr>
              <w:t>sec</w:t>
            </w:r>
            <w:r w:rsidR="008A3314" w:rsidRPr="00C011B2">
              <w:rPr>
                <w:rFonts w:ascii="Times New Roman" w:hAnsi="Times New Roman" w:cs="Times New Roman"/>
                <w:color w:val="000000" w:themeColor="text1"/>
                <w:lang w:val="ro-MD"/>
              </w:rPr>
              <w:t>ț</w:t>
            </w:r>
            <w:r w:rsidRPr="00C011B2">
              <w:rPr>
                <w:rFonts w:ascii="Times New Roman" w:hAnsi="Times New Roman" w:cs="Times New Roman"/>
                <w:color w:val="000000" w:themeColor="text1"/>
                <w:lang w:val="ro-MD"/>
              </w:rPr>
              <w:t>iunile 3 și 4 din capitolul VI</w:t>
            </w:r>
            <w:r w:rsidR="00DF1F69" w:rsidRPr="00C011B2">
              <w:rPr>
                <w:rFonts w:ascii="Times New Roman" w:hAnsi="Times New Roman" w:cs="Times New Roman"/>
                <w:color w:val="000000" w:themeColor="text1"/>
                <w:lang w:val="ro-MD"/>
              </w:rPr>
              <w:t>;</w:t>
            </w:r>
          </w:p>
          <w:p w14:paraId="2BEBF837" w14:textId="24D85693"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80.6.</w:t>
            </w:r>
            <w:r w:rsidR="00DF1F69" w:rsidRPr="00C011B2">
              <w:rPr>
                <w:rFonts w:ascii="Times New Roman" w:hAnsi="Times New Roman" w:cs="Times New Roman"/>
                <w:color w:val="000000" w:themeColor="text1"/>
                <w:lang w:val="ro-MD"/>
              </w:rPr>
              <w:t xml:space="preserve"> valoarea absolut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iei lungi agregate se adun</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cu valoarea absolut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iei scurte agregate.</w:t>
            </w:r>
          </w:p>
          <w:p w14:paraId="169E3105" w14:textId="613B139F"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81.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sensul </w:t>
            </w:r>
            <w:r w:rsidRPr="00C011B2">
              <w:rPr>
                <w:rFonts w:ascii="Times New Roman" w:hAnsi="Times New Roman" w:cs="Times New Roman"/>
                <w:color w:val="000000" w:themeColor="text1"/>
                <w:lang w:val="ro-MD"/>
              </w:rPr>
              <w:t>pct.80</w:t>
            </w:r>
            <w:r w:rsidR="00DF1F69" w:rsidRPr="00C011B2">
              <w:rPr>
                <w:rFonts w:ascii="Times New Roman" w:hAnsi="Times New Roman" w:cs="Times New Roman"/>
                <w:color w:val="000000" w:themeColor="text1"/>
                <w:lang w:val="ro-MD"/>
              </w:rPr>
              <w:t>,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iile lungi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scurte au acela</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eles ca cel stabilit la</w:t>
            </w:r>
            <w:r w:rsidR="00DD0E7D" w:rsidRPr="00C011B2">
              <w:rPr>
                <w:rFonts w:ascii="Times New Roman" w:hAnsi="Times New Roman" w:cs="Times New Roman"/>
                <w:kern w:val="2"/>
                <w:sz w:val="24"/>
                <w:szCs w:val="24"/>
                <w:lang w:val="ro-RO"/>
              </w:rPr>
              <w:t xml:space="preserve"> </w:t>
            </w:r>
            <w:r w:rsidR="00DD0E7D" w:rsidRPr="00C011B2">
              <w:rPr>
                <w:rFonts w:ascii="Times New Roman" w:hAnsi="Times New Roman" w:cs="Times New Roman"/>
                <w:color w:val="000000" w:themeColor="text1"/>
                <w:lang w:val="ro-RO"/>
              </w:rPr>
              <w:t>pct.136 din Regulamentul nr.109/2018.</w:t>
            </w:r>
          </w:p>
          <w:p w14:paraId="3AE52F62" w14:textId="5BC3977F" w:rsidR="00DF1F69" w:rsidRPr="00C011B2" w:rsidRDefault="00BF4976"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82.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sensul</w:t>
            </w:r>
            <w:r w:rsidR="00E359DF"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pct.80</w:t>
            </w:r>
            <w:r w:rsidR="00DF1F69" w:rsidRPr="00C011B2">
              <w:rPr>
                <w:rFonts w:ascii="Times New Roman" w:hAnsi="Times New Roman" w:cs="Times New Roman"/>
                <w:color w:val="000000" w:themeColor="text1"/>
                <w:lang w:val="ro-MD"/>
              </w:rPr>
              <w:t>, valoarea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iei lungi (scurte) agregate este egal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cu suma valorilor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iilor lungi (scurte) individuale incluse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calcul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w:t>
            </w:r>
            <w:r w:rsidRPr="00C011B2">
              <w:rPr>
                <w:rFonts w:ascii="Times New Roman" w:hAnsi="Times New Roman" w:cs="Times New Roman"/>
                <w:color w:val="000000" w:themeColor="text1"/>
                <w:lang w:val="ro-MD"/>
              </w:rPr>
              <w:t>subpct.80.1 și 80.2</w:t>
            </w:r>
            <w:bookmarkEnd w:id="106"/>
            <w:r w:rsidR="00DF1F69" w:rsidRPr="00C011B2">
              <w:rPr>
                <w:rFonts w:ascii="Times New Roman" w:hAnsi="Times New Roman" w:cs="Times New Roman"/>
                <w:color w:val="000000" w:themeColor="text1"/>
                <w:lang w:val="ro-MD"/>
              </w:rPr>
              <w:t>.</w:t>
            </w:r>
          </w:p>
        </w:tc>
        <w:tc>
          <w:tcPr>
            <w:tcW w:w="450" w:type="pct"/>
          </w:tcPr>
          <w:p w14:paraId="05578E82" w14:textId="1087FE8B"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B02C4C8"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1F902DB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DBA9EC"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▼M8</w:t>
            </w:r>
          </w:p>
          <w:p w14:paraId="1B833DFB" w14:textId="2F463535"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transmit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ilor competente notific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 atunci 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sau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nceteaz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mai calculeze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prezentul articol.</w:t>
            </w:r>
          </w:p>
        </w:tc>
        <w:tc>
          <w:tcPr>
            <w:tcW w:w="1692" w:type="pct"/>
            <w:shd w:val="clear" w:color="auto" w:fill="auto"/>
          </w:tcPr>
          <w:p w14:paraId="14ED8919" w14:textId="117CF552" w:rsidR="00DF1F69" w:rsidRPr="00C011B2" w:rsidRDefault="00E359DF" w:rsidP="00DF1F69">
            <w:pPr>
              <w:spacing w:after="0" w:line="276" w:lineRule="auto"/>
              <w:jc w:val="both"/>
              <w:rPr>
                <w:rFonts w:ascii="Times New Roman" w:hAnsi="Times New Roman" w:cs="Times New Roman"/>
                <w:color w:val="000000" w:themeColor="text1"/>
                <w:lang w:val="ro-MD"/>
              </w:rPr>
            </w:pPr>
            <w:bookmarkStart w:id="107" w:name="_Hlk202792957"/>
            <w:r w:rsidRPr="00C011B2">
              <w:rPr>
                <w:rFonts w:ascii="Times New Roman" w:hAnsi="Times New Roman" w:cs="Times New Roman"/>
                <w:color w:val="000000" w:themeColor="text1"/>
                <w:lang w:val="ro-MD"/>
              </w:rPr>
              <w:t>83.</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 xml:space="preserve">transmit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notific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 atunci c</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sau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nceteaz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mai calculeze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w:t>
            </w:r>
            <w:r w:rsidRPr="00C011B2">
              <w:rPr>
                <w:rFonts w:ascii="Times New Roman" w:hAnsi="Times New Roman" w:cs="Times New Roman"/>
                <w:color w:val="000000" w:themeColor="text1"/>
                <w:lang w:val="ro-MD"/>
              </w:rPr>
              <w:t>prezenta secțiune</w:t>
            </w:r>
            <w:r w:rsidR="00DF1F69" w:rsidRPr="00C011B2">
              <w:rPr>
                <w:rFonts w:ascii="Times New Roman" w:hAnsi="Times New Roman" w:cs="Times New Roman"/>
                <w:color w:val="000000" w:themeColor="text1"/>
                <w:lang w:val="ro-MD"/>
              </w:rPr>
              <w:t>.</w:t>
            </w:r>
            <w:bookmarkEnd w:id="107"/>
          </w:p>
        </w:tc>
        <w:tc>
          <w:tcPr>
            <w:tcW w:w="450" w:type="pct"/>
          </w:tcPr>
          <w:p w14:paraId="77B13F6C" w14:textId="56AA5991"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5DB0D0A"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7963F1D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A3C56BC" w14:textId="5AA35A5D"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care nu mai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ndepline</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te una sau mai multe dintre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zute la alineatul (1) notific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imediat acest lucru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competente.</w:t>
            </w:r>
          </w:p>
        </w:tc>
        <w:tc>
          <w:tcPr>
            <w:tcW w:w="1692" w:type="pct"/>
            <w:shd w:val="clear" w:color="auto" w:fill="auto"/>
          </w:tcPr>
          <w:p w14:paraId="47D81861" w14:textId="6F52B4EC" w:rsidR="00DF1F69" w:rsidRPr="00C011B2" w:rsidRDefault="00E359DF"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84.</w:t>
            </w:r>
            <w:r w:rsidR="00DF1F69"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 xml:space="preserve">care nu mai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ndepline</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te una sau mai multe dintre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la </w:t>
            </w:r>
            <w:r w:rsidRPr="00C011B2">
              <w:rPr>
                <w:rFonts w:ascii="Times New Roman" w:hAnsi="Times New Roman" w:cs="Times New Roman"/>
                <w:color w:val="000000" w:themeColor="text1"/>
                <w:lang w:val="ro-MD"/>
              </w:rPr>
              <w:t>pct.79</w:t>
            </w:r>
            <w:r w:rsidR="00DF1F69" w:rsidRPr="00C011B2">
              <w:rPr>
                <w:rFonts w:ascii="Times New Roman" w:hAnsi="Times New Roman" w:cs="Times New Roman"/>
                <w:color w:val="000000" w:themeColor="text1"/>
                <w:lang w:val="ro-MD"/>
              </w:rPr>
              <w:t xml:space="preserve"> notific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imediat acest lucru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w:t>
            </w:r>
          </w:p>
        </w:tc>
        <w:tc>
          <w:tcPr>
            <w:tcW w:w="450" w:type="pct"/>
          </w:tcPr>
          <w:p w14:paraId="482C0FEA" w14:textId="4C7D6823"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D6B5335"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6A747BE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C55144" w14:textId="406F10C0"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w:t>
            </w:r>
            <w:r w:rsidRPr="00C011B2">
              <w:rPr>
                <w:rFonts w:ascii="Times New Roman" w:hAnsi="Times New Roman" w:cs="Times New Roman"/>
                <w:b/>
                <w:bCs/>
                <w:color w:val="000000" w:themeColor="text1"/>
                <w:lang w:val="ro-MD"/>
              </w:rPr>
              <w:t xml:space="preserve">►M17 </w:t>
            </w:r>
            <w:r w:rsidRPr="00C011B2">
              <w:rPr>
                <w:rFonts w:ascii="Times New Roman" w:hAnsi="Times New Roman" w:cs="Times New Roman"/>
                <w:color w:val="000000" w:themeColor="text1"/>
                <w:lang w:val="ro-MD"/>
              </w:rPr>
              <w:t>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nceteaz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calculeze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abordarea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articolul 325 alineatul (1) litera (c)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termen de trei luni de la apari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oric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reia dintre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toarele situa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 </w:t>
            </w:r>
            <w:r w:rsidRPr="00C011B2">
              <w:rPr>
                <w:rFonts w:ascii="Arial" w:hAnsi="Arial" w:cs="Arial"/>
                <w:color w:val="000000" w:themeColor="text1"/>
                <w:lang w:val="ro-MD"/>
              </w:rPr>
              <w:t>◄</w:t>
            </w:r>
          </w:p>
          <w:p w14:paraId="782F7548" w14:textId="2AC35DD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ia nu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ndepline</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te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stabilit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(a) sau (b) timp de trei luni consecutive; sau</w:t>
            </w:r>
          </w:p>
          <w:p w14:paraId="73163CB4" w14:textId="5E373B2B"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ia nu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ndepline</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te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stabilit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(1) litera (a) sau (b) timp de mai mult de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ase din ultimele 12 luni.</w:t>
            </w:r>
          </w:p>
        </w:tc>
        <w:tc>
          <w:tcPr>
            <w:tcW w:w="1692" w:type="pct"/>
            <w:shd w:val="clear" w:color="auto" w:fill="auto"/>
          </w:tcPr>
          <w:p w14:paraId="520CA0EC" w14:textId="69FB763C" w:rsidR="00DF1F69" w:rsidRPr="00C011B2" w:rsidRDefault="00BF4AC0" w:rsidP="00DF1F69">
            <w:pPr>
              <w:spacing w:after="0" w:line="276" w:lineRule="auto"/>
              <w:jc w:val="both"/>
              <w:rPr>
                <w:rFonts w:ascii="Times New Roman" w:hAnsi="Times New Roman" w:cs="Times New Roman"/>
                <w:color w:val="000000" w:themeColor="text1"/>
                <w:lang w:val="ro-MD"/>
              </w:rPr>
            </w:pPr>
            <w:bookmarkStart w:id="108" w:name="_Hlk202795717"/>
            <w:r w:rsidRPr="00C011B2">
              <w:rPr>
                <w:rFonts w:ascii="Times New Roman" w:hAnsi="Times New Roman" w:cs="Times New Roman"/>
                <w:color w:val="000000" w:themeColor="text1"/>
                <w:lang w:val="ro-MD"/>
              </w:rPr>
              <w:lastRenderedPageBreak/>
              <w:t>85.</w:t>
            </w:r>
            <w:r w:rsidR="00DF1F69" w:rsidRPr="00C011B2">
              <w:rPr>
                <w:rFonts w:ascii="Times New Roman" w:hAnsi="Times New Roman" w:cs="Times New Roman"/>
                <w:b/>
                <w:bCs/>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nceteaz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calculeze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abordarea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00204230" w:rsidRPr="00C011B2">
              <w:rPr>
                <w:rFonts w:ascii="Times New Roman" w:hAnsi="Times New Roman" w:cs="Times New Roman"/>
                <w:color w:val="000000" w:themeColor="text1"/>
                <w:lang w:val="ro-MD"/>
              </w:rPr>
              <w:t>subpct.69.3</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termen de trei luni de la apari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oric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reia dintre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toarele situa</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 </w:t>
            </w:r>
          </w:p>
          <w:p w14:paraId="49865639" w14:textId="0409801C" w:rsidR="00DF1F69" w:rsidRPr="00C011B2" w:rsidRDefault="00204230"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85.1.</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 xml:space="preserve">nu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ndepline</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te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stabilit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subpct.79.1</w:t>
            </w:r>
            <w:r w:rsidR="00DF1F69" w:rsidRPr="00C011B2">
              <w:rPr>
                <w:rFonts w:ascii="Times New Roman" w:hAnsi="Times New Roman" w:cs="Times New Roman"/>
                <w:color w:val="000000" w:themeColor="text1"/>
                <w:lang w:val="ro-MD"/>
              </w:rPr>
              <w:t xml:space="preserve"> sau </w:t>
            </w:r>
            <w:r w:rsidRPr="00C011B2">
              <w:rPr>
                <w:rFonts w:ascii="Times New Roman" w:hAnsi="Times New Roman" w:cs="Times New Roman"/>
                <w:color w:val="000000" w:themeColor="text1"/>
                <w:lang w:val="ro-MD"/>
              </w:rPr>
              <w:t>79.2</w:t>
            </w:r>
            <w:r w:rsidR="00DF1F69" w:rsidRPr="00C011B2">
              <w:rPr>
                <w:rFonts w:ascii="Times New Roman" w:hAnsi="Times New Roman" w:cs="Times New Roman"/>
                <w:color w:val="000000" w:themeColor="text1"/>
                <w:lang w:val="ro-MD"/>
              </w:rPr>
              <w:t xml:space="preserve"> timp de trei luni consecutive; sau</w:t>
            </w:r>
          </w:p>
          <w:p w14:paraId="3723C37F" w14:textId="0628AA2B" w:rsidR="00DF1F69" w:rsidRPr="00C011B2" w:rsidRDefault="00204230"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85.2.</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 xml:space="preserve">nu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ndepline</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te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ia stabilit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 xml:space="preserve">subpct.79.1 </w:t>
            </w:r>
            <w:r w:rsidR="00DF1F69" w:rsidRPr="00C011B2">
              <w:rPr>
                <w:rFonts w:ascii="Times New Roman" w:hAnsi="Times New Roman" w:cs="Times New Roman"/>
                <w:color w:val="000000" w:themeColor="text1"/>
                <w:lang w:val="ro-MD"/>
              </w:rPr>
              <w:t xml:space="preserve"> sau </w:t>
            </w:r>
            <w:r w:rsidRPr="00C011B2">
              <w:rPr>
                <w:rFonts w:ascii="Times New Roman" w:hAnsi="Times New Roman" w:cs="Times New Roman"/>
                <w:color w:val="000000" w:themeColor="text1"/>
                <w:lang w:val="ro-MD"/>
              </w:rPr>
              <w:t xml:space="preserve">79.2 </w:t>
            </w:r>
            <w:r w:rsidR="00DF1F69" w:rsidRPr="00C011B2">
              <w:rPr>
                <w:rFonts w:ascii="Times New Roman" w:hAnsi="Times New Roman" w:cs="Times New Roman"/>
                <w:color w:val="000000" w:themeColor="text1"/>
                <w:lang w:val="ro-MD"/>
              </w:rPr>
              <w:t xml:space="preserve">timp de mai mult de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ase din ultimele 12 luni.</w:t>
            </w:r>
            <w:bookmarkEnd w:id="108"/>
          </w:p>
        </w:tc>
        <w:tc>
          <w:tcPr>
            <w:tcW w:w="450" w:type="pct"/>
          </w:tcPr>
          <w:p w14:paraId="720FAD95" w14:textId="5E0CA6EA"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E833426"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08E8E53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455DF32"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15CD596B" w14:textId="5618BA69"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care 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ncetat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calculeze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articolul 325 alineatul (1) litera (c) prime</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te aprobarea de 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ncepe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calculeze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numai dac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demonstreaz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competente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toate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la alineatul (1) de la prezentul articol au fost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ndeplinite pe o perioad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ne</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ntrerupt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un an.</w:t>
            </w:r>
          </w:p>
        </w:tc>
        <w:tc>
          <w:tcPr>
            <w:tcW w:w="1692" w:type="pct"/>
            <w:shd w:val="clear" w:color="auto" w:fill="auto"/>
          </w:tcPr>
          <w:p w14:paraId="01EC18B2" w14:textId="0E079817" w:rsidR="00DF1F69" w:rsidRPr="00C011B2" w:rsidRDefault="00204230" w:rsidP="00DF1F69">
            <w:pPr>
              <w:spacing w:after="0" w:line="276" w:lineRule="auto"/>
              <w:jc w:val="both"/>
              <w:rPr>
                <w:rFonts w:ascii="Times New Roman" w:hAnsi="Times New Roman" w:cs="Times New Roman"/>
                <w:color w:val="000000" w:themeColor="text1"/>
                <w:lang w:val="ro-MD"/>
              </w:rPr>
            </w:pPr>
            <w:bookmarkStart w:id="109" w:name="_Hlk202795903"/>
            <w:r w:rsidRPr="00C011B2">
              <w:rPr>
                <w:rFonts w:ascii="Times New Roman" w:hAnsi="Times New Roman" w:cs="Times New Roman"/>
                <w:color w:val="000000" w:themeColor="text1"/>
                <w:lang w:val="ro-MD"/>
              </w:rPr>
              <w:t>86.</w:t>
            </w:r>
            <w:r w:rsidR="00DF1F69"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 xml:space="preserve">care a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ncetat s</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calculeze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utiliz</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abordarea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 xml:space="preserve">subpct.69.3 </w:t>
            </w:r>
            <w:r w:rsidR="00DF1F69" w:rsidRPr="00C011B2">
              <w:rPr>
                <w:rFonts w:ascii="Times New Roman" w:hAnsi="Times New Roman" w:cs="Times New Roman"/>
                <w:color w:val="000000" w:themeColor="text1"/>
                <w:lang w:val="ro-MD"/>
              </w:rPr>
              <w:t>prime</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te aprobarea de a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ncepe s</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calculeze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utiliz</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abordarea respectiv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numai dac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demonstreaz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toate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la </w:t>
            </w:r>
            <w:r w:rsidRPr="00C011B2">
              <w:rPr>
                <w:rFonts w:ascii="Times New Roman" w:hAnsi="Times New Roman" w:cs="Times New Roman"/>
                <w:color w:val="000000" w:themeColor="text1"/>
                <w:lang w:val="ro-MD"/>
              </w:rPr>
              <w:t>pct.79</w:t>
            </w:r>
            <w:r w:rsidR="00DF1F69" w:rsidRPr="00C011B2">
              <w:rPr>
                <w:rFonts w:ascii="Times New Roman" w:hAnsi="Times New Roman" w:cs="Times New Roman"/>
                <w:color w:val="000000" w:themeColor="text1"/>
                <w:lang w:val="ro-MD"/>
              </w:rPr>
              <w:t xml:space="preserve"> au fost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ndeplinite pe o perioad</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ne</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ntrerupt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de un an.</w:t>
            </w:r>
            <w:bookmarkEnd w:id="109"/>
          </w:p>
        </w:tc>
        <w:tc>
          <w:tcPr>
            <w:tcW w:w="450" w:type="pct"/>
          </w:tcPr>
          <w:p w14:paraId="597C0854" w14:textId="40790180"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6586A0B"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79B22C8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6B191BF"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4747F9DD" w14:textId="6A07D282"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nu deschid, cump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sau v</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o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numai pentru scopul de a respecta oricare dintre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la alineatul (1)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cursul evalu</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lunare.</w:t>
            </w:r>
          </w:p>
        </w:tc>
        <w:tc>
          <w:tcPr>
            <w:tcW w:w="1692" w:type="pct"/>
            <w:shd w:val="clear" w:color="auto" w:fill="auto"/>
          </w:tcPr>
          <w:p w14:paraId="2F495B25" w14:textId="5FE187CC" w:rsidR="00DF1F69" w:rsidRPr="00C011B2" w:rsidRDefault="00C50065" w:rsidP="00DF1F69">
            <w:pPr>
              <w:spacing w:after="0" w:line="276" w:lineRule="auto"/>
              <w:jc w:val="both"/>
              <w:rPr>
                <w:rFonts w:ascii="Times New Roman" w:hAnsi="Times New Roman" w:cs="Times New Roman"/>
                <w:color w:val="000000" w:themeColor="text1"/>
                <w:lang w:val="ro-MD"/>
              </w:rPr>
            </w:pPr>
            <w:bookmarkStart w:id="110" w:name="_Hlk202796054"/>
            <w:r w:rsidRPr="00C011B2">
              <w:rPr>
                <w:rFonts w:ascii="Times New Roman" w:hAnsi="Times New Roman" w:cs="Times New Roman"/>
                <w:color w:val="000000" w:themeColor="text1"/>
                <w:lang w:val="ro-MD"/>
              </w:rPr>
              <w:t>87.</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nu deschid, cump</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sau v</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o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ie numai pentru scopul de a respecta oricare dintre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la </w:t>
            </w:r>
            <w:r w:rsidRPr="00C011B2">
              <w:rPr>
                <w:rFonts w:ascii="Times New Roman" w:hAnsi="Times New Roman" w:cs="Times New Roman"/>
                <w:color w:val="000000" w:themeColor="text1"/>
                <w:lang w:val="ro-MD"/>
              </w:rPr>
              <w:t xml:space="preserve">pct.79 </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cursul evalu</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rii lunare.</w:t>
            </w:r>
            <w:bookmarkEnd w:id="110"/>
          </w:p>
        </w:tc>
        <w:tc>
          <w:tcPr>
            <w:tcW w:w="450" w:type="pct"/>
          </w:tcPr>
          <w:p w14:paraId="2C3A5556" w14:textId="4A7DC210"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4E8953D"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FA7D23" w14:paraId="27C33C7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1B89F08"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2C05BC22"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275F444F" w14:textId="77777777" w:rsidR="00DF1F69" w:rsidRPr="00C011B2" w:rsidRDefault="00DF1F69" w:rsidP="00DF1F69">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w:t>
            </w:r>
          </w:p>
          <w:p w14:paraId="1BA60604" w14:textId="0CCC623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Permisiuni pentru cerinţe consolidate</w:t>
            </w:r>
          </w:p>
        </w:tc>
        <w:tc>
          <w:tcPr>
            <w:tcW w:w="1692" w:type="pct"/>
            <w:shd w:val="clear" w:color="auto" w:fill="auto"/>
          </w:tcPr>
          <w:p w14:paraId="0DFEB7AA" w14:textId="507519C5" w:rsidR="00DF1F69" w:rsidRPr="00C011B2" w:rsidRDefault="00FB7EAE" w:rsidP="00DF1F69">
            <w:pPr>
              <w:spacing w:after="0" w:line="276" w:lineRule="auto"/>
              <w:jc w:val="both"/>
              <w:rPr>
                <w:rFonts w:ascii="Times New Roman" w:hAnsi="Times New Roman" w:cs="Times New Roman"/>
                <w:i/>
                <w:iCs/>
                <w:color w:val="000000" w:themeColor="text1"/>
                <w:lang w:val="ro-MD"/>
              </w:rPr>
            </w:pPr>
            <w:bookmarkStart w:id="111" w:name="_Hlk202796288"/>
            <w:r w:rsidRPr="00C011B2">
              <w:rPr>
                <w:rFonts w:ascii="Times New Roman" w:hAnsi="Times New Roman" w:cs="Times New Roman"/>
                <w:i/>
                <w:iCs/>
                <w:color w:val="000000" w:themeColor="text1"/>
                <w:lang w:val="ro-MD"/>
              </w:rPr>
              <w:t>Secțiunea 3.</w:t>
            </w:r>
          </w:p>
          <w:p w14:paraId="4B41965A" w14:textId="4B9E7A9A" w:rsidR="00DF1F69" w:rsidRPr="00C011B2" w:rsidRDefault="00CF3280"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 xml:space="preserve">Aprobări </w:t>
            </w:r>
            <w:r w:rsidR="00DF1F69" w:rsidRPr="00C011B2">
              <w:rPr>
                <w:rFonts w:ascii="Times New Roman" w:hAnsi="Times New Roman" w:cs="Times New Roman"/>
                <w:b/>
                <w:bCs/>
                <w:color w:val="000000" w:themeColor="text1"/>
                <w:lang w:val="ro-MD"/>
              </w:rPr>
              <w:t>pentru cerinţe consolidate</w:t>
            </w:r>
            <w:bookmarkEnd w:id="111"/>
          </w:p>
        </w:tc>
        <w:tc>
          <w:tcPr>
            <w:tcW w:w="450" w:type="pct"/>
          </w:tcPr>
          <w:p w14:paraId="2E31DECD"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c>
          <w:tcPr>
            <w:tcW w:w="1261" w:type="pct"/>
          </w:tcPr>
          <w:p w14:paraId="4A3D2BB9"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5200EA9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806E1B" w14:textId="5C351B5E"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Sub rezerva alineatului (2)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numai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scopul calcul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iilor nete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consolidat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conformitate cu </w:t>
            </w:r>
            <w:r w:rsidRPr="00C011B2">
              <w:rPr>
                <w:rFonts w:ascii="Times New Roman" w:hAnsi="Times New Roman" w:cs="Times New Roman"/>
                <w:color w:val="000000" w:themeColor="text1"/>
                <w:lang w:val="ro-MD"/>
              </w:rPr>
              <w:lastRenderedPageBreak/>
              <w:t>prezentul titlu,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pot folosi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dintr-o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sau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ntreprindere pentru a compensa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dintr-o alt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sau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ntreprindere.</w:t>
            </w:r>
          </w:p>
        </w:tc>
        <w:tc>
          <w:tcPr>
            <w:tcW w:w="1692" w:type="pct"/>
            <w:shd w:val="clear" w:color="auto" w:fill="auto"/>
          </w:tcPr>
          <w:p w14:paraId="0B0D00E4" w14:textId="7E8C62E0" w:rsidR="00DF1F69" w:rsidRPr="00C011B2" w:rsidRDefault="00FB7EAE" w:rsidP="00DF1F69">
            <w:pPr>
              <w:spacing w:after="0" w:line="276" w:lineRule="auto"/>
              <w:jc w:val="both"/>
              <w:rPr>
                <w:rFonts w:ascii="Times New Roman" w:hAnsi="Times New Roman" w:cs="Times New Roman"/>
                <w:color w:val="000000" w:themeColor="text1"/>
                <w:lang w:val="ro-MD"/>
              </w:rPr>
            </w:pPr>
            <w:bookmarkStart w:id="112" w:name="_Hlk202796453"/>
            <w:r w:rsidRPr="00C011B2">
              <w:rPr>
                <w:rFonts w:ascii="Times New Roman" w:hAnsi="Times New Roman" w:cs="Times New Roman"/>
                <w:color w:val="000000" w:themeColor="text1"/>
                <w:lang w:val="ro-MD"/>
              </w:rPr>
              <w:lastRenderedPageBreak/>
              <w:t>88.</w:t>
            </w:r>
            <w:r w:rsidR="00DF1F69" w:rsidRPr="00C011B2">
              <w:rPr>
                <w:rFonts w:ascii="Times New Roman" w:hAnsi="Times New Roman" w:cs="Times New Roman"/>
                <w:color w:val="000000" w:themeColor="text1"/>
                <w:lang w:val="ro-MD"/>
              </w:rPr>
              <w:t xml:space="preserve"> Sub rezerva </w:t>
            </w:r>
            <w:r w:rsidRPr="00C011B2">
              <w:rPr>
                <w:rFonts w:ascii="Times New Roman" w:hAnsi="Times New Roman" w:cs="Times New Roman"/>
                <w:color w:val="000000" w:themeColor="text1"/>
                <w:lang w:val="ro-MD"/>
              </w:rPr>
              <w:t>pct.89</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numai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scopul calcul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rii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iilor nete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elor de fonduri proprii pe baz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consolidat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prezentul titlu,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 xml:space="preserve">pot </w:t>
            </w:r>
            <w:r w:rsidR="00DF1F69" w:rsidRPr="00C011B2">
              <w:rPr>
                <w:rFonts w:ascii="Times New Roman" w:hAnsi="Times New Roman" w:cs="Times New Roman"/>
                <w:color w:val="000000" w:themeColor="text1"/>
                <w:lang w:val="ro-MD"/>
              </w:rPr>
              <w:lastRenderedPageBreak/>
              <w:t>folosi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iile dintr-o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 xml:space="preserve">sau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ntreprindere pentru a compensa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dintr-o alt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 xml:space="preserve">sau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ntreprindere.</w:t>
            </w:r>
            <w:bookmarkEnd w:id="112"/>
          </w:p>
        </w:tc>
        <w:tc>
          <w:tcPr>
            <w:tcW w:w="450" w:type="pct"/>
          </w:tcPr>
          <w:p w14:paraId="0CE7E0B4" w14:textId="7D0DE616"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6A423DF"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44D052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D09F59" w14:textId="51C19CAC"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pot aplica dispozi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alineatului (1) doar cu aprobarea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ilor competente, care se acord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care sunt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ndeplinite toate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w:t>
            </w:r>
          </w:p>
          <w:p w14:paraId="1AD8514E" w14:textId="399DB77D"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exist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cadrul grupului o alocare satisf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 a fondurilor proprii;</w:t>
            </w:r>
          </w:p>
          <w:p w14:paraId="7D851957" w14:textId="1B834022"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cadrul de reglementare, juridic sau contractual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opereaz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garanteaz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sprijinul financiar reciproc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interiorul grupului.</w:t>
            </w:r>
          </w:p>
        </w:tc>
        <w:tc>
          <w:tcPr>
            <w:tcW w:w="1692" w:type="pct"/>
            <w:shd w:val="clear" w:color="auto" w:fill="auto"/>
          </w:tcPr>
          <w:p w14:paraId="28269D5E" w14:textId="0F93A2DD" w:rsidR="00DF1F69" w:rsidRPr="00C011B2" w:rsidRDefault="00FB7EAE" w:rsidP="00DF1F69">
            <w:pPr>
              <w:spacing w:after="0" w:line="276" w:lineRule="auto"/>
              <w:jc w:val="both"/>
              <w:rPr>
                <w:rFonts w:ascii="Times New Roman" w:hAnsi="Times New Roman" w:cs="Times New Roman"/>
                <w:color w:val="000000" w:themeColor="text1"/>
                <w:lang w:val="ro-MD"/>
              </w:rPr>
            </w:pPr>
            <w:bookmarkStart w:id="113" w:name="_Hlk202796596"/>
            <w:r w:rsidRPr="00C011B2">
              <w:rPr>
                <w:rFonts w:ascii="Times New Roman" w:hAnsi="Times New Roman" w:cs="Times New Roman"/>
                <w:color w:val="000000" w:themeColor="text1"/>
                <w:lang w:val="ro-MD"/>
              </w:rPr>
              <w:t>89.</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pot aplica dispozi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iile </w:t>
            </w:r>
            <w:r w:rsidRPr="00C011B2">
              <w:rPr>
                <w:rFonts w:ascii="Times New Roman" w:hAnsi="Times New Roman" w:cs="Times New Roman"/>
                <w:color w:val="000000" w:themeColor="text1"/>
                <w:lang w:val="ro-MD"/>
              </w:rPr>
              <w:t>pct.88</w:t>
            </w:r>
            <w:r w:rsidR="00DF1F69" w:rsidRPr="00C011B2">
              <w:rPr>
                <w:rFonts w:ascii="Times New Roman" w:hAnsi="Times New Roman" w:cs="Times New Roman"/>
                <w:color w:val="000000" w:themeColor="text1"/>
                <w:lang w:val="ro-MD"/>
              </w:rPr>
              <w:t xml:space="preserve"> doar cu aprobarea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care se acord</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cazul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care sunt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ndeplinite toate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w:t>
            </w:r>
          </w:p>
          <w:p w14:paraId="6C6FF144" w14:textId="2DDB9F8D" w:rsidR="00DF1F69" w:rsidRPr="00C011B2" w:rsidRDefault="00FB7EAE"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89.1.</w:t>
            </w:r>
            <w:r w:rsidR="00DF1F69" w:rsidRPr="00C011B2">
              <w:rPr>
                <w:rFonts w:ascii="Times New Roman" w:hAnsi="Times New Roman" w:cs="Times New Roman"/>
                <w:color w:val="000000" w:themeColor="text1"/>
                <w:lang w:val="ro-MD"/>
              </w:rPr>
              <w:t xml:space="preserve"> exist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cadrul grupului o alocare satisf</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 a fondurilor proprii;</w:t>
            </w:r>
          </w:p>
          <w:p w14:paraId="762A1D02" w14:textId="5C3DDCC0" w:rsidR="00DF1F69" w:rsidRPr="00C011B2" w:rsidRDefault="00FB7EAE"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89.2.</w:t>
            </w:r>
            <w:r w:rsidR="00DF1F69" w:rsidRPr="00C011B2">
              <w:rPr>
                <w:rFonts w:ascii="Times New Roman" w:hAnsi="Times New Roman" w:cs="Times New Roman"/>
                <w:color w:val="000000" w:themeColor="text1"/>
                <w:lang w:val="ro-MD"/>
              </w:rPr>
              <w:t xml:space="preserve"> cadrul de reglementare, juridic sau contractual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care opereaz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garanteaz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sprijinul financiar reciproc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interiorul grupului.</w:t>
            </w:r>
            <w:bookmarkEnd w:id="113"/>
          </w:p>
        </w:tc>
        <w:tc>
          <w:tcPr>
            <w:tcW w:w="450" w:type="pct"/>
          </w:tcPr>
          <w:p w14:paraId="48A7C00D" w14:textId="6C3EC657"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67F82F8"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0D9A640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CA1CD6" w14:textId="5A0A04A6"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exist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ntreprinderi situate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ri ter</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 pe l</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ng</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la alineatul (2), sunt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ndeplinite toate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w:t>
            </w:r>
          </w:p>
          <w:p w14:paraId="5691FCE5" w14:textId="3AEC84B4"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ntreprinderile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cauz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au fost autorizate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ntr-o </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ter</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fie corespund defini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de credit, fie sunt firme de investi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 recunoscute din </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ri ter</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w:t>
            </w:r>
          </w:p>
          <w:p w14:paraId="0D77A447" w14:textId="77728E5E"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ntreprinderile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cauz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respect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la nivel individual,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 de fonduri proprii echivalente cu cele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prezentul regulament;</w:t>
            </w:r>
          </w:p>
          <w:p w14:paraId="0CEF8E69" w14:textId="44C0C41A"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rile ter</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cauz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exist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reglement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ri care ar putea afecta semnificativ transferul de fonduri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cadrul grupului.</w:t>
            </w:r>
          </w:p>
        </w:tc>
        <w:tc>
          <w:tcPr>
            <w:tcW w:w="1692" w:type="pct"/>
            <w:shd w:val="clear" w:color="auto" w:fill="auto"/>
          </w:tcPr>
          <w:p w14:paraId="7C0039DA" w14:textId="1ADD2AE5" w:rsidR="00DF1F69" w:rsidRPr="00C011B2" w:rsidRDefault="00FB7EAE"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90.</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cazul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care exist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ntreprinderi situate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w:t>
            </w:r>
            <w:r w:rsidRPr="00C011B2">
              <w:rPr>
                <w:rFonts w:ascii="Times New Roman" w:hAnsi="Times New Roman" w:cs="Times New Roman"/>
                <w:color w:val="000000" w:themeColor="text1"/>
                <w:lang w:val="ro-MD"/>
              </w:rPr>
              <w:t>alte state</w:t>
            </w:r>
            <w:r w:rsidR="00DF1F69" w:rsidRPr="00C011B2">
              <w:rPr>
                <w:rFonts w:ascii="Times New Roman" w:hAnsi="Times New Roman" w:cs="Times New Roman"/>
                <w:color w:val="000000" w:themeColor="text1"/>
                <w:lang w:val="ro-MD"/>
              </w:rPr>
              <w:t>, pe l</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ng</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zute la</w:t>
            </w:r>
            <w:r w:rsidR="00682CB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pct.89</w:t>
            </w:r>
            <w:r w:rsidR="00DF1F69" w:rsidRPr="00C011B2">
              <w:rPr>
                <w:rFonts w:ascii="Times New Roman" w:hAnsi="Times New Roman" w:cs="Times New Roman"/>
                <w:color w:val="000000" w:themeColor="text1"/>
                <w:lang w:val="ro-MD"/>
              </w:rPr>
              <w:t xml:space="preserve">, sunt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ndeplinite toate condi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w:t>
            </w:r>
          </w:p>
          <w:p w14:paraId="2FB85B87" w14:textId="1BC302A0" w:rsidR="00DF1F69" w:rsidRPr="00C011B2" w:rsidRDefault="00E95367"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90.1.</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ntreprinderile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cauz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au fost autorizate </w:t>
            </w:r>
            <w:r w:rsidRPr="00C011B2">
              <w:rPr>
                <w:rFonts w:ascii="Times New Roman" w:hAnsi="Times New Roman" w:cs="Times New Roman"/>
                <w:color w:val="000000" w:themeColor="text1"/>
                <w:lang w:val="ro-MD"/>
              </w:rPr>
              <w:t>într-un alt stat</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fie corespund defini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iei </w:t>
            </w:r>
            <w:r w:rsidRPr="00C011B2">
              <w:rPr>
                <w:rFonts w:ascii="Times New Roman" w:hAnsi="Times New Roman" w:cs="Times New Roman"/>
                <w:color w:val="000000" w:themeColor="text1"/>
                <w:lang w:val="ro-MD"/>
              </w:rPr>
              <w:t>bancă</w:t>
            </w:r>
            <w:r w:rsidR="00DF1F69" w:rsidRPr="00C011B2">
              <w:rPr>
                <w:rFonts w:ascii="Times New Roman" w:hAnsi="Times New Roman" w:cs="Times New Roman"/>
                <w:color w:val="000000" w:themeColor="text1"/>
                <w:lang w:val="ro-MD"/>
              </w:rPr>
              <w:t>, fie sunt firme de investi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 recunoscute din </w:t>
            </w:r>
            <w:r w:rsidRPr="00C011B2">
              <w:rPr>
                <w:rFonts w:ascii="Times New Roman" w:hAnsi="Times New Roman" w:cs="Times New Roman"/>
                <w:color w:val="000000" w:themeColor="text1"/>
                <w:lang w:val="ro-MD"/>
              </w:rPr>
              <w:t>alte state</w:t>
            </w:r>
            <w:r w:rsidR="00DF1F69" w:rsidRPr="00C011B2">
              <w:rPr>
                <w:rFonts w:ascii="Times New Roman" w:hAnsi="Times New Roman" w:cs="Times New Roman"/>
                <w:color w:val="000000" w:themeColor="text1"/>
                <w:lang w:val="ro-MD"/>
              </w:rPr>
              <w:t>;</w:t>
            </w:r>
          </w:p>
          <w:p w14:paraId="4E9C2348" w14:textId="54457AF9" w:rsidR="00DF1F69" w:rsidRPr="00C011B2" w:rsidRDefault="00E95367"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90.2.</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ntreprinderile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cauz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respect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la nivel individual,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 de fonduri proprii echivalente cu cele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w:t>
            </w:r>
            <w:r w:rsidRPr="00C011B2">
              <w:rPr>
                <w:rFonts w:ascii="Times New Roman" w:hAnsi="Times New Roman" w:cs="Times New Roman"/>
                <w:color w:val="000000" w:themeColor="text1"/>
                <w:lang w:val="ro-MD"/>
              </w:rPr>
              <w:t>Regulamentul nr.109/2018</w:t>
            </w:r>
            <w:r w:rsidR="00DF1F69" w:rsidRPr="00C011B2">
              <w:rPr>
                <w:rFonts w:ascii="Times New Roman" w:hAnsi="Times New Roman" w:cs="Times New Roman"/>
                <w:color w:val="000000" w:themeColor="text1"/>
                <w:lang w:val="ro-MD"/>
              </w:rPr>
              <w:t>;</w:t>
            </w:r>
          </w:p>
          <w:p w14:paraId="5D3718F3" w14:textId="57CC6755" w:rsidR="00DF1F69" w:rsidRPr="00C011B2" w:rsidRDefault="00E95367"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90.3.</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w:t>
            </w:r>
            <w:r w:rsidRPr="00C011B2">
              <w:rPr>
                <w:rFonts w:ascii="Times New Roman" w:hAnsi="Times New Roman" w:cs="Times New Roman"/>
                <w:color w:val="000000" w:themeColor="text1"/>
                <w:lang w:val="ro-MD"/>
              </w:rPr>
              <w:t>statele respective</w:t>
            </w:r>
            <w:r w:rsidR="00DF1F69" w:rsidRPr="00C011B2">
              <w:rPr>
                <w:rFonts w:ascii="Times New Roman" w:hAnsi="Times New Roman" w:cs="Times New Roman"/>
                <w:color w:val="000000" w:themeColor="text1"/>
                <w:lang w:val="ro-MD"/>
              </w:rPr>
              <w:t xml:space="preserve"> nu exist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reglement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ri care ar putea afecta semnificativ transferul de fonduri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cadrul grupului.</w:t>
            </w:r>
          </w:p>
        </w:tc>
        <w:tc>
          <w:tcPr>
            <w:tcW w:w="450" w:type="pct"/>
          </w:tcPr>
          <w:p w14:paraId="25C51512" w14:textId="7AD2D44B"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4C61182"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50F9A45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6D07C08"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1BDF1C97" w14:textId="077CE33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(4)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o autoritate competent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a acordat unei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aprobarea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(2) pentru cel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sau o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ntreprindere din grup, la calcularea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consolidat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prezentul titlu se aplic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w:t>
            </w:r>
          </w:p>
          <w:p w14:paraId="62BB4C11" w14:textId="00110CAF"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nete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ele de fonduri proprii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prezentul titlu pentru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 cadrul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iilor sau al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ntreprinderilor din grup pentru care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a primit aprobarea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(2),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tratamentul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 la alineatul (1);</w:t>
            </w:r>
          </w:p>
          <w:p w14:paraId="2DFB90F4" w14:textId="48531409"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nete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ele de fonduri proprii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conformitate cu prezentul titlu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mod individual pentru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din cadrul fiec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rei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 sau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ntreprinderi din grup pentru care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nu a primit aprobarea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(2);</w:t>
            </w:r>
          </w:p>
          <w:p w14:paraId="6807CC5B" w14:textId="644DD7A5"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ele de fonduri proprii totale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prezentul titlu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consolidat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prin adunarea cuantumurilor calculate la literele (a)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(b) de la prezentul alineat.</w:t>
            </w:r>
          </w:p>
          <w:p w14:paraId="3D4A0D43" w14:textId="0333ADDE"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scopul calculului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 la primul paragraf literele (a)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(b),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ntreprinderile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literele respective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aceea</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moned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raportare ca moneda de raportare utilizat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lastRenderedPageBreak/>
              <w:t>pentru calcularea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prezentul titlu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consolidat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grup.</w:t>
            </w:r>
          </w:p>
        </w:tc>
        <w:tc>
          <w:tcPr>
            <w:tcW w:w="1692" w:type="pct"/>
            <w:shd w:val="clear" w:color="auto" w:fill="auto"/>
          </w:tcPr>
          <w:p w14:paraId="6C25FD64" w14:textId="79A317BE" w:rsidR="00DF1F69" w:rsidRPr="00C011B2" w:rsidRDefault="00682CB9" w:rsidP="00DF1F69">
            <w:pPr>
              <w:spacing w:after="0" w:line="276" w:lineRule="auto"/>
              <w:jc w:val="both"/>
              <w:rPr>
                <w:rFonts w:ascii="Times New Roman" w:hAnsi="Times New Roman" w:cs="Times New Roman"/>
                <w:color w:val="000000" w:themeColor="text1"/>
                <w:lang w:val="ro-MD"/>
              </w:rPr>
            </w:pPr>
            <w:bookmarkStart w:id="114" w:name="_Hlk202797417"/>
            <w:r w:rsidRPr="00C011B2">
              <w:rPr>
                <w:rFonts w:ascii="Times New Roman" w:hAnsi="Times New Roman" w:cs="Times New Roman"/>
                <w:color w:val="000000" w:themeColor="text1"/>
                <w:lang w:val="ro-MD"/>
              </w:rPr>
              <w:lastRenderedPageBreak/>
              <w:t>91.</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cazul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care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nu a acordat unei </w:t>
            </w:r>
            <w:r w:rsidRPr="00C011B2">
              <w:rPr>
                <w:rFonts w:ascii="Times New Roman" w:hAnsi="Times New Roman" w:cs="Times New Roman"/>
                <w:color w:val="000000" w:themeColor="text1"/>
                <w:lang w:val="ro-MD"/>
              </w:rPr>
              <w:t xml:space="preserve">bănci </w:t>
            </w:r>
            <w:r w:rsidR="00DF1F69" w:rsidRPr="00C011B2">
              <w:rPr>
                <w:rFonts w:ascii="Times New Roman" w:hAnsi="Times New Roman" w:cs="Times New Roman"/>
                <w:color w:val="000000" w:themeColor="text1"/>
                <w:lang w:val="ro-MD"/>
              </w:rPr>
              <w:t>aprobarea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pct.89</w:t>
            </w:r>
            <w:r w:rsidR="00DF1F69" w:rsidRPr="00C011B2">
              <w:rPr>
                <w:rFonts w:ascii="Times New Roman" w:hAnsi="Times New Roman" w:cs="Times New Roman"/>
                <w:color w:val="000000" w:themeColor="text1"/>
                <w:lang w:val="ro-MD"/>
              </w:rPr>
              <w:t xml:space="preserve"> pentru cel pu</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in 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 xml:space="preserve">sau o </w:t>
            </w:r>
            <w:r w:rsidR="00DF1F69" w:rsidRPr="00C011B2">
              <w:rPr>
                <w:rFonts w:ascii="Times New Roman" w:hAnsi="Times New Roman" w:cs="Times New Roman" w:hint="eastAsia"/>
                <w:color w:val="000000" w:themeColor="text1"/>
                <w:lang w:val="ro-MD"/>
              </w:rPr>
              <w:lastRenderedPageBreak/>
              <w:t>î</w:t>
            </w:r>
            <w:r w:rsidR="00DF1F69" w:rsidRPr="00C011B2">
              <w:rPr>
                <w:rFonts w:ascii="Times New Roman" w:hAnsi="Times New Roman" w:cs="Times New Roman"/>
                <w:color w:val="000000" w:themeColor="text1"/>
                <w:lang w:val="ro-MD"/>
              </w:rPr>
              <w:t>ntreprindere din grup, la calcularea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elor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pe baz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consolidat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prezentul titlu se aplic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toarele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w:t>
            </w:r>
          </w:p>
          <w:p w14:paraId="0876CD42" w14:textId="0EE4C953" w:rsidR="00DF1F69" w:rsidRPr="00C011B2" w:rsidRDefault="00682CB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91.1.</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iile nete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ele de fonduri proprii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prezentul titlu pentru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iile din cadrul </w:t>
            </w:r>
            <w:r w:rsidRPr="00C011B2">
              <w:rPr>
                <w:rFonts w:ascii="Times New Roman" w:hAnsi="Times New Roman" w:cs="Times New Roman"/>
                <w:color w:val="000000" w:themeColor="text1"/>
                <w:lang w:val="ro-MD"/>
              </w:rPr>
              <w:t xml:space="preserve">băncilor </w:t>
            </w:r>
            <w:r w:rsidR="00DF1F69" w:rsidRPr="00C011B2">
              <w:rPr>
                <w:rFonts w:ascii="Times New Roman" w:hAnsi="Times New Roman" w:cs="Times New Roman"/>
                <w:color w:val="000000" w:themeColor="text1"/>
                <w:lang w:val="ro-MD"/>
              </w:rPr>
              <w:t xml:space="preserve">sau al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ntreprinderilor din grup pentru care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a primit aprobarea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pct.89</w:t>
            </w:r>
            <w:r w:rsidR="00DF1F69" w:rsidRPr="00C011B2">
              <w:rPr>
                <w:rFonts w:ascii="Times New Roman" w:hAnsi="Times New Roman" w:cs="Times New Roman"/>
                <w:color w:val="000000" w:themeColor="text1"/>
                <w:lang w:val="ro-MD"/>
              </w:rPr>
              <w:t>, utiliz</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tratamentul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zut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pct.88</w:t>
            </w:r>
            <w:r w:rsidR="00DF1F69" w:rsidRPr="00C011B2">
              <w:rPr>
                <w:rFonts w:ascii="Times New Roman" w:hAnsi="Times New Roman" w:cs="Times New Roman"/>
                <w:color w:val="000000" w:themeColor="text1"/>
                <w:lang w:val="ro-MD"/>
              </w:rPr>
              <w:t>;</w:t>
            </w:r>
          </w:p>
          <w:p w14:paraId="50AD0E0E" w14:textId="07437648" w:rsidR="00DF1F69" w:rsidRPr="00C011B2" w:rsidRDefault="00682CB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91.2.</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iile nete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ele de fonduri proprii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conformitate cu prezentul titlu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mod individual pentru toate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iile din cadrul fiec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rei </w:t>
            </w:r>
            <w:r w:rsidRPr="00C011B2">
              <w:rPr>
                <w:rFonts w:ascii="Times New Roman" w:hAnsi="Times New Roman" w:cs="Times New Roman"/>
                <w:color w:val="000000" w:themeColor="text1"/>
                <w:lang w:val="ro-MD"/>
              </w:rPr>
              <w:t xml:space="preserve">bănci </w:t>
            </w:r>
            <w:r w:rsidR="00DF1F69" w:rsidRPr="00C011B2">
              <w:rPr>
                <w:rFonts w:ascii="Times New Roman" w:hAnsi="Times New Roman" w:cs="Times New Roman"/>
                <w:color w:val="000000" w:themeColor="text1"/>
                <w:lang w:val="ro-MD"/>
              </w:rPr>
              <w:t xml:space="preserve">sau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ntreprinderi din grup pentru care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nu a primit aprobarea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pct.89</w:t>
            </w:r>
            <w:r w:rsidR="00DF1F69" w:rsidRPr="00C011B2">
              <w:rPr>
                <w:rFonts w:ascii="Times New Roman" w:hAnsi="Times New Roman" w:cs="Times New Roman"/>
                <w:color w:val="000000" w:themeColor="text1"/>
                <w:lang w:val="ro-MD"/>
              </w:rPr>
              <w:t>;</w:t>
            </w:r>
          </w:p>
          <w:p w14:paraId="1A0107F4" w14:textId="5079780A" w:rsidR="00DF1F69" w:rsidRPr="00C011B2" w:rsidRDefault="00682CB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91.3.</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ele de fonduri proprii totale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prezentul titlu pe baz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consolidat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prin adunarea cuantumurilor calculate la </w:t>
            </w:r>
            <w:r w:rsidRPr="00C011B2">
              <w:rPr>
                <w:rFonts w:ascii="Times New Roman" w:hAnsi="Times New Roman" w:cs="Times New Roman"/>
                <w:color w:val="000000" w:themeColor="text1"/>
                <w:lang w:val="ro-MD"/>
              </w:rPr>
              <w:t>subpct.91.1</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w:t>
            </w:r>
            <w:r w:rsidRPr="00C011B2">
              <w:rPr>
                <w:rFonts w:ascii="Times New Roman" w:hAnsi="Times New Roman" w:cs="Times New Roman"/>
                <w:color w:val="000000" w:themeColor="text1"/>
                <w:lang w:val="ro-MD"/>
              </w:rPr>
              <w:t>91.2</w:t>
            </w:r>
            <w:r w:rsidR="00DF1F69" w:rsidRPr="00C011B2">
              <w:rPr>
                <w:rFonts w:ascii="Times New Roman" w:hAnsi="Times New Roman" w:cs="Times New Roman"/>
                <w:color w:val="000000" w:themeColor="text1"/>
                <w:lang w:val="ro-MD"/>
              </w:rPr>
              <w:t>.</w:t>
            </w:r>
          </w:p>
          <w:p w14:paraId="5CEB8DF8" w14:textId="402A24B0" w:rsidR="00DF1F69" w:rsidRPr="00C011B2" w:rsidRDefault="00682CB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92.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scopul calculului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 la </w:t>
            </w:r>
            <w:r w:rsidRPr="00C011B2">
              <w:rPr>
                <w:rFonts w:ascii="Times New Roman" w:hAnsi="Times New Roman" w:cs="Times New Roman"/>
                <w:color w:val="000000" w:themeColor="text1"/>
                <w:lang w:val="ro-MD"/>
              </w:rPr>
              <w:t>subpct.91.1</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w:t>
            </w:r>
            <w:r w:rsidRPr="00C011B2">
              <w:rPr>
                <w:rFonts w:ascii="Times New Roman" w:hAnsi="Times New Roman" w:cs="Times New Roman"/>
                <w:color w:val="000000" w:themeColor="text1"/>
                <w:lang w:val="ro-MD"/>
              </w:rPr>
              <w:t>91.2</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ntreprinderile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 xml:space="preserve">subpunctele </w:t>
            </w:r>
            <w:r w:rsidR="00DF1F69" w:rsidRPr="00C011B2">
              <w:rPr>
                <w:rFonts w:ascii="Times New Roman" w:hAnsi="Times New Roman" w:cs="Times New Roman"/>
                <w:color w:val="000000" w:themeColor="text1"/>
                <w:lang w:val="ro-MD"/>
              </w:rPr>
              <w:t>respective utilizeaz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aceea</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moned</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de raportare ca moneda de raportare utilizat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calcularea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elor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prezentul titlu pe baz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consolidat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grup.</w:t>
            </w:r>
            <w:bookmarkEnd w:id="114"/>
          </w:p>
        </w:tc>
        <w:tc>
          <w:tcPr>
            <w:tcW w:w="450" w:type="pct"/>
          </w:tcPr>
          <w:p w14:paraId="53B239A3" w14:textId="123F7907"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759F42F"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FA7D23" w14:paraId="696A5AB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90A49A" w14:textId="77777777" w:rsidR="00DF1F69" w:rsidRPr="00C011B2" w:rsidRDefault="00FA7D23" w:rsidP="00DF1F69">
            <w:pPr>
              <w:spacing w:after="0" w:line="276" w:lineRule="auto"/>
              <w:jc w:val="both"/>
              <w:rPr>
                <w:rFonts w:ascii="Times New Roman" w:hAnsi="Times New Roman" w:cs="Times New Roman"/>
                <w:b/>
                <w:bCs/>
                <w:color w:val="000000" w:themeColor="text1"/>
                <w:lang w:val="ro-MD"/>
              </w:rPr>
            </w:pPr>
            <w:hyperlink r:id="rId12" w:tooltip="32019R0876: INSERTED" w:history="1">
              <w:r w:rsidR="00DF1F69" w:rsidRPr="00C011B2">
                <w:rPr>
                  <w:rStyle w:val="Hyperlink"/>
                  <w:rFonts w:ascii="Times New Roman" w:hAnsi="Times New Roman" w:cs="Times New Roman"/>
                  <w:b/>
                  <w:bCs/>
                  <w:lang w:val="ro-MD"/>
                </w:rPr>
                <w:t>M8</w:t>
              </w:r>
            </w:hyperlink>
          </w:p>
          <w:p w14:paraId="5F0757BF"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CAPITOLUL 1a</w:t>
            </w:r>
          </w:p>
          <w:p w14:paraId="37BE363E"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Abordarea standardizată alternativă</w:t>
            </w:r>
          </w:p>
          <w:p w14:paraId="1733CC08"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Secțiunea 1</w:t>
            </w:r>
          </w:p>
          <w:p w14:paraId="39270AC6"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Dispoziții generale</w:t>
            </w:r>
          </w:p>
          <w:p w14:paraId="29D52CCA" w14:textId="77777777" w:rsidR="00DF1F69" w:rsidRPr="00C011B2" w:rsidRDefault="00DF1F69" w:rsidP="00DF1F69">
            <w:pPr>
              <w:spacing w:after="0" w:line="276" w:lineRule="auto"/>
              <w:jc w:val="both"/>
              <w:rPr>
                <w:rFonts w:ascii="Times New Roman" w:hAnsi="Times New Roman" w:cs="Times New Roman"/>
                <w:b/>
                <w:bCs/>
                <w:i/>
                <w:iCs/>
                <w:color w:val="000000" w:themeColor="text1"/>
                <w:lang w:val="ro-MD"/>
              </w:rPr>
            </w:pPr>
            <w:r w:rsidRPr="00C011B2">
              <w:rPr>
                <w:rFonts w:ascii="Times New Roman" w:hAnsi="Times New Roman" w:cs="Times New Roman"/>
                <w:b/>
                <w:bCs/>
                <w:i/>
                <w:iCs/>
                <w:color w:val="000000" w:themeColor="text1"/>
                <w:lang w:val="ro-MD"/>
              </w:rPr>
              <w:t>Articolul 325c</w:t>
            </w:r>
          </w:p>
          <w:p w14:paraId="72241992" w14:textId="77777777" w:rsidR="00DF1F69" w:rsidRPr="00C011B2" w:rsidRDefault="00FA7D23" w:rsidP="00DF1F69">
            <w:pPr>
              <w:spacing w:after="0" w:line="276" w:lineRule="auto"/>
              <w:jc w:val="both"/>
              <w:rPr>
                <w:rFonts w:ascii="Times New Roman" w:hAnsi="Times New Roman" w:cs="Times New Roman"/>
                <w:b/>
                <w:bCs/>
                <w:color w:val="000000" w:themeColor="text1"/>
                <w:lang w:val="ro-MD"/>
              </w:rPr>
            </w:pPr>
            <w:hyperlink r:id="rId13" w:tooltip="32024R1623: REPLACED" w:history="1">
              <w:r w:rsidR="00DF1F69" w:rsidRPr="00C011B2">
                <w:rPr>
                  <w:rStyle w:val="Hyperlink"/>
                  <w:rFonts w:ascii="Times New Roman" w:hAnsi="Times New Roman" w:cs="Times New Roman"/>
                  <w:b/>
                  <w:bCs/>
                  <w:lang w:val="ro-MD"/>
                </w:rPr>
                <w:t>▼M17</w:t>
              </w:r>
            </w:hyperlink>
          </w:p>
          <w:p w14:paraId="16CC0CC4" w14:textId="7FD6EEB1"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Domeniul de aplicare, structura și cerințele calitative ale abordării standardizate alternative</w:t>
            </w:r>
          </w:p>
        </w:tc>
        <w:tc>
          <w:tcPr>
            <w:tcW w:w="1692" w:type="pct"/>
            <w:shd w:val="clear" w:color="auto" w:fill="auto"/>
          </w:tcPr>
          <w:p w14:paraId="39F341D5" w14:textId="24D8397A"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CAPITOLUL </w:t>
            </w:r>
            <w:r w:rsidR="006025AD" w:rsidRPr="00C011B2">
              <w:rPr>
                <w:rFonts w:ascii="Times New Roman" w:hAnsi="Times New Roman" w:cs="Times New Roman"/>
                <w:b/>
                <w:bCs/>
                <w:i/>
                <w:iCs/>
                <w:color w:val="000000" w:themeColor="text1"/>
                <w:lang w:val="ro-MD"/>
              </w:rPr>
              <w:t>II</w:t>
            </w:r>
          </w:p>
          <w:p w14:paraId="44316BF5"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Abordarea standardizată alternativă</w:t>
            </w:r>
          </w:p>
          <w:p w14:paraId="37077F34"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Secțiunea 1</w:t>
            </w:r>
          </w:p>
          <w:p w14:paraId="35A7C8A1"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Dispoziții generale</w:t>
            </w:r>
          </w:p>
          <w:p w14:paraId="2D128289" w14:textId="738328B5"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15" w:name="_Hlk199505175"/>
            <w:r w:rsidRPr="00C011B2">
              <w:rPr>
                <w:rFonts w:ascii="Times New Roman" w:hAnsi="Times New Roman" w:cs="Times New Roman"/>
                <w:b/>
                <w:bCs/>
                <w:i/>
                <w:iCs/>
                <w:color w:val="000000" w:themeColor="text1"/>
                <w:lang w:val="ro-MD"/>
              </w:rPr>
              <w:t>Subsecţiunea 1</w:t>
            </w:r>
            <w:bookmarkEnd w:id="115"/>
            <w:r w:rsidRPr="00C011B2">
              <w:rPr>
                <w:rFonts w:ascii="Times New Roman" w:hAnsi="Times New Roman" w:cs="Times New Roman"/>
                <w:b/>
                <w:bCs/>
                <w:i/>
                <w:iCs/>
                <w:color w:val="000000" w:themeColor="text1"/>
                <w:lang w:val="ro-MD"/>
              </w:rPr>
              <w:t>.</w:t>
            </w:r>
            <w:r w:rsidRPr="00C011B2">
              <w:rPr>
                <w:rFonts w:ascii="Times New Roman" w:hAnsi="Times New Roman" w:cs="Times New Roman"/>
                <w:i/>
                <w:iCs/>
                <w:color w:val="000000" w:themeColor="text1"/>
                <w:lang w:val="ro-MD"/>
              </w:rPr>
              <w:t xml:space="preserve"> </w:t>
            </w:r>
            <w:r w:rsidR="00DF1F69" w:rsidRPr="00C011B2">
              <w:rPr>
                <w:rFonts w:ascii="Times New Roman" w:hAnsi="Times New Roman" w:cs="Times New Roman"/>
                <w:b/>
                <w:bCs/>
                <w:color w:val="000000" w:themeColor="text1"/>
                <w:lang w:val="ro-MD"/>
              </w:rPr>
              <w:t>Domeniul de aplicare, structura și cerințele calitative ale abordării standardizate alternative</w:t>
            </w:r>
          </w:p>
        </w:tc>
        <w:tc>
          <w:tcPr>
            <w:tcW w:w="450" w:type="pct"/>
          </w:tcPr>
          <w:p w14:paraId="3A26989D"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c>
          <w:tcPr>
            <w:tcW w:w="1261" w:type="pct"/>
          </w:tcPr>
          <w:p w14:paraId="75B98684"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137E98E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94746FB" w14:textId="0DC1E129"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iile instituie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pun la dispozi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ilor competente un set documentat de politici, proceduri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controale interne pentru monitorizarea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asigurarea conformit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cu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din prezentul capitol.</w:t>
            </w:r>
          </w:p>
          <w:p w14:paraId="1F50C785" w14:textId="0BAAD713"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Orice modificare a respectivelor politici, proceduri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controale se notific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ilor competente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timp util.</w:t>
            </w:r>
          </w:p>
        </w:tc>
        <w:tc>
          <w:tcPr>
            <w:tcW w:w="1692" w:type="pct"/>
            <w:shd w:val="clear" w:color="auto" w:fill="auto"/>
          </w:tcPr>
          <w:p w14:paraId="1C14BF4C" w14:textId="1C6D17CA"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16" w:name="_Hlk202799753"/>
            <w:r w:rsidRPr="00C011B2">
              <w:rPr>
                <w:rFonts w:ascii="Times New Roman" w:hAnsi="Times New Roman" w:cs="Times New Roman"/>
                <w:color w:val="000000" w:themeColor="text1"/>
                <w:lang w:val="ro-MD"/>
              </w:rPr>
              <w:t>93.</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 xml:space="preserve">instituie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pun la dispozi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ia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un set documentat de politici, proceduri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controale interne pentru monitorizarea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asigurarea conformit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ii cu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din prezentul capitol.</w:t>
            </w:r>
          </w:p>
          <w:p w14:paraId="7903066A" w14:textId="0FC92214"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94. </w:t>
            </w:r>
            <w:r w:rsidR="00DF1F69" w:rsidRPr="00C011B2">
              <w:rPr>
                <w:rFonts w:ascii="Times New Roman" w:hAnsi="Times New Roman" w:cs="Times New Roman"/>
                <w:color w:val="000000" w:themeColor="text1"/>
                <w:lang w:val="ro-MD"/>
              </w:rPr>
              <w:t xml:space="preserve">Orice modificare a respectivelor politici, proceduri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controale se notific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timp util.</w:t>
            </w:r>
            <w:bookmarkEnd w:id="116"/>
          </w:p>
        </w:tc>
        <w:tc>
          <w:tcPr>
            <w:tcW w:w="450" w:type="pct"/>
          </w:tcPr>
          <w:p w14:paraId="041A0D31" w14:textId="62CFEFE9"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678CDDD"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2F778C4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E9BFA9"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38F45195" w14:textId="3CA66926"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un portofoliu de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sau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care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 risc </w:t>
            </w:r>
            <w:r w:rsidRPr="00C011B2">
              <w:rPr>
                <w:rFonts w:ascii="Times New Roman" w:hAnsi="Times New Roman" w:cs="Times New Roman"/>
                <w:color w:val="000000" w:themeColor="text1"/>
                <w:lang w:val="ro-MD"/>
              </w:rPr>
              <w:lastRenderedPageBreak/>
              <w:t>valutar sau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 fiind suma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toarelor trei componente:</w:t>
            </w:r>
          </w:p>
          <w:p w14:paraId="32AA5769" w14:textId="6EBC8A3D"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de fonduri proprii conform metodei bazate pe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2;</w:t>
            </w:r>
          </w:p>
          <w:p w14:paraId="47E7B65A" w14:textId="5DDB3BE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de fonduri proprii pentru riscul de nerambursare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5 care este aplicabil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numai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p w14:paraId="5E29799E" w14:textId="45FA08A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de fonduri proprii pentru riscuri reziduale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4 care este aplicabil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numai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din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tc>
        <w:tc>
          <w:tcPr>
            <w:tcW w:w="1692" w:type="pct"/>
            <w:shd w:val="clear" w:color="auto" w:fill="auto"/>
          </w:tcPr>
          <w:p w14:paraId="188DB319" w14:textId="43362C4C"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17" w:name="_Hlk202799922"/>
            <w:r w:rsidRPr="00C011B2">
              <w:rPr>
                <w:rFonts w:ascii="Times New Roman" w:hAnsi="Times New Roman" w:cs="Times New Roman"/>
                <w:color w:val="000000" w:themeColor="text1"/>
                <w:lang w:val="ro-MD"/>
              </w:rPr>
              <w:lastRenderedPageBreak/>
              <w:t>95.</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abordarea standardizat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alternativ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un portofoliu de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sau din afara portofoliului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care prezint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un risc valutar sau de marf</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ca fiind suma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toarelor trei componente:</w:t>
            </w:r>
          </w:p>
          <w:p w14:paraId="0F1C8FF7" w14:textId="104E3FE5"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95.1.</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a de fonduri proprii conform metodei bazate pe sensibilit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sec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iunea 2;</w:t>
            </w:r>
          </w:p>
          <w:p w14:paraId="55CBADF4" w14:textId="24F5F754"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95.2.</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a de fonduri proprii pentru riscul de nerambursare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zut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sec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iunea 5 care este aplicabil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numai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iilor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sec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iunea respectiv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w:t>
            </w:r>
          </w:p>
          <w:p w14:paraId="782B8C58" w14:textId="0B1E21C4"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95.3.</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a de fonduri proprii pentru riscuri reziduale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sec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iunea 4 care este aplicabil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numai pozi</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iilor din portofoliul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sec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iunea respectiv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w:t>
            </w:r>
            <w:bookmarkEnd w:id="117"/>
          </w:p>
        </w:tc>
        <w:tc>
          <w:tcPr>
            <w:tcW w:w="450" w:type="pct"/>
          </w:tcPr>
          <w:p w14:paraId="39B40607" w14:textId="23EF42FA"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A581056"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5977E6B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E8A76AF" w14:textId="77777777" w:rsidR="00DF1F69" w:rsidRPr="00C011B2" w:rsidRDefault="00DF1F69" w:rsidP="00DF1F69">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▼M17</w:t>
            </w:r>
          </w:p>
          <w:p w14:paraId="37861D7A" w14:textId="7C302444"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Prin derogare de la alineatul (2),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de</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inerile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reprezentate de propriile sale instrumente de datorie drept suma celor dou</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componente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la alineatul (2) literele (a)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 Atunci 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pentru instrumentele proprii de datorie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metoda bazat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(2) litera (a),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exclude din acest calcul riscurile provenite din marja de credit proprie a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w:t>
            </w:r>
          </w:p>
        </w:tc>
        <w:tc>
          <w:tcPr>
            <w:tcW w:w="1692" w:type="pct"/>
            <w:shd w:val="clear" w:color="auto" w:fill="auto"/>
          </w:tcPr>
          <w:p w14:paraId="2F259D99" w14:textId="4C211878"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18" w:name="_Hlk202800142"/>
            <w:r w:rsidRPr="00C011B2">
              <w:rPr>
                <w:rFonts w:ascii="Times New Roman" w:hAnsi="Times New Roman" w:cs="Times New Roman"/>
                <w:color w:val="000000" w:themeColor="text1"/>
                <w:lang w:val="ro-MD"/>
              </w:rPr>
              <w:t>96.</w:t>
            </w:r>
            <w:r w:rsidR="00DF1F69" w:rsidRPr="00C011B2">
              <w:rPr>
                <w:rFonts w:ascii="Times New Roman" w:hAnsi="Times New Roman" w:cs="Times New Roman"/>
                <w:color w:val="000000" w:themeColor="text1"/>
                <w:lang w:val="ro-MD"/>
              </w:rPr>
              <w:t xml:space="preserve"> Prin derogare de la</w:t>
            </w:r>
            <w:r w:rsidRPr="00C011B2">
              <w:rPr>
                <w:rFonts w:ascii="Times New Roman" w:hAnsi="Times New Roman" w:cs="Times New Roman"/>
                <w:color w:val="000000" w:themeColor="text1"/>
                <w:lang w:val="ro-MD"/>
              </w:rPr>
              <w:t xml:space="preserve"> pct.95</w:t>
            </w:r>
            <w:r w:rsidR="00DF1F69"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abordarea standardizat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alternativ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de</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inerile </w:t>
            </w:r>
            <w:r w:rsidRPr="00C011B2">
              <w:rPr>
                <w:rFonts w:ascii="Times New Roman" w:hAnsi="Times New Roman" w:cs="Times New Roman"/>
                <w:color w:val="000000" w:themeColor="text1"/>
                <w:lang w:val="ro-MD"/>
              </w:rPr>
              <w:t xml:space="preserve">băncii </w:t>
            </w:r>
            <w:r w:rsidR="00DF1F69" w:rsidRPr="00C011B2">
              <w:rPr>
                <w:rFonts w:ascii="Times New Roman" w:hAnsi="Times New Roman" w:cs="Times New Roman"/>
                <w:color w:val="000000" w:themeColor="text1"/>
                <w:lang w:val="ro-MD"/>
              </w:rPr>
              <w:t>reprezentate de propriile sale instrumente de datorie drept suma celor dou</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componente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subpct.95.1</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w:t>
            </w:r>
            <w:r w:rsidRPr="00C011B2">
              <w:rPr>
                <w:rFonts w:ascii="Times New Roman" w:hAnsi="Times New Roman" w:cs="Times New Roman"/>
                <w:color w:val="000000" w:themeColor="text1"/>
                <w:lang w:val="ro-MD"/>
              </w:rPr>
              <w:t>95.3</w:t>
            </w:r>
            <w:r w:rsidR="00DF1F69" w:rsidRPr="00C011B2">
              <w:rPr>
                <w:rFonts w:ascii="Times New Roman" w:hAnsi="Times New Roman" w:cs="Times New Roman"/>
                <w:color w:val="000000" w:themeColor="text1"/>
                <w:lang w:val="ro-MD"/>
              </w:rPr>
              <w:t>. Atunci c</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calculeaz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pentru instrumentele proprii de datorie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conformitate cu metoda bazat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 sensibilit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subpct.95.1</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color w:val="000000" w:themeColor="text1"/>
                <w:lang w:val="ro-MD"/>
              </w:rPr>
              <w:t xml:space="preserve">exclude din acest calcul riscurile provenite din marja de credit proprie a </w:t>
            </w:r>
            <w:r w:rsidRPr="00C011B2">
              <w:rPr>
                <w:rFonts w:ascii="Times New Roman" w:hAnsi="Times New Roman" w:cs="Times New Roman"/>
                <w:color w:val="000000" w:themeColor="text1"/>
                <w:lang w:val="ro-MD"/>
              </w:rPr>
              <w:t>băncii</w:t>
            </w:r>
            <w:r w:rsidR="00DF1F69" w:rsidRPr="00C011B2">
              <w:rPr>
                <w:rFonts w:ascii="Times New Roman" w:hAnsi="Times New Roman" w:cs="Times New Roman"/>
                <w:color w:val="000000" w:themeColor="text1"/>
                <w:lang w:val="ro-MD"/>
              </w:rPr>
              <w:t>.</w:t>
            </w:r>
            <w:bookmarkEnd w:id="118"/>
          </w:p>
        </w:tc>
        <w:tc>
          <w:tcPr>
            <w:tcW w:w="450" w:type="pct"/>
          </w:tcPr>
          <w:p w14:paraId="511BCCF9" w14:textId="27F5C942"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29356DB"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592641F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9A2DBB8" w14:textId="1B1483BE"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dispun de o unitate de control al riscului care este independent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unit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ile care desf</w:t>
            </w:r>
            <w:r w:rsidRPr="00C011B2">
              <w:rPr>
                <w:rFonts w:ascii="Times New Roman" w:hAnsi="Times New Roman" w:cs="Times New Roman" w:hint="eastAsia"/>
                <w:color w:val="000000" w:themeColor="text1"/>
                <w:lang w:val="ro-MD"/>
              </w:rPr>
              <w:t>ăș</w:t>
            </w:r>
            <w:r w:rsidRPr="00C011B2">
              <w:rPr>
                <w:rFonts w:ascii="Times New Roman" w:hAnsi="Times New Roman" w:cs="Times New Roman"/>
                <w:color w:val="000000" w:themeColor="text1"/>
                <w:lang w:val="ro-MD"/>
              </w:rPr>
              <w:t>oar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activit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ionare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care raporteaz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direct conducerii superioare. Unitatea de control al riscului este responsabil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conceperea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punerea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aplicare a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standardizate alternative. Aceasta elaboreaz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analizeaz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rapoarte lunare cu privire la rezultatele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rii standardizate alternative, precum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cu privire la adecvarea limitelor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w:t>
            </w:r>
          </w:p>
          <w:p w14:paraId="1BB887E1" w14:textId="57D3F89C"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w:t>
            </w:r>
          </w:p>
        </w:tc>
        <w:tc>
          <w:tcPr>
            <w:tcW w:w="1692" w:type="pct"/>
            <w:shd w:val="clear" w:color="auto" w:fill="auto"/>
          </w:tcPr>
          <w:p w14:paraId="11418D98" w14:textId="0E2BA11C"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19" w:name="_Hlk202800280"/>
            <w:r w:rsidRPr="00C011B2">
              <w:rPr>
                <w:rFonts w:ascii="Times New Roman" w:hAnsi="Times New Roman" w:cs="Times New Roman"/>
                <w:color w:val="000000" w:themeColor="text1"/>
                <w:lang w:val="ro-MD"/>
              </w:rPr>
              <w:t>97.</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dispun de o unitate de control al riscului care este independent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de unit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ile care desf</w:t>
            </w:r>
            <w:r w:rsidR="00DF1F69" w:rsidRPr="00C011B2">
              <w:rPr>
                <w:rFonts w:ascii="Times New Roman" w:hAnsi="Times New Roman" w:cs="Times New Roman" w:hint="eastAsia"/>
                <w:color w:val="000000" w:themeColor="text1"/>
                <w:lang w:val="ro-MD"/>
              </w:rPr>
              <w:t>ăș</w:t>
            </w:r>
            <w:r w:rsidR="00DF1F69" w:rsidRPr="00C011B2">
              <w:rPr>
                <w:rFonts w:ascii="Times New Roman" w:hAnsi="Times New Roman" w:cs="Times New Roman"/>
                <w:color w:val="000000" w:themeColor="text1"/>
                <w:lang w:val="ro-MD"/>
              </w:rPr>
              <w:t>oar</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activit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ionare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care raporteaz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direct conducerii superioare. Unitatea de control al riscului este responsabil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de conceperea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punerea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aplicare a abord</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rii standardizate alternative. Aceasta elaboreaz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analizeaz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rapoarte lunare cu privire la rezultatele abord</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rii standardizate alternative, precum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cu privire la adecvarea limitelor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w:t>
            </w:r>
            <w:r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color w:val="000000" w:themeColor="text1"/>
                <w:lang w:val="ro-MD"/>
              </w:rPr>
              <w:t xml:space="preserve">ale </w:t>
            </w:r>
            <w:r w:rsidRPr="00C011B2">
              <w:rPr>
                <w:rFonts w:ascii="Times New Roman" w:hAnsi="Times New Roman" w:cs="Times New Roman"/>
                <w:color w:val="000000" w:themeColor="text1"/>
                <w:lang w:val="ro-MD"/>
              </w:rPr>
              <w:t>băncii</w:t>
            </w:r>
            <w:r w:rsidR="00DF1F69" w:rsidRPr="00C011B2">
              <w:rPr>
                <w:rFonts w:ascii="Times New Roman" w:hAnsi="Times New Roman" w:cs="Times New Roman"/>
                <w:color w:val="000000" w:themeColor="text1"/>
                <w:lang w:val="ro-MD"/>
              </w:rPr>
              <w:t>.</w:t>
            </w:r>
            <w:bookmarkEnd w:id="119"/>
          </w:p>
        </w:tc>
        <w:tc>
          <w:tcPr>
            <w:tcW w:w="450" w:type="pct"/>
          </w:tcPr>
          <w:p w14:paraId="1AE1C54E" w14:textId="61A57F8C"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5B06F1"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5B09F46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C26348" w14:textId="77777777"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examineaz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mod independent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care o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sensul prezentului capitol,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ntr-un mod pe care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ile competente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l consider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satisf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tor, fie ca parte a procesului lor obi</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nuit de audit intern, fie prin mandatarea unei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ntreprinderi ter</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efectueze examinarea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Rezultatul acestei examin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 se raporteaz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organelor de conducere corespunz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w:t>
            </w:r>
          </w:p>
          <w:p w14:paraId="774E75CE" w14:textId="2617C9EC"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sensul primului paragraf, o </w:t>
            </w:r>
            <w:r w:rsidRPr="00C011B2">
              <w:rPr>
                <w:rFonts w:ascii="Times New Roman" w:hAnsi="Times New Roman" w:cs="Times New Roman" w:hint="eastAsia"/>
                <w:color w:val="000000" w:themeColor="text1"/>
                <w:lang w:val="ro-MD"/>
              </w:rPr>
              <w:t>„</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ntreprindere ter</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nseamn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ntreprindere care le furnizeaz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servicii de audit sau de consultan</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care are personal cu suficiente calific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ri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domeniul riscului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w:t>
            </w:r>
          </w:p>
        </w:tc>
        <w:tc>
          <w:tcPr>
            <w:tcW w:w="1692" w:type="pct"/>
            <w:shd w:val="clear" w:color="auto" w:fill="auto"/>
          </w:tcPr>
          <w:p w14:paraId="79093B93" w14:textId="43A4B2C4"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20" w:name="_Hlk202800419"/>
            <w:r w:rsidRPr="00C011B2">
              <w:rPr>
                <w:rFonts w:ascii="Times New Roman" w:hAnsi="Times New Roman" w:cs="Times New Roman"/>
                <w:color w:val="000000" w:themeColor="text1"/>
                <w:lang w:val="ro-MD"/>
              </w:rPr>
              <w:t>98.</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F1F69" w:rsidRPr="00C011B2">
              <w:rPr>
                <w:rFonts w:ascii="Times New Roman" w:hAnsi="Times New Roman" w:cs="Times New Roman"/>
                <w:color w:val="000000" w:themeColor="text1"/>
                <w:lang w:val="ro-MD"/>
              </w:rPr>
              <w:t>examineaz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mod independent abordarea standardizat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alternativ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 care o utilizeaz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sensul prezentului capitol,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ntr-un mod pe care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l consider</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satisf</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tor, fie ca parte a procesului lor obi</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nuit de audit intern, fie prin mandatarea unei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ntreprinderi ter</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 s</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efectueze examinarea respectiv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Rezultatul acestei examin</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 se raporteaz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organelor de conducere corespunz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w:t>
            </w:r>
          </w:p>
          <w:p w14:paraId="180A53C1" w14:textId="63B76741"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99.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sensul </w:t>
            </w:r>
            <w:r w:rsidRPr="00C011B2">
              <w:rPr>
                <w:rFonts w:ascii="Times New Roman" w:hAnsi="Times New Roman" w:cs="Times New Roman"/>
                <w:color w:val="000000" w:themeColor="text1"/>
                <w:lang w:val="ro-MD"/>
              </w:rPr>
              <w:t>pct.98</w:t>
            </w:r>
            <w:r w:rsidR="00DF1F69" w:rsidRPr="00C011B2">
              <w:rPr>
                <w:rFonts w:ascii="Times New Roman" w:hAnsi="Times New Roman" w:cs="Times New Roman"/>
                <w:color w:val="000000" w:themeColor="text1"/>
                <w:lang w:val="ro-MD"/>
              </w:rPr>
              <w:t xml:space="preserve">, o </w:t>
            </w:r>
            <w:r w:rsidR="00DF1F69" w:rsidRPr="00C011B2">
              <w:rPr>
                <w:rFonts w:ascii="Times New Roman" w:hAnsi="Times New Roman" w:cs="Times New Roman" w:hint="eastAsia"/>
                <w:color w:val="000000" w:themeColor="text1"/>
                <w:lang w:val="ro-MD"/>
              </w:rPr>
              <w:t>„</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ntreprindere ter</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hint="eastAsia"/>
                <w:color w:val="000000" w:themeColor="text1"/>
                <w:lang w:val="ro-MD"/>
              </w:rPr>
              <w:t>”</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nseamn</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o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ntreprindere care le furnizeaz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băncilor </w:t>
            </w:r>
            <w:r w:rsidR="00DF1F69" w:rsidRPr="00C011B2">
              <w:rPr>
                <w:rFonts w:ascii="Times New Roman" w:hAnsi="Times New Roman" w:cs="Times New Roman"/>
                <w:color w:val="000000" w:themeColor="text1"/>
                <w:lang w:val="ro-MD"/>
              </w:rPr>
              <w:t>servicii de audit sau de consultan</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care are personal cu suficiente calific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ri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domeniul riscului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w:t>
            </w:r>
            <w:bookmarkEnd w:id="120"/>
          </w:p>
        </w:tc>
        <w:tc>
          <w:tcPr>
            <w:tcW w:w="450" w:type="pct"/>
          </w:tcPr>
          <w:p w14:paraId="5F3BC696" w14:textId="3E369F94"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33E6088"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35704C2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17B0FD5" w14:textId="3C658BA0"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(6)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examinarea abord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standardizate alternative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alineatul (5) sunt vizate activit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ile at</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t ale unit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ilor care desf</w:t>
            </w:r>
            <w:r w:rsidRPr="00C011B2">
              <w:rPr>
                <w:rFonts w:ascii="Times New Roman" w:hAnsi="Times New Roman" w:cs="Times New Roman" w:hint="eastAsia"/>
                <w:color w:val="000000" w:themeColor="text1"/>
                <w:lang w:val="ro-MD"/>
              </w:rPr>
              <w:t>ăș</w:t>
            </w:r>
            <w:r w:rsidRPr="00C011B2">
              <w:rPr>
                <w:rFonts w:ascii="Times New Roman" w:hAnsi="Times New Roman" w:cs="Times New Roman"/>
                <w:color w:val="000000" w:themeColor="text1"/>
                <w:lang w:val="ro-MD"/>
              </w:rPr>
              <w:t>oar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activit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 de </w:t>
            </w:r>
            <w:r w:rsidRPr="00C011B2">
              <w:rPr>
                <w:rFonts w:ascii="Times New Roman" w:hAnsi="Times New Roman" w:cs="Times New Roman"/>
                <w:color w:val="000000" w:themeColor="text1"/>
                <w:lang w:val="ro-MD"/>
              </w:rPr>
              <w:lastRenderedPageBreak/>
              <w:t>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 xml:space="preserve">t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ale unit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ii independente de control al riscului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sunt evaluate cel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elementele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w:t>
            </w:r>
          </w:p>
          <w:p w14:paraId="3645E70E" w14:textId="1AF9B53B"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politicile, procedurile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controalele interne pentru monitorizarea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asigurarea conformit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cu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alineatul (1) de la prezentul articol;</w:t>
            </w:r>
          </w:p>
          <w:p w14:paraId="07356EEB" w14:textId="3F37AF7B"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caracterul adecvat al documenta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iei privind sistemul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procesele de gestionare a riscurilor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 organiz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unit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de control al riscului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alineatul (4) de la prezentul articol;</w:t>
            </w:r>
          </w:p>
          <w:p w14:paraId="2FB86FEB" w14:textId="4CDB2370"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acurate</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ea calcul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ilor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 procesului utilizat pentru derivarea respectivelor calcule din modelele de evaluare ale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care servesc drept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raportarea profitului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 pierderii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tre conducerea superioar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astfel cum se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articolul 325t;</w:t>
            </w:r>
          </w:p>
          <w:p w14:paraId="79CDBFDC" w14:textId="2A838718"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procesul de verificare pe care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l utilizeaz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evaluarea consecven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ei, a oportunit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a fiabilit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surselor de date utilizate la calcularea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abordarea standardizat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alternativ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inclusiv independen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acestor surse de date.</w:t>
            </w:r>
          </w:p>
          <w:p w14:paraId="16A010CC" w14:textId="40695BA2"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efectueaz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examinarea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primul paragraf cel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o 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an, sau mai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frecvent, p</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o dat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doi ani,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care </w:t>
            </w:r>
            <w:r w:rsidRPr="00C011B2">
              <w:rPr>
                <w:rFonts w:ascii="Times New Roman" w:hAnsi="Times New Roman" w:cs="Times New Roman"/>
                <w:color w:val="000000" w:themeColor="text1"/>
                <w:lang w:val="ro-MD"/>
              </w:rPr>
              <w:lastRenderedPageBreak/>
              <w:t>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ia poate demonstra,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ntr-un mod considerat satisf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tor de autoritatea competent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dimensiunea, nivelul de importan</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sistemic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natura, anvergura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complexitatea activit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din portofoliul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u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justific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examinare mai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frecvent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tc>
        <w:tc>
          <w:tcPr>
            <w:tcW w:w="1692" w:type="pct"/>
            <w:shd w:val="clear" w:color="auto" w:fill="auto"/>
          </w:tcPr>
          <w:p w14:paraId="0731B002" w14:textId="5CC15485" w:rsidR="00DF1F69" w:rsidRPr="00C011B2" w:rsidRDefault="006025AD" w:rsidP="00DF1F69">
            <w:pPr>
              <w:spacing w:after="0" w:line="276" w:lineRule="auto"/>
              <w:jc w:val="both"/>
              <w:rPr>
                <w:rFonts w:ascii="Times New Roman" w:hAnsi="Times New Roman" w:cs="Times New Roman"/>
                <w:color w:val="000000" w:themeColor="text1"/>
                <w:lang w:val="ro-MD"/>
              </w:rPr>
            </w:pPr>
            <w:bookmarkStart w:id="121" w:name="_Hlk202802109"/>
            <w:r w:rsidRPr="00C011B2">
              <w:rPr>
                <w:rFonts w:ascii="Times New Roman" w:hAnsi="Times New Roman" w:cs="Times New Roman"/>
                <w:color w:val="000000" w:themeColor="text1"/>
                <w:lang w:val="ro-MD"/>
              </w:rPr>
              <w:lastRenderedPageBreak/>
              <w:t>100.</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examinarea abord</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rii standardizate alternative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pct,98</w:t>
            </w:r>
            <w:r w:rsidR="00DF1F69" w:rsidRPr="00C011B2">
              <w:rPr>
                <w:rFonts w:ascii="Times New Roman" w:hAnsi="Times New Roman" w:cs="Times New Roman"/>
                <w:color w:val="000000" w:themeColor="text1"/>
                <w:lang w:val="ro-MD"/>
              </w:rPr>
              <w:t xml:space="preserve"> sunt vizate activit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ile at</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t ale unit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ilor care desf</w:t>
            </w:r>
            <w:r w:rsidR="00DF1F69" w:rsidRPr="00C011B2">
              <w:rPr>
                <w:rFonts w:ascii="Times New Roman" w:hAnsi="Times New Roman" w:cs="Times New Roman" w:hint="eastAsia"/>
                <w:color w:val="000000" w:themeColor="text1"/>
                <w:lang w:val="ro-MD"/>
              </w:rPr>
              <w:t>ăș</w:t>
            </w:r>
            <w:r w:rsidR="00DF1F69" w:rsidRPr="00C011B2">
              <w:rPr>
                <w:rFonts w:ascii="Times New Roman" w:hAnsi="Times New Roman" w:cs="Times New Roman"/>
                <w:color w:val="000000" w:themeColor="text1"/>
                <w:lang w:val="ro-MD"/>
              </w:rPr>
              <w:t>oar</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activit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c</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 xml:space="preserve">t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w:t>
            </w:r>
            <w:r w:rsidR="00DF1F69" w:rsidRPr="00C011B2">
              <w:rPr>
                <w:rFonts w:ascii="Times New Roman" w:hAnsi="Times New Roman" w:cs="Times New Roman"/>
                <w:color w:val="000000" w:themeColor="text1"/>
                <w:lang w:val="ro-MD"/>
              </w:rPr>
              <w:lastRenderedPageBreak/>
              <w:t>ale unit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 xml:space="preserve">ii independente de control al riscului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sunt evaluate cel pu</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in elementele urm</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toare:</w:t>
            </w:r>
          </w:p>
          <w:p w14:paraId="1839F48D" w14:textId="79E911D1"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100.1.</w:t>
            </w:r>
            <w:r w:rsidR="00DF1F69" w:rsidRPr="00C011B2">
              <w:rPr>
                <w:rFonts w:ascii="Times New Roman" w:hAnsi="Times New Roman" w:cs="Times New Roman"/>
                <w:color w:val="000000" w:themeColor="text1"/>
                <w:lang w:val="ro-MD"/>
              </w:rPr>
              <w:t xml:space="preserve"> politicile, procedurile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controalele interne pentru monitorizarea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asigurarea conformit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ii cu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pct.93</w:t>
            </w:r>
            <w:r w:rsidR="00DF1F69" w:rsidRPr="00C011B2">
              <w:rPr>
                <w:rFonts w:ascii="Times New Roman" w:hAnsi="Times New Roman" w:cs="Times New Roman"/>
                <w:color w:val="000000" w:themeColor="text1"/>
                <w:lang w:val="ro-MD"/>
              </w:rPr>
              <w:t>;</w:t>
            </w:r>
          </w:p>
          <w:p w14:paraId="02678511" w14:textId="0533BA23" w:rsidR="00DF1F69" w:rsidRPr="00C011B2" w:rsidRDefault="006025AD"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100.2.</w:t>
            </w:r>
            <w:r w:rsidR="00DF1F69" w:rsidRPr="00C011B2">
              <w:rPr>
                <w:rFonts w:ascii="Times New Roman" w:hAnsi="Times New Roman" w:cs="Times New Roman"/>
                <w:color w:val="000000" w:themeColor="text1"/>
                <w:lang w:val="ro-MD"/>
              </w:rPr>
              <w:t xml:space="preserve"> caracterul adecvat al documenta</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iei privind sistemul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procesele de gestionare a riscurilor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 organiz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rii unit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ii de control al riscului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pct.97</w:t>
            </w:r>
            <w:r w:rsidR="00DF1F69" w:rsidRPr="00C011B2">
              <w:rPr>
                <w:rFonts w:ascii="Times New Roman" w:hAnsi="Times New Roman" w:cs="Times New Roman"/>
                <w:color w:val="000000" w:themeColor="text1"/>
                <w:lang w:val="ro-MD"/>
              </w:rPr>
              <w:t>;</w:t>
            </w:r>
          </w:p>
          <w:p w14:paraId="5868875C" w14:textId="1EA27AC9" w:rsidR="00DF1F69" w:rsidRPr="00C011B2" w:rsidRDefault="00AA1A50"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100.3</w:t>
            </w:r>
            <w:r w:rsidR="00DF1F69" w:rsidRPr="00C011B2">
              <w:rPr>
                <w:rFonts w:ascii="Times New Roman" w:hAnsi="Times New Roman" w:cs="Times New Roman"/>
                <w:color w:val="000000" w:themeColor="text1"/>
                <w:lang w:val="ro-MD"/>
              </w:rPr>
              <w:t xml:space="preserve"> acurate</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ea calcul</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rii sensibilit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 xml:space="preserve">ilor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a procesului utilizat pentru derivarea respectivelor calcule din modelele de evaluare ale </w:t>
            </w:r>
            <w:r w:rsidRPr="00C011B2">
              <w:rPr>
                <w:rFonts w:ascii="Times New Roman" w:hAnsi="Times New Roman" w:cs="Times New Roman"/>
                <w:color w:val="000000" w:themeColor="text1"/>
                <w:lang w:val="ro-MD"/>
              </w:rPr>
              <w:t xml:space="preserve">băncii </w:t>
            </w:r>
            <w:r w:rsidR="00DF1F69" w:rsidRPr="00C011B2">
              <w:rPr>
                <w:rFonts w:ascii="Times New Roman" w:hAnsi="Times New Roman" w:cs="Times New Roman"/>
                <w:color w:val="000000" w:themeColor="text1"/>
                <w:lang w:val="ro-MD"/>
              </w:rPr>
              <w:t>care servesc drept baz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pentru raportarea profitului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 pierderii 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tre conducerea superioar</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astfel cum se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paragraful 3, subsecțiunea 2, secțiunea 3</w:t>
            </w:r>
            <w:r w:rsidR="00DF1F69" w:rsidRPr="00C011B2">
              <w:rPr>
                <w:rFonts w:ascii="Times New Roman" w:hAnsi="Times New Roman" w:cs="Times New Roman"/>
                <w:color w:val="000000" w:themeColor="text1"/>
                <w:lang w:val="ro-MD"/>
              </w:rPr>
              <w:t>;</w:t>
            </w:r>
          </w:p>
          <w:p w14:paraId="3D1DB861" w14:textId="294A6D62" w:rsidR="00DF1F69" w:rsidRPr="00C011B2" w:rsidRDefault="00AA1A50"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100.4</w:t>
            </w:r>
            <w:r w:rsidR="00DF1F69" w:rsidRPr="00C011B2">
              <w:rPr>
                <w:rFonts w:ascii="Times New Roman" w:hAnsi="Times New Roman" w:cs="Times New Roman"/>
                <w:color w:val="000000" w:themeColor="text1"/>
                <w:lang w:val="ro-MD"/>
              </w:rPr>
              <w:t xml:space="preserve"> procesul de verificare pe care </w:t>
            </w:r>
            <w:r w:rsidRPr="00C011B2">
              <w:rPr>
                <w:rFonts w:ascii="Times New Roman" w:hAnsi="Times New Roman" w:cs="Times New Roman"/>
                <w:color w:val="000000" w:themeColor="text1"/>
                <w:lang w:val="ro-MD"/>
              </w:rPr>
              <w:t xml:space="preserve">banca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l utilizeaz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evaluarea consecven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ei, a oportunit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 xml:space="preserve">ii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a fiabilit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ii surselor de date utilizate la calcularea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elor de fonduri proprii pentru riscul de pia</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utiliz</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nd abordarea standardizat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alternativ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inclusiv independen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a acestor surse de date.</w:t>
            </w:r>
          </w:p>
          <w:p w14:paraId="15B11164" w14:textId="018BA953" w:rsidR="00DF1F69" w:rsidRPr="00C011B2" w:rsidRDefault="00AA1A50"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101. </w:t>
            </w:r>
            <w:r w:rsidR="00DF1F69" w:rsidRPr="00C011B2">
              <w:rPr>
                <w:rFonts w:ascii="Times New Roman" w:hAnsi="Times New Roman" w:cs="Times New Roman"/>
                <w:color w:val="000000" w:themeColor="text1"/>
                <w:lang w:val="ro-MD"/>
              </w:rPr>
              <w:t xml:space="preserve">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efectueaz</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examinarea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pct.100</w:t>
            </w:r>
            <w:r w:rsidR="00DF1F69" w:rsidRPr="00C011B2">
              <w:rPr>
                <w:rFonts w:ascii="Times New Roman" w:hAnsi="Times New Roman" w:cs="Times New Roman"/>
                <w:color w:val="000000" w:themeColor="text1"/>
                <w:lang w:val="ro-MD"/>
              </w:rPr>
              <w:t xml:space="preserve"> cel pu</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in o 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pe an, sau mai pu</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in frecvent, p</w:t>
            </w:r>
            <w:r w:rsidR="00DF1F69" w:rsidRPr="00C011B2">
              <w:rPr>
                <w:rFonts w:ascii="Times New Roman" w:hAnsi="Times New Roman" w:cs="Times New Roman" w:hint="eastAsia"/>
                <w:color w:val="000000" w:themeColor="text1"/>
                <w:lang w:val="ro-MD"/>
              </w:rPr>
              <w:t>â</w:t>
            </w:r>
            <w:r w:rsidR="00DF1F69" w:rsidRPr="00C011B2">
              <w:rPr>
                <w:rFonts w:ascii="Times New Roman" w:hAnsi="Times New Roman" w:cs="Times New Roman"/>
                <w:color w:val="000000" w:themeColor="text1"/>
                <w:lang w:val="ro-MD"/>
              </w:rPr>
              <w:t>n</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o dat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la doi ani,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cazul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care </w:t>
            </w:r>
            <w:r w:rsidRPr="00C011B2">
              <w:rPr>
                <w:rFonts w:ascii="Times New Roman" w:hAnsi="Times New Roman" w:cs="Times New Roman"/>
                <w:color w:val="000000" w:themeColor="text1"/>
                <w:lang w:val="ro-MD"/>
              </w:rPr>
              <w:t xml:space="preserve">banca </w:t>
            </w:r>
            <w:r w:rsidR="00CF3280" w:rsidRPr="00C011B2">
              <w:rPr>
                <w:rFonts w:ascii="Times New Roman" w:hAnsi="Times New Roman" w:cs="Times New Roman"/>
                <w:color w:val="000000" w:themeColor="text1"/>
                <w:lang w:val="ro-MD"/>
              </w:rPr>
              <w:t xml:space="preserve">notifică BNM cu prezentarea argumentelor care confirmă  </w:t>
            </w:r>
            <w:r w:rsidR="00DF1F69" w:rsidRPr="00C011B2">
              <w:rPr>
                <w:rFonts w:ascii="Times New Roman" w:hAnsi="Times New Roman" w:cs="Times New Roman"/>
                <w:color w:val="000000" w:themeColor="text1"/>
                <w:lang w:val="ro-MD"/>
              </w:rPr>
              <w:t xml:space="preserv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ntr-un mod considerat satisf</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tor de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dimensiunea, nivelul </w:t>
            </w:r>
            <w:r w:rsidR="00DF1F69" w:rsidRPr="00C011B2">
              <w:rPr>
                <w:rFonts w:ascii="Times New Roman" w:hAnsi="Times New Roman" w:cs="Times New Roman"/>
                <w:color w:val="000000" w:themeColor="text1"/>
                <w:lang w:val="ro-MD"/>
              </w:rPr>
              <w:lastRenderedPageBreak/>
              <w:t>de importan</w:t>
            </w:r>
            <w:r w:rsidR="00DF1F69" w:rsidRPr="00C011B2">
              <w:rPr>
                <w:rFonts w:ascii="Times New Roman" w:hAnsi="Times New Roman" w:cs="Times New Roman" w:hint="eastAsia"/>
                <w:color w:val="000000" w:themeColor="text1"/>
                <w:lang w:val="ro-MD"/>
              </w:rPr>
              <w:t>ţă</w:t>
            </w:r>
            <w:r w:rsidR="00DF1F69" w:rsidRPr="00C011B2">
              <w:rPr>
                <w:rFonts w:ascii="Times New Roman" w:hAnsi="Times New Roman" w:cs="Times New Roman"/>
                <w:color w:val="000000" w:themeColor="text1"/>
                <w:lang w:val="ro-MD"/>
              </w:rPr>
              <w:t xml:space="preserve"> sistemic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natura, anvergura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i complexitatea activit</w:t>
            </w:r>
            <w:r w:rsidR="00DF1F69" w:rsidRPr="00C011B2">
              <w:rPr>
                <w:rFonts w:ascii="Times New Roman" w:hAnsi="Times New Roman" w:cs="Times New Roman" w:hint="eastAsia"/>
                <w:color w:val="000000" w:themeColor="text1"/>
                <w:lang w:val="ro-MD"/>
              </w:rPr>
              <w:t>ăţ</w:t>
            </w:r>
            <w:r w:rsidR="00DF1F69" w:rsidRPr="00C011B2">
              <w:rPr>
                <w:rFonts w:ascii="Times New Roman" w:hAnsi="Times New Roman" w:cs="Times New Roman"/>
                <w:color w:val="000000" w:themeColor="text1"/>
                <w:lang w:val="ro-MD"/>
              </w:rPr>
              <w:t>ii din portofoliul s</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u de tranzac</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ionare justific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o examinare mai pu</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in frecvent</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w:t>
            </w:r>
            <w:bookmarkEnd w:id="121"/>
          </w:p>
        </w:tc>
        <w:tc>
          <w:tcPr>
            <w:tcW w:w="450" w:type="pct"/>
          </w:tcPr>
          <w:p w14:paraId="44F4F468" w14:textId="79B6EB29"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45113C6"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F1F69" w:rsidRPr="00C011B2" w14:paraId="3552F61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73A315" w14:textId="4B9C5683" w:rsidR="00DF1F69" w:rsidRPr="00C011B2" w:rsidRDefault="00DF1F69" w:rsidP="00DF1F69">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(7)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ile competente verific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dac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este efectuat cu integritate calculul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 la alineatul (2) de la prezentul articol, inclusiv punerea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aplicare de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tre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prezentul capitol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la articolul 325a.</w:t>
            </w:r>
          </w:p>
        </w:tc>
        <w:tc>
          <w:tcPr>
            <w:tcW w:w="1692" w:type="pct"/>
            <w:shd w:val="clear" w:color="auto" w:fill="auto"/>
          </w:tcPr>
          <w:p w14:paraId="1644344C" w14:textId="0CA88D78" w:rsidR="00DF1F69" w:rsidRPr="00C011B2" w:rsidRDefault="00D12468" w:rsidP="00DF1F69">
            <w:pPr>
              <w:spacing w:after="0" w:line="276" w:lineRule="auto"/>
              <w:jc w:val="both"/>
              <w:rPr>
                <w:rFonts w:ascii="Times New Roman" w:hAnsi="Times New Roman" w:cs="Times New Roman"/>
                <w:color w:val="000000" w:themeColor="text1"/>
                <w:lang w:val="ro-MD"/>
              </w:rPr>
            </w:pPr>
            <w:bookmarkStart w:id="122" w:name="_Hlk202802314"/>
            <w:r w:rsidRPr="00C011B2">
              <w:rPr>
                <w:rFonts w:ascii="Times New Roman" w:hAnsi="Times New Roman" w:cs="Times New Roman"/>
                <w:color w:val="000000" w:themeColor="text1"/>
                <w:lang w:val="ro-MD"/>
              </w:rPr>
              <w:t>102.</w:t>
            </w:r>
            <w:r w:rsidR="00DF1F6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BNM</w:t>
            </w:r>
            <w:r w:rsidR="00DF1F69" w:rsidRPr="00C011B2">
              <w:rPr>
                <w:rFonts w:ascii="Times New Roman" w:hAnsi="Times New Roman" w:cs="Times New Roman"/>
                <w:color w:val="000000" w:themeColor="text1"/>
                <w:lang w:val="ro-MD"/>
              </w:rPr>
              <w:t xml:space="preserve"> verific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dac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 este efectuat cu integritate calculul men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 xml:space="preserve">ionat la </w:t>
            </w:r>
            <w:r w:rsidRPr="00C011B2">
              <w:rPr>
                <w:rFonts w:ascii="Times New Roman" w:hAnsi="Times New Roman" w:cs="Times New Roman"/>
                <w:color w:val="000000" w:themeColor="text1"/>
                <w:lang w:val="ro-MD"/>
              </w:rPr>
              <w:t>pct.95</w:t>
            </w:r>
            <w:r w:rsidR="00DF1F69" w:rsidRPr="00C011B2">
              <w:rPr>
                <w:rFonts w:ascii="Times New Roman" w:hAnsi="Times New Roman" w:cs="Times New Roman"/>
                <w:color w:val="000000" w:themeColor="text1"/>
                <w:lang w:val="ro-MD"/>
              </w:rPr>
              <w:t xml:space="preserve">, inclusiv punerea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n aplicare de c</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tre o </w:t>
            </w:r>
            <w:r w:rsidRPr="00C011B2">
              <w:rPr>
                <w:rFonts w:ascii="Times New Roman" w:hAnsi="Times New Roman" w:cs="Times New Roman"/>
                <w:color w:val="000000" w:themeColor="text1"/>
                <w:lang w:val="ro-MD"/>
              </w:rPr>
              <w:t xml:space="preserve">bancă </w:t>
            </w:r>
            <w:r w:rsidR="00DF1F69" w:rsidRPr="00C011B2">
              <w:rPr>
                <w:rFonts w:ascii="Times New Roman" w:hAnsi="Times New Roman" w:cs="Times New Roman"/>
                <w:color w:val="000000" w:themeColor="text1"/>
                <w:lang w:val="ro-MD"/>
              </w:rPr>
              <w:t>a cerin</w:t>
            </w:r>
            <w:r w:rsidR="00DF1F69" w:rsidRPr="00C011B2">
              <w:rPr>
                <w:rFonts w:ascii="Times New Roman" w:hAnsi="Times New Roman" w:cs="Times New Roman" w:hint="eastAsia"/>
                <w:color w:val="000000" w:themeColor="text1"/>
                <w:lang w:val="ro-MD"/>
              </w:rPr>
              <w:t>ţ</w:t>
            </w:r>
            <w:r w:rsidR="00DF1F69" w:rsidRPr="00C011B2">
              <w:rPr>
                <w:rFonts w:ascii="Times New Roman" w:hAnsi="Times New Roman" w:cs="Times New Roman"/>
                <w:color w:val="000000" w:themeColor="text1"/>
                <w:lang w:val="ro-MD"/>
              </w:rPr>
              <w:t>elor prev</w:t>
            </w:r>
            <w:r w:rsidR="00DF1F69" w:rsidRPr="00C011B2">
              <w:rPr>
                <w:rFonts w:ascii="Times New Roman" w:hAnsi="Times New Roman" w:cs="Times New Roman" w:hint="eastAsia"/>
                <w:color w:val="000000" w:themeColor="text1"/>
                <w:lang w:val="ro-MD"/>
              </w:rPr>
              <w:t>ă</w:t>
            </w:r>
            <w:r w:rsidR="00DF1F69" w:rsidRPr="00C011B2">
              <w:rPr>
                <w:rFonts w:ascii="Times New Roman" w:hAnsi="Times New Roman" w:cs="Times New Roman"/>
                <w:color w:val="000000" w:themeColor="text1"/>
                <w:lang w:val="ro-MD"/>
              </w:rPr>
              <w:t xml:space="preserve">zute </w:t>
            </w:r>
            <w:r w:rsidR="00DF1F69" w:rsidRPr="00C011B2">
              <w:rPr>
                <w:rFonts w:ascii="Times New Roman" w:hAnsi="Times New Roman" w:cs="Times New Roman" w:hint="eastAsia"/>
                <w:color w:val="000000" w:themeColor="text1"/>
                <w:lang w:val="ro-MD"/>
              </w:rPr>
              <w:t>î</w:t>
            </w:r>
            <w:r w:rsidR="00DF1F69" w:rsidRPr="00C011B2">
              <w:rPr>
                <w:rFonts w:ascii="Times New Roman" w:hAnsi="Times New Roman" w:cs="Times New Roman"/>
                <w:color w:val="000000" w:themeColor="text1"/>
                <w:lang w:val="ro-MD"/>
              </w:rPr>
              <w:t xml:space="preserve">n prezentul capitol </w:t>
            </w:r>
            <w:r w:rsidR="00DF1F69" w:rsidRPr="00C011B2">
              <w:rPr>
                <w:rFonts w:ascii="Times New Roman" w:hAnsi="Times New Roman" w:cs="Times New Roman" w:hint="eastAsia"/>
                <w:color w:val="000000" w:themeColor="text1"/>
                <w:lang w:val="ro-MD"/>
              </w:rPr>
              <w:t>ș</w:t>
            </w:r>
            <w:r w:rsidR="00DF1F69" w:rsidRPr="00C011B2">
              <w:rPr>
                <w:rFonts w:ascii="Times New Roman" w:hAnsi="Times New Roman" w:cs="Times New Roman"/>
                <w:color w:val="000000" w:themeColor="text1"/>
                <w:lang w:val="ro-MD"/>
              </w:rPr>
              <w:t xml:space="preserve">i la </w:t>
            </w:r>
            <w:r w:rsidRPr="00C011B2">
              <w:rPr>
                <w:rFonts w:ascii="Times New Roman" w:hAnsi="Times New Roman" w:cs="Times New Roman"/>
                <w:color w:val="000000" w:themeColor="text1"/>
                <w:lang w:val="ro-MD"/>
              </w:rPr>
              <w:t>sec</w:t>
            </w:r>
            <w:r w:rsidR="00722D68" w:rsidRPr="00C011B2">
              <w:rPr>
                <w:rFonts w:ascii="Times New Roman" w:hAnsi="Times New Roman" w:cs="Times New Roman"/>
                <w:color w:val="000000" w:themeColor="text1"/>
                <w:lang w:val="ro-MD"/>
              </w:rPr>
              <w:t>ț</w:t>
            </w:r>
            <w:r w:rsidRPr="00C011B2">
              <w:rPr>
                <w:rFonts w:ascii="Times New Roman" w:hAnsi="Times New Roman" w:cs="Times New Roman"/>
                <w:color w:val="000000" w:themeColor="text1"/>
                <w:lang w:val="ro-MD"/>
              </w:rPr>
              <w:t>iunea 2, capitolul I</w:t>
            </w:r>
            <w:r w:rsidR="00DF1F69" w:rsidRPr="00C011B2">
              <w:rPr>
                <w:rFonts w:ascii="Times New Roman" w:hAnsi="Times New Roman" w:cs="Times New Roman"/>
                <w:color w:val="000000" w:themeColor="text1"/>
                <w:lang w:val="ro-MD"/>
              </w:rPr>
              <w:t>.</w:t>
            </w:r>
            <w:bookmarkEnd w:id="122"/>
          </w:p>
        </w:tc>
        <w:tc>
          <w:tcPr>
            <w:tcW w:w="450" w:type="pct"/>
          </w:tcPr>
          <w:p w14:paraId="51970F04" w14:textId="529E7B7E" w:rsidR="00DF1F69" w:rsidRPr="00C011B2" w:rsidRDefault="00D12468" w:rsidP="00DF1F69">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B27EA44" w14:textId="77777777" w:rsidR="00DF1F69" w:rsidRPr="00C011B2" w:rsidRDefault="00DF1F69" w:rsidP="00DF1F69">
            <w:pPr>
              <w:spacing w:line="276" w:lineRule="auto"/>
              <w:jc w:val="both"/>
              <w:rPr>
                <w:rFonts w:ascii="Times New Roman" w:hAnsi="Times New Roman" w:cs="Times New Roman"/>
                <w:color w:val="000000" w:themeColor="text1"/>
                <w:lang w:val="ro-MD"/>
              </w:rPr>
            </w:pPr>
          </w:p>
        </w:tc>
      </w:tr>
      <w:tr w:rsidR="00D12468" w:rsidRPr="00FA7D23" w14:paraId="66C35DF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F567C0" w14:textId="6188358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ABE elaboreaz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proiecte de standarde tehnice de reglementare care precizeaz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metodologia de evaluare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temeiul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reia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ile competente realizeaz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verificarea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alineatul (7).</w:t>
            </w:r>
          </w:p>
          <w:p w14:paraId="1C39C6B5" w14:textId="320948F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Comisiei aceste proiecte de standarde tehnice de reglementare p</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10 iulie 2028.</w:t>
            </w:r>
          </w:p>
          <w:p w14:paraId="32183DC2" w14:textId="742283F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Comisiei competen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de a completa prezentul regulament prin adoptarea standardelor tehnice de reglementare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la primul paragraf de la prezentul alineat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articolele 10-14 din Regulamentul (UE) nr. 1093/2010.</w:t>
            </w:r>
          </w:p>
        </w:tc>
        <w:tc>
          <w:tcPr>
            <w:tcW w:w="1692" w:type="pct"/>
            <w:shd w:val="clear" w:color="auto" w:fill="auto"/>
          </w:tcPr>
          <w:p w14:paraId="6706037B" w14:textId="56AE9E66"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6CC074E0" w14:textId="6EFB6A6C" w:rsidR="00D12468" w:rsidRPr="00C011B2" w:rsidRDefault="00D12468"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E50A47F" w14:textId="531E567D" w:rsidR="00D12468" w:rsidRPr="00C011B2" w:rsidRDefault="00D12468"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Alin.(8) stabilește obligații pentru autorități europene – Autoritatea Bancară Europeană.</w:t>
            </w:r>
          </w:p>
        </w:tc>
      </w:tr>
      <w:tr w:rsidR="00D12468" w:rsidRPr="00C011B2" w14:paraId="492E87C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00B2CE"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14" w:tooltip="32019R0876: INSERTED" w:history="1">
              <w:r w:rsidR="00D12468" w:rsidRPr="00C011B2">
                <w:rPr>
                  <w:rStyle w:val="Hyperlink"/>
                  <w:rFonts w:ascii="Times New Roman" w:hAnsi="Times New Roman" w:cs="Times New Roman"/>
                  <w:b/>
                  <w:bCs/>
                  <w:lang w:val="ro-MD"/>
                </w:rPr>
                <w:t>▼M8</w:t>
              </w:r>
            </w:hyperlink>
          </w:p>
          <w:p w14:paraId="5CD86DD6"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Secțiunea 2</w:t>
            </w:r>
          </w:p>
          <w:p w14:paraId="75FAA53F"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Metoda bazată pe sensibilități pentru calcularea cerinței de fonduri proprii</w:t>
            </w:r>
          </w:p>
          <w:p w14:paraId="2BA2616B" w14:textId="77777777" w:rsidR="00D12468" w:rsidRPr="00C011B2" w:rsidRDefault="00D12468" w:rsidP="00D12468">
            <w:pPr>
              <w:spacing w:after="0" w:line="276" w:lineRule="auto"/>
              <w:jc w:val="both"/>
              <w:rPr>
                <w:rFonts w:ascii="Times New Roman" w:hAnsi="Times New Roman" w:cs="Times New Roman"/>
                <w:b/>
                <w:bCs/>
                <w:i/>
                <w:iCs/>
                <w:color w:val="000000" w:themeColor="text1"/>
                <w:lang w:val="ro-MD"/>
              </w:rPr>
            </w:pPr>
            <w:r w:rsidRPr="00C011B2">
              <w:rPr>
                <w:rFonts w:ascii="Times New Roman" w:hAnsi="Times New Roman" w:cs="Times New Roman"/>
                <w:b/>
                <w:bCs/>
                <w:i/>
                <w:iCs/>
                <w:color w:val="000000" w:themeColor="text1"/>
                <w:lang w:val="ro-MD"/>
              </w:rPr>
              <w:t>Articolul 325d</w:t>
            </w:r>
          </w:p>
          <w:p w14:paraId="23528D48" w14:textId="6349201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Definiții</w:t>
            </w:r>
          </w:p>
        </w:tc>
        <w:tc>
          <w:tcPr>
            <w:tcW w:w="1692" w:type="pct"/>
            <w:shd w:val="clear" w:color="auto" w:fill="auto"/>
          </w:tcPr>
          <w:p w14:paraId="68B4EDC9"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15" w:tooltip="32019R0876: INSERTED" w:history="1">
              <w:r w:rsidR="00D12468" w:rsidRPr="00C011B2">
                <w:rPr>
                  <w:rStyle w:val="Hyperlink"/>
                  <w:rFonts w:ascii="Times New Roman" w:hAnsi="Times New Roman" w:cs="Times New Roman"/>
                  <w:b/>
                  <w:bCs/>
                  <w:lang w:val="ro-MD"/>
                </w:rPr>
                <w:t>▼M8</w:t>
              </w:r>
            </w:hyperlink>
          </w:p>
          <w:p w14:paraId="00132FD6"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bookmarkStart w:id="123" w:name="_Hlk222840075"/>
            <w:r w:rsidRPr="00C011B2">
              <w:rPr>
                <w:rFonts w:ascii="Times New Roman" w:hAnsi="Times New Roman" w:cs="Times New Roman"/>
                <w:b/>
                <w:bCs/>
                <w:color w:val="000000" w:themeColor="text1"/>
                <w:lang w:val="ro-MD"/>
              </w:rPr>
              <w:t>Secțiunea 2</w:t>
            </w:r>
          </w:p>
          <w:p w14:paraId="7B1EC2DC"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Metoda bazată pe sensibilități pentru calcularea cerinței de fonduri proprii</w:t>
            </w:r>
          </w:p>
          <w:p w14:paraId="3102CC70" w14:textId="7D6D0846" w:rsidR="00D12468" w:rsidRPr="00C011B2" w:rsidRDefault="00A20C69" w:rsidP="00D12468">
            <w:pPr>
              <w:spacing w:after="0" w:line="276" w:lineRule="auto"/>
              <w:jc w:val="both"/>
              <w:rPr>
                <w:rFonts w:ascii="Times New Roman" w:hAnsi="Times New Roman" w:cs="Times New Roman"/>
                <w:color w:val="000000" w:themeColor="text1"/>
                <w:lang w:val="ro-RO"/>
              </w:rPr>
            </w:pPr>
            <w:r w:rsidRPr="00C011B2">
              <w:rPr>
                <w:rFonts w:ascii="Times New Roman" w:hAnsi="Times New Roman" w:cs="Times New Roman"/>
                <w:b/>
                <w:bCs/>
                <w:i/>
                <w:iCs/>
                <w:color w:val="000000" w:themeColor="text1"/>
                <w:lang w:val="ro-MD"/>
              </w:rPr>
              <w:t>Subsecţiunea 1.</w:t>
            </w:r>
            <w:r w:rsidR="00D12468" w:rsidRPr="00C011B2">
              <w:rPr>
                <w:rFonts w:ascii="Times New Roman" w:hAnsi="Times New Roman" w:cs="Times New Roman"/>
                <w:b/>
                <w:bCs/>
                <w:color w:val="000000" w:themeColor="text1"/>
                <w:lang w:val="ro-MD"/>
              </w:rPr>
              <w:t>Definiții</w:t>
            </w:r>
            <w:bookmarkEnd w:id="123"/>
          </w:p>
        </w:tc>
        <w:tc>
          <w:tcPr>
            <w:tcW w:w="450" w:type="pct"/>
          </w:tcPr>
          <w:p w14:paraId="5369B0E4" w14:textId="75B27A03" w:rsidR="00D12468" w:rsidRPr="00C011B2" w:rsidRDefault="00BE5EF6"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8B3EA4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0957A22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6BE55D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sensul prezentului capitol, se aplic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toarele defini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w:t>
            </w:r>
          </w:p>
          <w:p w14:paraId="4EF0E13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clas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risc</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nseamn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una dintre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toarele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apte categorii:</w:t>
            </w:r>
          </w:p>
          <w:p w14:paraId="09FCE45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riscul general de rat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 dob</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nzii;</w:t>
            </w:r>
          </w:p>
          <w:p w14:paraId="64144F1F" w14:textId="078BF3C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riscul de marj</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credit pentru instrumentele care nu sunt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securitizare (CSR);</w:t>
            </w:r>
          </w:p>
          <w:p w14:paraId="4C234D34" w14:textId="09FB115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riscul de marj</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credit din securitizarea din afara portofoliului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corela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alternativ (CSR neinclus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ACTP);</w:t>
            </w:r>
          </w:p>
          <w:p w14:paraId="2E563D0E" w14:textId="5B243E6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(iv) riscul de marj</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credit din securitizarea inclus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portofoliul de tranzac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ionare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corela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 alternativ (CSR inclus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ACTP);</w:t>
            </w:r>
          </w:p>
          <w:p w14:paraId="3D70FFD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 riscul privind titlurile de capital;</w:t>
            </w:r>
          </w:p>
          <w:p w14:paraId="3313354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(vi) riscul de marf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p w14:paraId="02EF55F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(vii) riscul valutar;</w:t>
            </w:r>
          </w:p>
          <w:p w14:paraId="69DEF080" w14:textId="764FF60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sensibilitate</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nseamn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modificarea relativ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 valorii unei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ca urmare a modific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valorii unuia dintre factorii de risc relevan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ai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iei, calculat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baza modelului de evaluare al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w:t>
            </w:r>
          </w:p>
          <w:p w14:paraId="28BD50C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conformitate cu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3 subsec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2;</w:t>
            </w:r>
          </w:p>
          <w:p w14:paraId="58C38779" w14:textId="4557572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3.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band</w:t>
            </w:r>
            <w:r w:rsidRPr="00C011B2">
              <w:rPr>
                <w:rFonts w:ascii="Times New Roman" w:hAnsi="Times New Roman" w:cs="Times New Roman" w:hint="eastAsia"/>
                <w:color w:val="000000" w:themeColor="text1"/>
                <w:lang w:val="ro-MD"/>
              </w:rPr>
              <w:t>ă</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nseamn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subcategorie de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din cadrul unei clase de risc cu un profil de risc similar,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reia i se atribuie o pondere de risc, astfel cum este definit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3 subsec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1.</w:t>
            </w:r>
          </w:p>
        </w:tc>
        <w:tc>
          <w:tcPr>
            <w:tcW w:w="1692" w:type="pct"/>
            <w:shd w:val="clear" w:color="auto" w:fill="auto"/>
          </w:tcPr>
          <w:p w14:paraId="02F3F33E" w14:textId="6FCED295" w:rsidR="00D12468" w:rsidRPr="00C011B2" w:rsidRDefault="00A20C69" w:rsidP="00D12468">
            <w:pPr>
              <w:spacing w:after="0" w:line="276" w:lineRule="auto"/>
              <w:jc w:val="both"/>
              <w:rPr>
                <w:rFonts w:ascii="Times New Roman" w:hAnsi="Times New Roman" w:cs="Times New Roman"/>
                <w:color w:val="000000" w:themeColor="text1"/>
                <w:lang w:val="ro-MD"/>
              </w:rPr>
            </w:pPr>
            <w:bookmarkStart w:id="124" w:name="_Hlk222840201"/>
            <w:r w:rsidRPr="00C011B2">
              <w:rPr>
                <w:rFonts w:ascii="Times New Roman" w:hAnsi="Times New Roman" w:cs="Times New Roman"/>
                <w:color w:val="000000" w:themeColor="text1"/>
                <w:lang w:val="ro-MD"/>
              </w:rPr>
              <w:lastRenderedPageBreak/>
              <w:t xml:space="preserve">103.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sensul prezentului capitol, se aplic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urm</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toarele defini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w:t>
            </w:r>
          </w:p>
          <w:p w14:paraId="63C74A64" w14:textId="27A9BF3D"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w:t>
            </w:r>
            <w:r w:rsidR="00D12468" w:rsidRPr="00C011B2">
              <w:rPr>
                <w:rFonts w:ascii="Times New Roman" w:hAnsi="Times New Roman" w:cs="Times New Roman"/>
                <w:color w:val="000000" w:themeColor="text1"/>
                <w:lang w:val="ro-MD"/>
              </w:rPr>
              <w:t xml:space="preserve">1.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clas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risc</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nseamn</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una dintre urm</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toarele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apte categorii:</w:t>
            </w:r>
          </w:p>
          <w:p w14:paraId="6F7DD95C" w14:textId="5AE35F7D"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103.1.1.</w:t>
            </w:r>
            <w:r w:rsidR="00D12468" w:rsidRPr="00C011B2">
              <w:rPr>
                <w:rFonts w:ascii="Times New Roman" w:hAnsi="Times New Roman" w:cs="Times New Roman"/>
                <w:color w:val="000000" w:themeColor="text1"/>
                <w:lang w:val="ro-MD"/>
              </w:rPr>
              <w:t xml:space="preserve"> riscul general de rat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 dob</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nzii;</w:t>
            </w:r>
          </w:p>
          <w:p w14:paraId="4A089901" w14:textId="5FD31434"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103.1.2</w:t>
            </w:r>
            <w:r w:rsidR="00D12468" w:rsidRPr="00C011B2">
              <w:rPr>
                <w:rFonts w:ascii="Times New Roman" w:hAnsi="Times New Roman" w:cs="Times New Roman"/>
                <w:color w:val="000000" w:themeColor="text1"/>
                <w:lang w:val="ro-MD"/>
              </w:rPr>
              <w:t xml:space="preserve"> riscul de marj</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credit pentru instrumentele care nu sunt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 din securitizare (CSR);</w:t>
            </w:r>
          </w:p>
          <w:p w14:paraId="46E29B7F" w14:textId="3FBAE7E8"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103.1.3.</w:t>
            </w:r>
            <w:r w:rsidR="00D12468" w:rsidRPr="00C011B2">
              <w:rPr>
                <w:rFonts w:ascii="Times New Roman" w:hAnsi="Times New Roman" w:cs="Times New Roman"/>
                <w:color w:val="000000" w:themeColor="text1"/>
                <w:lang w:val="ro-MD"/>
              </w:rPr>
              <w:t xml:space="preserve"> riscul de marj</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credit din securitizarea din afara portofoliului de tranzac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ionare pe baz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corela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ie alternativ (CSR neinclus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ACTP);</w:t>
            </w:r>
          </w:p>
          <w:p w14:paraId="7E7432B2" w14:textId="005F8108"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103.1.4.</w:t>
            </w:r>
            <w:r w:rsidR="00D12468" w:rsidRPr="00C011B2">
              <w:rPr>
                <w:rFonts w:ascii="Times New Roman" w:hAnsi="Times New Roman" w:cs="Times New Roman"/>
                <w:color w:val="000000" w:themeColor="text1"/>
                <w:lang w:val="ro-MD"/>
              </w:rPr>
              <w:t xml:space="preserve"> riscul de marj</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credit din securitizarea inclus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portofoliul de tranzac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ionare pe baz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corela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ie alternativ (CSR inclus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ACTP);</w:t>
            </w:r>
          </w:p>
          <w:p w14:paraId="4AC9D584" w14:textId="6AE5C9E6"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103.1.5.</w:t>
            </w:r>
            <w:r w:rsidR="00D12468" w:rsidRPr="00C011B2">
              <w:rPr>
                <w:rFonts w:ascii="Times New Roman" w:hAnsi="Times New Roman" w:cs="Times New Roman"/>
                <w:color w:val="000000" w:themeColor="text1"/>
                <w:lang w:val="ro-MD"/>
              </w:rPr>
              <w:t xml:space="preserve"> riscul privind titlurile de capital;</w:t>
            </w:r>
          </w:p>
          <w:p w14:paraId="3C1116B9" w14:textId="0C7F6D07"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103.1.6.</w:t>
            </w:r>
            <w:r w:rsidR="00D12468" w:rsidRPr="00C011B2">
              <w:rPr>
                <w:rFonts w:ascii="Times New Roman" w:hAnsi="Times New Roman" w:cs="Times New Roman"/>
                <w:color w:val="000000" w:themeColor="text1"/>
                <w:lang w:val="ro-MD"/>
              </w:rPr>
              <w:t xml:space="preserve"> riscul de marf</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w:t>
            </w:r>
          </w:p>
          <w:p w14:paraId="76A19504" w14:textId="0F8659C5"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103.1.7.</w:t>
            </w:r>
            <w:r w:rsidR="00D12468" w:rsidRPr="00C011B2">
              <w:rPr>
                <w:rFonts w:ascii="Times New Roman" w:hAnsi="Times New Roman" w:cs="Times New Roman"/>
                <w:color w:val="000000" w:themeColor="text1"/>
                <w:lang w:val="ro-MD"/>
              </w:rPr>
              <w:t xml:space="preserve"> riscul valutar;</w:t>
            </w:r>
          </w:p>
          <w:p w14:paraId="0B4D3794" w14:textId="383C6878"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103.</w:t>
            </w:r>
            <w:r w:rsidR="00D12468" w:rsidRPr="00C011B2">
              <w:rPr>
                <w:rFonts w:ascii="Times New Roman" w:hAnsi="Times New Roman" w:cs="Times New Roman"/>
                <w:color w:val="000000" w:themeColor="text1"/>
                <w:lang w:val="ro-MD"/>
              </w:rPr>
              <w:t xml:space="preserve">2.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sensibilitate</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nseamn</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modificarea relativ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 valorii unei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 ca urmare a modific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rii valorii unuia dintre factorii de risc relevan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ai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iei, calculat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pe baza modelului de evaluare al </w:t>
            </w:r>
            <w:r w:rsidR="00AD2821"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w:t>
            </w:r>
            <w:r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color w:val="000000" w:themeColor="text1"/>
                <w:lang w:val="ro-MD"/>
              </w:rPr>
              <w:t>conformitate cu 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3 subsec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2;</w:t>
            </w:r>
          </w:p>
          <w:p w14:paraId="6031201F" w14:textId="7E532171" w:rsidR="00D12468" w:rsidRPr="00C011B2" w:rsidRDefault="00A20C69"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103.</w:t>
            </w:r>
            <w:r w:rsidR="00D12468" w:rsidRPr="00C011B2">
              <w:rPr>
                <w:rFonts w:ascii="Times New Roman" w:hAnsi="Times New Roman" w:cs="Times New Roman"/>
                <w:color w:val="000000" w:themeColor="text1"/>
                <w:lang w:val="ro-MD"/>
              </w:rPr>
              <w:t xml:space="preserve">3.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band</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nseamn</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o subcategorie de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 din cadrul unei clase de risc cu un profil de risc similar, 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reia i se atribuie o pondere de risc, astfel cum este definit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3 subsec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1.</w:t>
            </w:r>
            <w:bookmarkEnd w:id="124"/>
          </w:p>
        </w:tc>
        <w:tc>
          <w:tcPr>
            <w:tcW w:w="450" w:type="pct"/>
          </w:tcPr>
          <w:p w14:paraId="57AA261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35834E1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B437E4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F1A6C4A"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325e</w:t>
            </w:r>
          </w:p>
          <w:p w14:paraId="09A20AC3" w14:textId="33B94D5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Componentele metodei bazate pe sensibilităţi</w:t>
            </w:r>
          </w:p>
        </w:tc>
        <w:tc>
          <w:tcPr>
            <w:tcW w:w="1692" w:type="pct"/>
            <w:shd w:val="clear" w:color="auto" w:fill="auto"/>
          </w:tcPr>
          <w:p w14:paraId="28839B48" w14:textId="62AE4B47" w:rsidR="00D12468" w:rsidRPr="00C011B2" w:rsidRDefault="00AD2821" w:rsidP="00D12468">
            <w:pPr>
              <w:spacing w:after="0" w:line="276" w:lineRule="auto"/>
              <w:jc w:val="both"/>
              <w:rPr>
                <w:rFonts w:ascii="Times New Roman" w:hAnsi="Times New Roman" w:cs="Times New Roman"/>
                <w:color w:val="000000" w:themeColor="text1"/>
                <w:lang w:val="ro-MD"/>
              </w:rPr>
            </w:pPr>
            <w:bookmarkStart w:id="125" w:name="_Hlk222840335"/>
            <w:r w:rsidRPr="00C011B2">
              <w:rPr>
                <w:rFonts w:ascii="Times New Roman" w:hAnsi="Times New Roman" w:cs="Times New Roman"/>
                <w:b/>
                <w:bCs/>
                <w:i/>
                <w:iCs/>
                <w:color w:val="000000" w:themeColor="text1"/>
                <w:lang w:val="ro-MD"/>
              </w:rPr>
              <w:t xml:space="preserve">Subsecţiunea 2. </w:t>
            </w:r>
            <w:r w:rsidR="00D12468" w:rsidRPr="00C011B2">
              <w:rPr>
                <w:rFonts w:ascii="Times New Roman" w:hAnsi="Times New Roman" w:cs="Times New Roman"/>
                <w:b/>
                <w:bCs/>
                <w:color w:val="000000" w:themeColor="text1"/>
                <w:lang w:val="ro-MD"/>
              </w:rPr>
              <w:t>Componentele metodei bazate pe sensibilităţi</w:t>
            </w:r>
            <w:bookmarkEnd w:id="125"/>
          </w:p>
        </w:tc>
        <w:tc>
          <w:tcPr>
            <w:tcW w:w="450" w:type="pct"/>
          </w:tcPr>
          <w:p w14:paraId="5BE8D4B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0E35A68F"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4A39B0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0F0F78" w14:textId="77E551C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a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metoda bazat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 prin agregarea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toarelor trei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 de fonduri proprii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articolul 325h:</w:t>
            </w:r>
          </w:p>
          <w:p w14:paraId="0CCF41FA" w14:textId="3B893B1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delta care reflect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riscul de modificare a valorii unui instrument din cauza varia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ap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rute la nivelul factorilor de risc care nu sunt lega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de volatilitate;</w:t>
            </w:r>
          </w:p>
          <w:p w14:paraId="5151302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vega care reflect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riscul de modificare a valorii unui instrument din cauza varia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ap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rute la nivelul factorilor de risc lega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de volatilitate;</w:t>
            </w:r>
          </w:p>
          <w:p w14:paraId="28CBE864" w14:textId="370B2F9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 curbur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care reflect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riscul de modificare a valorii unui instrument din cauza varia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ap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rute la nivelul factorilor de risc care nu sunt lega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de volatilitate care nu sunt reflecta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de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pentru riscul delta.</w:t>
            </w:r>
          </w:p>
        </w:tc>
        <w:tc>
          <w:tcPr>
            <w:tcW w:w="1692" w:type="pct"/>
            <w:shd w:val="clear" w:color="auto" w:fill="auto"/>
          </w:tcPr>
          <w:p w14:paraId="749C91F8" w14:textId="4DAE5C45" w:rsidR="00D12468" w:rsidRPr="00C011B2" w:rsidRDefault="00AD2821" w:rsidP="00D12468">
            <w:pPr>
              <w:spacing w:after="0" w:line="276" w:lineRule="auto"/>
              <w:jc w:val="both"/>
              <w:rPr>
                <w:rFonts w:ascii="Times New Roman" w:hAnsi="Times New Roman" w:cs="Times New Roman"/>
                <w:color w:val="000000" w:themeColor="text1"/>
                <w:lang w:val="ro-MD"/>
              </w:rPr>
            </w:pPr>
            <w:bookmarkStart w:id="126" w:name="_Hlk222841387"/>
            <w:r w:rsidRPr="00C011B2">
              <w:rPr>
                <w:rFonts w:ascii="Times New Roman" w:hAnsi="Times New Roman" w:cs="Times New Roman"/>
                <w:color w:val="000000" w:themeColor="text1"/>
                <w:lang w:val="ro-MD"/>
              </w:rPr>
              <w:t>104.</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a de fonduri proprii pentru riscul de pia</w:t>
            </w:r>
            <w:r w:rsidR="00D12468" w:rsidRPr="00C011B2">
              <w:rPr>
                <w:rFonts w:ascii="Times New Roman" w:hAnsi="Times New Roman" w:cs="Times New Roman" w:hint="eastAsia"/>
                <w:color w:val="000000" w:themeColor="text1"/>
                <w:lang w:val="ro-MD"/>
              </w:rPr>
              <w:t>ţă</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conformitate cu metoda bazat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pe sensibilit</w:t>
            </w:r>
            <w:r w:rsidR="00D12468" w:rsidRPr="00C011B2">
              <w:rPr>
                <w:rFonts w:ascii="Times New Roman" w:hAnsi="Times New Roman" w:cs="Times New Roman" w:hint="eastAsia"/>
                <w:color w:val="000000" w:themeColor="text1"/>
                <w:lang w:val="ro-MD"/>
              </w:rPr>
              <w:t>ăţ</w:t>
            </w:r>
            <w:r w:rsidR="00D12468" w:rsidRPr="00C011B2">
              <w:rPr>
                <w:rFonts w:ascii="Times New Roman" w:hAnsi="Times New Roman" w:cs="Times New Roman"/>
                <w:color w:val="000000" w:themeColor="text1"/>
                <w:lang w:val="ro-MD"/>
              </w:rPr>
              <w:t>i prin agregarea urm</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toarelor trei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e de fonduri proprii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 xml:space="preserve">n conformitate cu </w:t>
            </w:r>
            <w:r w:rsidR="00BE5EF6" w:rsidRPr="00C011B2">
              <w:rPr>
                <w:rFonts w:ascii="Times New Roman" w:hAnsi="Times New Roman" w:cs="Times New Roman"/>
                <w:color w:val="000000" w:themeColor="text1"/>
                <w:lang w:val="ro-MD"/>
              </w:rPr>
              <w:t>subsecțiunea 5</w:t>
            </w:r>
            <w:r w:rsidR="00D12468" w:rsidRPr="00C011B2">
              <w:rPr>
                <w:rFonts w:ascii="Times New Roman" w:hAnsi="Times New Roman" w:cs="Times New Roman"/>
                <w:color w:val="000000" w:themeColor="text1"/>
                <w:lang w:val="ro-MD"/>
              </w:rPr>
              <w:t>:</w:t>
            </w:r>
          </w:p>
          <w:p w14:paraId="3598D74C" w14:textId="35169A6F"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104.1.</w:t>
            </w:r>
            <w:r w:rsidR="00D12468" w:rsidRPr="00C011B2">
              <w:rPr>
                <w:rFonts w:ascii="Times New Roman" w:hAnsi="Times New Roman" w:cs="Times New Roman"/>
                <w:color w:val="000000" w:themeColor="text1"/>
                <w:lang w:val="ro-MD"/>
              </w:rPr>
              <w:t xml:space="preserve">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ele de fonduri proprii pentru riscul delta care reflect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riscul de modificare a valorii unui instrument din cauza varia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iilor ap</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rute la nivelul factorilor de risc care nu sunt lega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de volatilitate;</w:t>
            </w:r>
          </w:p>
          <w:p w14:paraId="4388505B" w14:textId="3F2F6639"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104.2.</w:t>
            </w:r>
            <w:r w:rsidR="00D12468" w:rsidRPr="00C011B2">
              <w:rPr>
                <w:rFonts w:ascii="Times New Roman" w:hAnsi="Times New Roman" w:cs="Times New Roman"/>
                <w:color w:val="000000" w:themeColor="text1"/>
                <w:lang w:val="ro-MD"/>
              </w:rPr>
              <w:t xml:space="preserve">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ele de fonduri proprii pentru riscul vega care reflect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riscul de modificare a valorii unui instrument din cauza varia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iilor ap</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rute la nivelul factorilor de risc lega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de volatilitate;</w:t>
            </w:r>
          </w:p>
          <w:p w14:paraId="319F1879" w14:textId="187160A4"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104.3.</w:t>
            </w:r>
            <w:r w:rsidR="00D12468" w:rsidRPr="00C011B2">
              <w:rPr>
                <w:rFonts w:ascii="Times New Roman" w:hAnsi="Times New Roman" w:cs="Times New Roman"/>
                <w:color w:val="000000" w:themeColor="text1"/>
                <w:lang w:val="ro-MD"/>
              </w:rPr>
              <w:t xml:space="preserve">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ele de fonduri proprii pentru riscul de curbur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care reflect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riscul de modificare a valorii unui instrument din cauza varia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iilor ap</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rute la nivelul factorilor de risc care nu sunt lega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de volatilitate care nu sunt reflecta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de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ele de fonduri proprii pentru riscul delta.</w:t>
            </w:r>
            <w:bookmarkEnd w:id="126"/>
          </w:p>
        </w:tc>
        <w:tc>
          <w:tcPr>
            <w:tcW w:w="450" w:type="pct"/>
          </w:tcPr>
          <w:p w14:paraId="3F7AB31F" w14:textId="5AFFA945" w:rsidR="00D12468" w:rsidRPr="00C011B2" w:rsidRDefault="00BE5EF6"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1368BF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46017F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8A9D8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(2)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scopul calculului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 la alineatul (1):</w:t>
            </w:r>
          </w:p>
          <w:p w14:paraId="3284EE09"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▼M12</w:t>
            </w:r>
          </w:p>
          <w:p w14:paraId="68202887" w14:textId="21F241E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aferente instrumentelor cu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ionalitate fac obiectul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alineatul (1) literele (a),</w:t>
            </w:r>
          </w:p>
          <w:p w14:paraId="34BFA8A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 pentru alte riscuri dec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t cele care decurg din</w:t>
            </w:r>
          </w:p>
          <w:p w14:paraId="4EE68527" w14:textId="3020718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elementele-suport exotice ale instrumentelor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articolul 325u alineatul (2) litera (a);</w:t>
            </w:r>
          </w:p>
          <w:p w14:paraId="7AAED6DE" w14:textId="0AF5EC2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aferente instrumentelor 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ionalitate fac obiectul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alineatul (1) litera (a) pentru alte riscuri dec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t cele care decurg din elementele-suport exotice ale instrumentelor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ionate la articolul 325u alineatul (2) litera (a).</w:t>
            </w:r>
          </w:p>
          <w:p w14:paraId="20760CD2"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▼M8</w:t>
            </w:r>
          </w:p>
          <w:p w14:paraId="2E730895" w14:textId="4480988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sensul prezentului capitol, instrumentele cu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ionalitate includ, printre altele,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iuni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call</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iuni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put</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praguri maxime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caps</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praguri minime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floors</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instrumente de tipul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swap option</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iuni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barier</w:t>
            </w:r>
            <w:r w:rsidRPr="00C011B2">
              <w:rPr>
                <w:rFonts w:ascii="Times New Roman" w:hAnsi="Times New Roman" w:cs="Times New Roman" w:hint="eastAsia"/>
                <w:color w:val="000000" w:themeColor="text1"/>
                <w:lang w:val="ro-MD"/>
              </w:rPr>
              <w:t>ă</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iuni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exotice</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iunile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ncorporate, precum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iunile de plat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avans sau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iunile comportamentale, sunt considerate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de sine 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 pe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scopul calcul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pentru riscul de pia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w:t>
            </w:r>
          </w:p>
          <w:p w14:paraId="5AEFCCD5" w14:textId="6AEC09C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hint="eastAsia"/>
                <w:color w:val="000000" w:themeColor="text1"/>
                <w:lang w:val="ro-MD"/>
              </w:rPr>
              <w:lastRenderedPageBreak/>
              <w:t>Î</w:t>
            </w:r>
            <w:r w:rsidRPr="00C011B2">
              <w:rPr>
                <w:rFonts w:ascii="Times New Roman" w:hAnsi="Times New Roman" w:cs="Times New Roman"/>
                <w:color w:val="000000" w:themeColor="text1"/>
                <w:lang w:val="ro-MD"/>
              </w:rPr>
              <w:t>n sensul prezentului capitol, instrumentele ale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ror fluxuri de numerar pot fi reprezentate ca o func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liniar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 valorii no</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ionale a instrumentului-suport sunt considerate instrumente 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ionalitate.</w:t>
            </w:r>
          </w:p>
        </w:tc>
        <w:tc>
          <w:tcPr>
            <w:tcW w:w="1692" w:type="pct"/>
            <w:shd w:val="clear" w:color="auto" w:fill="auto"/>
          </w:tcPr>
          <w:p w14:paraId="3C4739FA" w14:textId="072FFCEE" w:rsidR="00D12468" w:rsidRPr="00C011B2" w:rsidRDefault="00BE5EF6" w:rsidP="00D12468">
            <w:pPr>
              <w:spacing w:after="0" w:line="276" w:lineRule="auto"/>
              <w:jc w:val="both"/>
              <w:rPr>
                <w:rFonts w:ascii="Times New Roman" w:hAnsi="Times New Roman" w:cs="Times New Roman"/>
                <w:color w:val="000000" w:themeColor="text1"/>
                <w:lang w:val="ro-MD"/>
              </w:rPr>
            </w:pPr>
            <w:bookmarkStart w:id="127" w:name="_Hlk222841423"/>
            <w:r w:rsidRPr="00C011B2">
              <w:rPr>
                <w:rFonts w:ascii="Times New Roman" w:hAnsi="Times New Roman" w:cs="Times New Roman"/>
                <w:color w:val="000000" w:themeColor="text1"/>
                <w:lang w:val="ro-MD"/>
              </w:rPr>
              <w:lastRenderedPageBreak/>
              <w:t>105.</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scopul calculului men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ionat la</w:t>
            </w:r>
            <w:r w:rsidRPr="00C011B2">
              <w:rPr>
                <w:rFonts w:ascii="Times New Roman" w:hAnsi="Times New Roman" w:cs="Times New Roman"/>
                <w:color w:val="000000" w:themeColor="text1"/>
                <w:lang w:val="ro-MD"/>
              </w:rPr>
              <w:t xml:space="preserve"> pct.104</w:t>
            </w:r>
            <w:r w:rsidR="00D12468" w:rsidRPr="00C011B2">
              <w:rPr>
                <w:rFonts w:ascii="Times New Roman" w:hAnsi="Times New Roman" w:cs="Times New Roman"/>
                <w:color w:val="000000" w:themeColor="text1"/>
                <w:lang w:val="ro-MD"/>
              </w:rPr>
              <w:t>:</w:t>
            </w:r>
          </w:p>
          <w:p w14:paraId="623FEDBB" w14:textId="1E3159FA"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105.1</w:t>
            </w:r>
            <w:r w:rsidR="00D12468" w:rsidRPr="00C011B2">
              <w:rPr>
                <w:rFonts w:ascii="Times New Roman" w:hAnsi="Times New Roman" w:cs="Times New Roman"/>
                <w:color w:val="000000" w:themeColor="text1"/>
                <w:lang w:val="ro-MD"/>
              </w:rPr>
              <w:t xml:space="preserve"> toate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iile aferente instrumentelor cu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ionalitate fac obiectul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elor de fonduri proprii men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subpct.104.1</w:t>
            </w:r>
            <w:r w:rsidR="00D12468" w:rsidRPr="00C011B2">
              <w:rPr>
                <w:rFonts w:ascii="Times New Roman" w:hAnsi="Times New Roman" w:cs="Times New Roman"/>
                <w:color w:val="000000" w:themeColor="text1"/>
                <w:lang w:val="ro-MD"/>
              </w:rPr>
              <w:t>,</w:t>
            </w:r>
          </w:p>
          <w:p w14:paraId="49901193" w14:textId="7BF55644"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104.2</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 xml:space="preserve">i </w:t>
            </w:r>
            <w:r w:rsidRPr="00C011B2">
              <w:rPr>
                <w:rFonts w:ascii="Times New Roman" w:hAnsi="Times New Roman" w:cs="Times New Roman"/>
                <w:color w:val="000000" w:themeColor="text1"/>
                <w:lang w:val="ro-MD"/>
              </w:rPr>
              <w:t>104.3</w:t>
            </w:r>
            <w:r w:rsidR="00D12468" w:rsidRPr="00C011B2">
              <w:rPr>
                <w:rFonts w:ascii="Times New Roman" w:hAnsi="Times New Roman" w:cs="Times New Roman"/>
                <w:color w:val="000000" w:themeColor="text1"/>
                <w:lang w:val="ro-MD"/>
              </w:rPr>
              <w:t xml:space="preserve"> pentru alte riscuri dec</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t cele care decurg din</w:t>
            </w:r>
          </w:p>
          <w:p w14:paraId="36FF0ACC" w14:textId="0DFB64C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elementele-suport exotice ale instrumentelor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la </w:t>
            </w:r>
            <w:r w:rsidR="008F0958" w:rsidRPr="00C011B2">
              <w:rPr>
                <w:rFonts w:ascii="Times New Roman" w:hAnsi="Times New Roman" w:cs="Times New Roman"/>
                <w:color w:val="000000" w:themeColor="text1"/>
                <w:lang w:val="ro-RO"/>
              </w:rPr>
              <w:t>subpct.219.1</w:t>
            </w:r>
            <w:r w:rsidRPr="00C011B2">
              <w:rPr>
                <w:rFonts w:ascii="Times New Roman" w:hAnsi="Times New Roman" w:cs="Times New Roman"/>
                <w:color w:val="000000" w:themeColor="text1"/>
                <w:lang w:val="ro-MD"/>
              </w:rPr>
              <w:t>;</w:t>
            </w:r>
          </w:p>
          <w:p w14:paraId="714DF824" w14:textId="16B55AC3"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105.2.</w:t>
            </w:r>
            <w:r w:rsidR="00D12468" w:rsidRPr="00C011B2">
              <w:rPr>
                <w:rFonts w:ascii="Times New Roman" w:hAnsi="Times New Roman" w:cs="Times New Roman"/>
                <w:color w:val="000000" w:themeColor="text1"/>
                <w:lang w:val="ro-MD"/>
              </w:rPr>
              <w:t xml:space="preserve"> toate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iile aferente instrumentelor f</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ionalitate fac obiectul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elor de fonduri proprii men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subpct.104.1</w:t>
            </w:r>
            <w:r w:rsidR="00D12468" w:rsidRPr="00C011B2">
              <w:rPr>
                <w:rFonts w:ascii="Times New Roman" w:hAnsi="Times New Roman" w:cs="Times New Roman"/>
                <w:color w:val="000000" w:themeColor="text1"/>
                <w:lang w:val="ro-MD"/>
              </w:rPr>
              <w:t xml:space="preserve"> pentru alte riscuri dec</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t cele care decurg din elementele-suport exotice ale instrumentelor men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ionate la </w:t>
            </w:r>
            <w:r w:rsidR="008F0958" w:rsidRPr="00C011B2">
              <w:rPr>
                <w:rFonts w:ascii="Times New Roman" w:hAnsi="Times New Roman" w:cs="Times New Roman"/>
                <w:color w:val="000000" w:themeColor="text1"/>
                <w:lang w:val="ro-RO"/>
              </w:rPr>
              <w:t>subpct.219.1</w:t>
            </w:r>
            <w:r w:rsidR="00D12468" w:rsidRPr="00C011B2">
              <w:rPr>
                <w:rFonts w:ascii="Times New Roman" w:hAnsi="Times New Roman" w:cs="Times New Roman"/>
                <w:color w:val="000000" w:themeColor="text1"/>
                <w:lang w:val="ro-MD"/>
              </w:rPr>
              <w:t>.</w:t>
            </w:r>
          </w:p>
          <w:p w14:paraId="39AC898F" w14:textId="035149AD"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106.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sensul prezentului capitol, instrumentele cu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ionalitate includ, printre altele,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iuni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call</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iuni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put</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praguri maxime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caps</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praguri minime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floors</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instrumente de tipul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swap option</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iuni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barier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i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iuni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exotice</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iunile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ncorporate, precum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iunile de plat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avans sau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iunile comportamentale, sunt considerate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 de sine st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toare pe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scopul calcul</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rii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elor de fonduri proprii pentru riscul de pia</w:t>
            </w:r>
            <w:r w:rsidR="00D12468" w:rsidRPr="00C011B2">
              <w:rPr>
                <w:rFonts w:ascii="Times New Roman" w:hAnsi="Times New Roman" w:cs="Times New Roman" w:hint="eastAsia"/>
                <w:color w:val="000000" w:themeColor="text1"/>
                <w:lang w:val="ro-MD"/>
              </w:rPr>
              <w:t>ţă</w:t>
            </w:r>
            <w:r w:rsidR="00D12468" w:rsidRPr="00C011B2">
              <w:rPr>
                <w:rFonts w:ascii="Times New Roman" w:hAnsi="Times New Roman" w:cs="Times New Roman"/>
                <w:color w:val="000000" w:themeColor="text1"/>
                <w:lang w:val="ro-MD"/>
              </w:rPr>
              <w:t>.</w:t>
            </w:r>
          </w:p>
          <w:p w14:paraId="3C91E38B" w14:textId="7D0AAA05" w:rsidR="00D12468" w:rsidRPr="00C011B2" w:rsidRDefault="00BE5E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107.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sensul prezentului capitol, instrumentele ale 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ror fluxuri de numerar pot fi reprezentate ca o func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ie liniar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 valorii no</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ionale a instrumentului-suport sunt considerate instrumente f</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ionalitate.</w:t>
            </w:r>
            <w:bookmarkEnd w:id="127"/>
          </w:p>
        </w:tc>
        <w:tc>
          <w:tcPr>
            <w:tcW w:w="450" w:type="pct"/>
          </w:tcPr>
          <w:p w14:paraId="43D30F02" w14:textId="44956CB3" w:rsidR="00D12468" w:rsidRPr="00C011B2" w:rsidRDefault="00BE5EF6"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2F38C7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587208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E5C178D"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▼M12</w:t>
            </w:r>
          </w:p>
          <w:p w14:paraId="0D544222" w14:textId="3DB8F96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Prin derogare de la alineatul (2) litera (b), 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poate alege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aplice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ele de fonduri proprii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ionate la alineatul (1) literele (a)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 tuturor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iilor aferente instrumentelor f</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ionalitate.</w:t>
            </w:r>
          </w:p>
          <w:p w14:paraId="31998F0C" w14:textId="3F61437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care alege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utilizeze abordarea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primul paragraf notific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acest lucru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sale competente cu cel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in trei luni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nainte de prima utilizare. Dup</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ce au trecut cele trei luni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cu condi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ca autoritatea competent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fi ridicat obiec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poate utiliza aceast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abordare p</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autoritatea competent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o informeaz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i se mai permite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fac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acest lucru.</w:t>
            </w:r>
          </w:p>
          <w:p w14:paraId="23887C61" w14:textId="6A6C24B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ie care dore</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te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mai utilizeze abordarea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la primul paragraf trebuie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notifice acest lucru autorit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ii sale competente cu cel pu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in trei luni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nainte de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ncetarea utiliz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rii.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ia poate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nceta 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aplice aceast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abordare dac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autoritatea competent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nu a ridicat obiec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acest termen de trei luni.</w:t>
            </w:r>
          </w:p>
        </w:tc>
        <w:tc>
          <w:tcPr>
            <w:tcW w:w="1692" w:type="pct"/>
            <w:shd w:val="clear" w:color="auto" w:fill="auto"/>
          </w:tcPr>
          <w:p w14:paraId="7A159565" w14:textId="52D8A19F" w:rsidR="00D12468" w:rsidRPr="00C011B2" w:rsidRDefault="004B5222" w:rsidP="00D12468">
            <w:pPr>
              <w:spacing w:after="0" w:line="276" w:lineRule="auto"/>
              <w:jc w:val="both"/>
              <w:rPr>
                <w:rFonts w:ascii="Times New Roman" w:hAnsi="Times New Roman" w:cs="Times New Roman"/>
                <w:color w:val="000000" w:themeColor="text1"/>
                <w:lang w:val="ro-MD"/>
              </w:rPr>
            </w:pPr>
            <w:bookmarkStart w:id="128" w:name="_Hlk222841799"/>
            <w:r w:rsidRPr="00C011B2">
              <w:rPr>
                <w:rFonts w:ascii="Times New Roman" w:hAnsi="Times New Roman" w:cs="Times New Roman"/>
                <w:color w:val="000000" w:themeColor="text1"/>
                <w:lang w:val="ro-MD"/>
              </w:rPr>
              <w:t>108.</w:t>
            </w:r>
            <w:r w:rsidR="00D12468" w:rsidRPr="00C011B2">
              <w:rPr>
                <w:rFonts w:ascii="Times New Roman" w:hAnsi="Times New Roman" w:cs="Times New Roman"/>
                <w:color w:val="000000" w:themeColor="text1"/>
                <w:lang w:val="ro-MD"/>
              </w:rPr>
              <w:t xml:space="preserve"> Prin derogare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subpct.105.2</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poate alege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aplice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ele de fonduri proprii men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ionate la </w:t>
            </w:r>
            <w:r w:rsidRPr="00C011B2">
              <w:rPr>
                <w:rFonts w:ascii="Times New Roman" w:hAnsi="Times New Roman" w:cs="Times New Roman"/>
                <w:color w:val="000000" w:themeColor="text1"/>
                <w:lang w:val="ro-MD"/>
              </w:rPr>
              <w:t>subpct.</w:t>
            </w:r>
            <w:r w:rsidR="00A17806" w:rsidRPr="00C011B2">
              <w:rPr>
                <w:rFonts w:ascii="Times New Roman" w:hAnsi="Times New Roman" w:cs="Times New Roman"/>
                <w:color w:val="000000" w:themeColor="text1"/>
                <w:lang w:val="ro-MD"/>
              </w:rPr>
              <w:t>104.1</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 xml:space="preserve">i </w:t>
            </w:r>
            <w:r w:rsidR="00A17806" w:rsidRPr="00C011B2">
              <w:rPr>
                <w:rFonts w:ascii="Times New Roman" w:hAnsi="Times New Roman" w:cs="Times New Roman"/>
                <w:color w:val="000000" w:themeColor="text1"/>
                <w:lang w:val="ro-MD"/>
              </w:rPr>
              <w:t>104.3</w:t>
            </w:r>
            <w:r w:rsidR="00D12468" w:rsidRPr="00C011B2">
              <w:rPr>
                <w:rFonts w:ascii="Times New Roman" w:hAnsi="Times New Roman" w:cs="Times New Roman"/>
                <w:color w:val="000000" w:themeColor="text1"/>
                <w:lang w:val="ro-MD"/>
              </w:rPr>
              <w:t xml:space="preserve"> tuturor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iilor aferente instrumentelor f</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op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ionalitate.</w:t>
            </w:r>
          </w:p>
          <w:p w14:paraId="29113F66" w14:textId="306C5BC1" w:rsidR="00D12468" w:rsidRPr="00C011B2" w:rsidRDefault="004B522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109. </w:t>
            </w:r>
            <w:r w:rsidR="00D12468" w:rsidRPr="00C011B2">
              <w:rPr>
                <w:rFonts w:ascii="Times New Roman" w:hAnsi="Times New Roman" w:cs="Times New Roman"/>
                <w:color w:val="000000" w:themeColor="text1"/>
                <w:lang w:val="ro-MD"/>
              </w:rPr>
              <w:t xml:space="preserve">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care alege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utilizeze abordarea prev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zut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pct.108</w:t>
            </w:r>
            <w:r w:rsidR="00D12468" w:rsidRPr="00C011B2">
              <w:rPr>
                <w:rFonts w:ascii="Times New Roman" w:hAnsi="Times New Roman" w:cs="Times New Roman"/>
                <w:color w:val="000000" w:themeColor="text1"/>
                <w:lang w:val="ro-MD"/>
              </w:rPr>
              <w:t xml:space="preserve"> notific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acest lucru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cu cel pu</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in trei luni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nainte de prima utilizare. Dup</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ce au trecut cele trei luni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i cu condi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ia ca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nu fi ridicat obiec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ii,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poate utiliza aceast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abordare p</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n</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 xml:space="preserve">nd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o informeaz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nu i se mai permite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fac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acest lucru.</w:t>
            </w:r>
          </w:p>
          <w:p w14:paraId="46184FC2" w14:textId="5E806ED2" w:rsidR="00D12468" w:rsidRPr="00C011B2" w:rsidRDefault="004B522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110. </w:t>
            </w:r>
            <w:r w:rsidR="00D12468" w:rsidRPr="00C011B2">
              <w:rPr>
                <w:rFonts w:ascii="Times New Roman" w:hAnsi="Times New Roman" w:cs="Times New Roman"/>
                <w:color w:val="000000" w:themeColor="text1"/>
                <w:lang w:val="ro-MD"/>
              </w:rPr>
              <w:t xml:space="preserve">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care dore</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te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nu mai utilizeze abordarea prev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zut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la </w:t>
            </w:r>
            <w:r w:rsidRPr="00C011B2">
              <w:rPr>
                <w:rFonts w:ascii="Times New Roman" w:hAnsi="Times New Roman" w:cs="Times New Roman"/>
                <w:color w:val="000000" w:themeColor="text1"/>
                <w:lang w:val="ro-MD"/>
              </w:rPr>
              <w:t>pct.108</w:t>
            </w:r>
            <w:r w:rsidR="00D12468" w:rsidRPr="00C011B2">
              <w:rPr>
                <w:rFonts w:ascii="Times New Roman" w:hAnsi="Times New Roman" w:cs="Times New Roman"/>
                <w:color w:val="000000" w:themeColor="text1"/>
                <w:lang w:val="ro-MD"/>
              </w:rPr>
              <w:t xml:space="preserve"> trebuie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notifice acest lucru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cu cel pu</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in trei luni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 xml:space="preserve">nainte de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ncetarea utiliz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rii.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poate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nceta 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aplice aceast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abordare dac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nu a ridicat obiec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acest termen de trei luni.</w:t>
            </w:r>
            <w:bookmarkEnd w:id="128"/>
          </w:p>
        </w:tc>
        <w:tc>
          <w:tcPr>
            <w:tcW w:w="450" w:type="pct"/>
          </w:tcPr>
          <w:p w14:paraId="2DB8A580" w14:textId="16FFF6F2" w:rsidR="00D12468" w:rsidRPr="00C011B2" w:rsidRDefault="004B5222"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FB1DD6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75149CC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302D617"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▼M8</w:t>
            </w:r>
          </w:p>
          <w:p w14:paraId="6EDBFD3B"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325f</w:t>
            </w:r>
          </w:p>
          <w:p w14:paraId="67C21834" w14:textId="088EA83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Cerinţele de fonduri proprii pentru riscurile delta și vega</w:t>
            </w:r>
          </w:p>
        </w:tc>
        <w:tc>
          <w:tcPr>
            <w:tcW w:w="1692" w:type="pct"/>
            <w:shd w:val="clear" w:color="auto" w:fill="auto"/>
          </w:tcPr>
          <w:p w14:paraId="1C27662C" w14:textId="7140E564" w:rsidR="00D12468" w:rsidRPr="00C011B2" w:rsidRDefault="004B5222" w:rsidP="00D12468">
            <w:pPr>
              <w:spacing w:after="0" w:line="276" w:lineRule="auto"/>
              <w:jc w:val="both"/>
              <w:rPr>
                <w:rFonts w:ascii="Times New Roman" w:hAnsi="Times New Roman" w:cs="Times New Roman"/>
                <w:color w:val="000000" w:themeColor="text1"/>
                <w:lang w:val="ro-MD"/>
              </w:rPr>
            </w:pPr>
            <w:bookmarkStart w:id="129" w:name="_Hlk222841943"/>
            <w:r w:rsidRPr="00C011B2">
              <w:rPr>
                <w:rFonts w:ascii="Times New Roman" w:hAnsi="Times New Roman" w:cs="Times New Roman"/>
                <w:b/>
                <w:bCs/>
                <w:i/>
                <w:iCs/>
                <w:color w:val="000000" w:themeColor="text1"/>
                <w:lang w:val="ro-MD"/>
              </w:rPr>
              <w:t>Subsecţiunea</w:t>
            </w:r>
            <w:r w:rsidRPr="00C011B2" w:rsidDel="004B5222">
              <w:rPr>
                <w:rFonts w:ascii="Times New Roman" w:hAnsi="Times New Roman" w:cs="Times New Roman"/>
                <w:b/>
                <w:bCs/>
                <w:i/>
                <w:iCs/>
                <w:color w:val="000000" w:themeColor="text1"/>
                <w:lang w:val="ro-MD"/>
              </w:rPr>
              <w:t xml:space="preserve"> </w:t>
            </w:r>
            <w:r w:rsidRPr="00C011B2">
              <w:rPr>
                <w:rFonts w:ascii="Times New Roman" w:hAnsi="Times New Roman" w:cs="Times New Roman"/>
                <w:b/>
                <w:bCs/>
                <w:i/>
                <w:iCs/>
                <w:color w:val="000000" w:themeColor="text1"/>
                <w:lang w:val="ro-MD"/>
              </w:rPr>
              <w:t>3</w:t>
            </w:r>
            <w:r w:rsidRPr="00C011B2">
              <w:rPr>
                <w:rFonts w:ascii="Times New Roman" w:hAnsi="Times New Roman" w:cs="Times New Roman"/>
                <w:i/>
                <w:iCs/>
                <w:color w:val="000000" w:themeColor="text1"/>
                <w:lang w:val="ro-MD"/>
              </w:rPr>
              <w:t>.</w:t>
            </w:r>
            <w:r w:rsidR="00D12468" w:rsidRPr="00C011B2">
              <w:rPr>
                <w:rFonts w:ascii="Times New Roman" w:hAnsi="Times New Roman" w:cs="Times New Roman"/>
                <w:b/>
                <w:bCs/>
                <w:color w:val="000000" w:themeColor="text1"/>
                <w:lang w:val="ro-MD"/>
              </w:rPr>
              <w:t>Cerinţele de fonduri proprii pentru riscurile delta și vega</w:t>
            </w:r>
            <w:bookmarkEnd w:id="129"/>
          </w:p>
        </w:tc>
        <w:tc>
          <w:tcPr>
            <w:tcW w:w="450" w:type="pct"/>
          </w:tcPr>
          <w:p w14:paraId="2E87735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1D5F88E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F64473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C1248C2" w14:textId="39E674B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aplic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factorii de risc delta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vega descri</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3 subsec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1 pentru a calcula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ele de fonduri proprii pentru riscurile vega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delta.</w:t>
            </w:r>
          </w:p>
        </w:tc>
        <w:tc>
          <w:tcPr>
            <w:tcW w:w="1692" w:type="pct"/>
            <w:shd w:val="clear" w:color="auto" w:fill="auto"/>
          </w:tcPr>
          <w:p w14:paraId="247E1F68" w14:textId="3957AF32" w:rsidR="00D12468" w:rsidRPr="00C011B2" w:rsidRDefault="00377AB3" w:rsidP="00D12468">
            <w:pPr>
              <w:spacing w:after="0" w:line="276" w:lineRule="auto"/>
              <w:jc w:val="both"/>
              <w:rPr>
                <w:rFonts w:ascii="Times New Roman" w:hAnsi="Times New Roman" w:cs="Times New Roman"/>
                <w:color w:val="000000" w:themeColor="text1"/>
                <w:lang w:val="ro-MD"/>
              </w:rPr>
            </w:pPr>
            <w:bookmarkStart w:id="130" w:name="_Hlk222842849"/>
            <w:r w:rsidRPr="00C011B2">
              <w:rPr>
                <w:rFonts w:ascii="Times New Roman" w:hAnsi="Times New Roman" w:cs="Times New Roman"/>
                <w:color w:val="000000" w:themeColor="text1"/>
                <w:lang w:val="ro-MD"/>
              </w:rPr>
              <w:t>111.</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aplic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factorii de risc delta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i vega descri</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 xml:space="preserve">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3 subsec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1 pentru a calcula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ele de fonduri proprii pentru riscurile vega </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i delta.</w:t>
            </w:r>
            <w:bookmarkEnd w:id="130"/>
          </w:p>
        </w:tc>
        <w:tc>
          <w:tcPr>
            <w:tcW w:w="450" w:type="pct"/>
          </w:tcPr>
          <w:p w14:paraId="1587A5F6" w14:textId="5C5434DD" w:rsidR="00D12468" w:rsidRPr="00C011B2" w:rsidRDefault="00377AB3"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FF6854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3F59CD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AA9CD77" w14:textId="71BD3C0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aplic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procesul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 la alineatele (3)-(8) pentru a calcula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ele de fonduri proprii pentru riscurile delta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vega.</w:t>
            </w:r>
          </w:p>
        </w:tc>
        <w:tc>
          <w:tcPr>
            <w:tcW w:w="1692" w:type="pct"/>
            <w:shd w:val="clear" w:color="auto" w:fill="auto"/>
          </w:tcPr>
          <w:p w14:paraId="1F3C199C" w14:textId="518A57A6" w:rsidR="00D12468" w:rsidRPr="00C011B2" w:rsidRDefault="00377AB3" w:rsidP="00D12468">
            <w:pPr>
              <w:spacing w:after="0" w:line="276" w:lineRule="auto"/>
              <w:jc w:val="both"/>
              <w:rPr>
                <w:rFonts w:ascii="Times New Roman" w:hAnsi="Times New Roman" w:cs="Times New Roman"/>
                <w:color w:val="000000" w:themeColor="text1"/>
                <w:lang w:val="ro-MD"/>
              </w:rPr>
            </w:pPr>
            <w:bookmarkStart w:id="131" w:name="_Hlk222843268"/>
            <w:r w:rsidRPr="00C011B2">
              <w:rPr>
                <w:rFonts w:ascii="Times New Roman" w:hAnsi="Times New Roman" w:cs="Times New Roman"/>
                <w:color w:val="000000" w:themeColor="text1"/>
                <w:lang w:val="ro-MD"/>
              </w:rPr>
              <w:t>112.</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aplic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procesul prev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zut la </w:t>
            </w:r>
            <w:r w:rsidR="00C62C15" w:rsidRPr="00C011B2">
              <w:rPr>
                <w:rFonts w:ascii="Times New Roman" w:hAnsi="Times New Roman" w:cs="Times New Roman"/>
                <w:color w:val="000000" w:themeColor="text1"/>
                <w:lang w:val="ro-MD"/>
              </w:rPr>
              <w:t xml:space="preserve"> </w:t>
            </w:r>
            <w:bookmarkStart w:id="132" w:name="_Hlk224895664"/>
            <w:r w:rsidR="00CB2320" w:rsidRPr="00C011B2">
              <w:rPr>
                <w:rFonts w:ascii="Times New Roman" w:hAnsi="Times New Roman" w:cs="Times New Roman"/>
                <w:color w:val="000000" w:themeColor="text1"/>
                <w:lang w:val="ro-MD"/>
              </w:rPr>
              <w:t xml:space="preserve">pct.113-119 </w:t>
            </w:r>
            <w:bookmarkEnd w:id="132"/>
            <w:r w:rsidR="00D12468" w:rsidRPr="00C011B2">
              <w:rPr>
                <w:rFonts w:ascii="Times New Roman" w:hAnsi="Times New Roman" w:cs="Times New Roman"/>
                <w:color w:val="000000" w:themeColor="text1"/>
                <w:lang w:val="ro-MD"/>
              </w:rPr>
              <w:t>pentru a calcula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ele de fonduri proprii pentru riscurile delta și vega.</w:t>
            </w:r>
            <w:bookmarkEnd w:id="131"/>
          </w:p>
        </w:tc>
        <w:tc>
          <w:tcPr>
            <w:tcW w:w="450" w:type="pct"/>
          </w:tcPr>
          <w:p w14:paraId="5FAF452B" w14:textId="756B8463"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1FD781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4065B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2E7E8D7" w14:textId="389C393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Pentru fiecare clas</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de risc, sensibilitatea tuturor instrumentelor care fac obiectul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elor de fonduri proprii pentru riscurile delta sau vega fa</w:t>
            </w:r>
            <w:r w:rsidRPr="00C011B2">
              <w:rPr>
                <w:rFonts w:ascii="Times New Roman" w:hAnsi="Times New Roman" w:cs="Times New Roman" w:hint="eastAsia"/>
                <w:color w:val="000000" w:themeColor="text1"/>
                <w:lang w:val="ro-MD"/>
              </w:rPr>
              <w:t>ţă</w:t>
            </w:r>
            <w:r w:rsidRPr="00C011B2">
              <w:rPr>
                <w:rFonts w:ascii="Times New Roman" w:hAnsi="Times New Roman" w:cs="Times New Roman"/>
                <w:color w:val="000000" w:themeColor="text1"/>
                <w:lang w:val="ro-MD"/>
              </w:rPr>
              <w:t xml:space="preserve"> de fiecare dintre factorii de risc delta sau vega aplicabili inclu</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 xml:space="preserve">i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clasa de risc respectiv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 calculeaz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utiliz</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 formulele corespunz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 din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3 subsec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 xml:space="preserve">iunea 2.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 cazul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care valoarea unui instrument depinde de mai mul</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factori de risc, sensibilitatea se determin</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separat pentru fiecare factor de risc.</w:t>
            </w:r>
          </w:p>
        </w:tc>
        <w:tc>
          <w:tcPr>
            <w:tcW w:w="1692" w:type="pct"/>
            <w:shd w:val="clear" w:color="auto" w:fill="auto"/>
          </w:tcPr>
          <w:p w14:paraId="65DC4D94" w14:textId="4351493B" w:rsidR="00D12468" w:rsidRPr="00C011B2" w:rsidRDefault="00D475A8" w:rsidP="00D12468">
            <w:pPr>
              <w:spacing w:after="0" w:line="276" w:lineRule="auto"/>
              <w:jc w:val="both"/>
              <w:rPr>
                <w:rFonts w:ascii="Times New Roman" w:hAnsi="Times New Roman" w:cs="Times New Roman"/>
                <w:color w:val="000000" w:themeColor="text1"/>
                <w:lang w:val="ro-MD"/>
              </w:rPr>
            </w:pPr>
            <w:bookmarkStart w:id="133" w:name="_Hlk222843340"/>
            <w:r w:rsidRPr="00C011B2">
              <w:rPr>
                <w:rFonts w:ascii="Times New Roman" w:hAnsi="Times New Roman" w:cs="Times New Roman"/>
                <w:color w:val="000000" w:themeColor="text1"/>
                <w:lang w:val="ro-MD"/>
              </w:rPr>
              <w:t>113.</w:t>
            </w:r>
            <w:r w:rsidR="00D12468" w:rsidRPr="00C011B2">
              <w:rPr>
                <w:rFonts w:ascii="Times New Roman" w:hAnsi="Times New Roman" w:cs="Times New Roman"/>
                <w:color w:val="000000" w:themeColor="text1"/>
                <w:lang w:val="ro-MD"/>
              </w:rPr>
              <w:t xml:space="preserve"> Pentru fiecare clas</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de risc, sensibilitatea tuturor instrumentelor care fac obiectul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elor de fonduri proprii pentru riscurile delta sau vega fa</w:t>
            </w:r>
            <w:r w:rsidR="00D12468" w:rsidRPr="00C011B2">
              <w:rPr>
                <w:rFonts w:ascii="Times New Roman" w:hAnsi="Times New Roman" w:cs="Times New Roman" w:hint="eastAsia"/>
                <w:color w:val="000000" w:themeColor="text1"/>
                <w:lang w:val="ro-MD"/>
              </w:rPr>
              <w:t>ţă</w:t>
            </w:r>
            <w:r w:rsidR="00D12468" w:rsidRPr="00C011B2">
              <w:rPr>
                <w:rFonts w:ascii="Times New Roman" w:hAnsi="Times New Roman" w:cs="Times New Roman"/>
                <w:color w:val="000000" w:themeColor="text1"/>
                <w:lang w:val="ro-MD"/>
              </w:rPr>
              <w:t xml:space="preserve"> de fiecare dintre factorii de risc delta sau vega aplicabili inclu</w:t>
            </w:r>
            <w:r w:rsidR="00D12468" w:rsidRPr="00C011B2">
              <w:rPr>
                <w:rFonts w:ascii="Times New Roman" w:hAnsi="Times New Roman" w:cs="Times New Roman" w:hint="eastAsia"/>
                <w:color w:val="000000" w:themeColor="text1"/>
                <w:lang w:val="ro-MD"/>
              </w:rPr>
              <w:t>ș</w:t>
            </w:r>
            <w:r w:rsidR="00D12468" w:rsidRPr="00C011B2">
              <w:rPr>
                <w:rFonts w:ascii="Times New Roman" w:hAnsi="Times New Roman" w:cs="Times New Roman"/>
                <w:color w:val="000000" w:themeColor="text1"/>
                <w:lang w:val="ro-MD"/>
              </w:rPr>
              <w:t xml:space="preserve">i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clasa de risc respectiv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se calculeaz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utiliz</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nd formulele corespunz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toare din 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3 subsec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 xml:space="preserve">iunea 2.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 xml:space="preserve">n cazul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care valoarea unui instrument depinde de mai mul</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factori de risc, sensibilitatea se determin</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separat pentru fiecare factor de risc.</w:t>
            </w:r>
            <w:bookmarkEnd w:id="133"/>
          </w:p>
        </w:tc>
        <w:tc>
          <w:tcPr>
            <w:tcW w:w="450" w:type="pct"/>
          </w:tcPr>
          <w:p w14:paraId="4F991FED" w14:textId="5DB5AACA"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06A95E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B27017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C568FA" w14:textId="65BE1F3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ile sunt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ncadrate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 xml:space="preserve">ntr-una dintre benzile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b</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din cadrul fiec</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rei clase de risc.</w:t>
            </w:r>
          </w:p>
        </w:tc>
        <w:tc>
          <w:tcPr>
            <w:tcW w:w="1692" w:type="pct"/>
            <w:shd w:val="clear" w:color="auto" w:fill="auto"/>
          </w:tcPr>
          <w:p w14:paraId="58592565" w14:textId="207332AE" w:rsidR="00D12468" w:rsidRPr="00C011B2" w:rsidRDefault="00557463" w:rsidP="00D12468">
            <w:pPr>
              <w:spacing w:after="0" w:line="276" w:lineRule="auto"/>
              <w:jc w:val="both"/>
              <w:rPr>
                <w:rFonts w:ascii="Times New Roman" w:hAnsi="Times New Roman" w:cs="Times New Roman"/>
                <w:color w:val="000000" w:themeColor="text1"/>
                <w:lang w:val="ro-MD"/>
              </w:rPr>
            </w:pPr>
            <w:bookmarkStart w:id="134" w:name="_Hlk222843374"/>
            <w:r w:rsidRPr="00C011B2">
              <w:rPr>
                <w:rFonts w:ascii="Times New Roman" w:hAnsi="Times New Roman" w:cs="Times New Roman"/>
                <w:color w:val="000000" w:themeColor="text1"/>
                <w:lang w:val="ro-MD"/>
              </w:rPr>
              <w:t>114.</w:t>
            </w:r>
            <w:r w:rsidR="00D12468" w:rsidRPr="00C011B2">
              <w:rPr>
                <w:rFonts w:ascii="Times New Roman" w:hAnsi="Times New Roman" w:cs="Times New Roman"/>
                <w:color w:val="000000" w:themeColor="text1"/>
                <w:lang w:val="ro-MD"/>
              </w:rPr>
              <w:t xml:space="preserve"> Sensibilit</w:t>
            </w:r>
            <w:r w:rsidR="00D12468" w:rsidRPr="00C011B2">
              <w:rPr>
                <w:rFonts w:ascii="Times New Roman" w:hAnsi="Times New Roman" w:cs="Times New Roman" w:hint="eastAsia"/>
                <w:color w:val="000000" w:themeColor="text1"/>
                <w:lang w:val="ro-MD"/>
              </w:rPr>
              <w:t>ăţ</w:t>
            </w:r>
            <w:r w:rsidR="00D12468" w:rsidRPr="00C011B2">
              <w:rPr>
                <w:rFonts w:ascii="Times New Roman" w:hAnsi="Times New Roman" w:cs="Times New Roman"/>
                <w:color w:val="000000" w:themeColor="text1"/>
                <w:lang w:val="ro-MD"/>
              </w:rPr>
              <w:t xml:space="preserve">ile sunt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 xml:space="preserve">ncadrate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 xml:space="preserve">ntr-una dintre benzile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b</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din cadrul fiec</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rei clase de risc.</w:t>
            </w:r>
            <w:bookmarkEnd w:id="134"/>
          </w:p>
        </w:tc>
        <w:tc>
          <w:tcPr>
            <w:tcW w:w="450" w:type="pct"/>
          </w:tcPr>
          <w:p w14:paraId="6EFC8714" w14:textId="53CE5D6E"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8D6FFF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56E750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B9BB53" w14:textId="507D2DB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fiecare band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b</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ile pozitive </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negative la acela</w:t>
            </w:r>
            <w:r w:rsidRPr="00C011B2">
              <w:rPr>
                <w:rFonts w:ascii="Times New Roman" w:hAnsi="Times New Roman" w:cs="Times New Roman" w:hint="eastAsia"/>
                <w:color w:val="000000" w:themeColor="text1"/>
                <w:lang w:val="ro-MD"/>
              </w:rPr>
              <w:t>ș</w:t>
            </w:r>
            <w:r w:rsidRPr="00C011B2">
              <w:rPr>
                <w:rFonts w:ascii="Times New Roman" w:hAnsi="Times New Roman" w:cs="Times New Roman"/>
                <w:color w:val="000000" w:themeColor="text1"/>
                <w:lang w:val="ro-MD"/>
              </w:rPr>
              <w:t>i factor de risc se compenseaz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lastRenderedPageBreak/>
              <w:t>ob</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ndu-se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ile nete (s k ) la fiecare factor de risc </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k</w:t>
            </w:r>
            <w:r w:rsidRPr="00C011B2">
              <w:rPr>
                <w:rFonts w:ascii="Times New Roman" w:hAnsi="Times New Roman" w:cs="Times New Roman" w:hint="eastAsia"/>
                <w:color w:val="000000" w:themeColor="text1"/>
                <w:lang w:val="ro-MD"/>
              </w:rPr>
              <w:t>”</w:t>
            </w:r>
            <w:r w:rsidRPr="00C011B2">
              <w:rPr>
                <w:rFonts w:ascii="Times New Roman" w:hAnsi="Times New Roman" w:cs="Times New Roman"/>
                <w:color w:val="000000" w:themeColor="text1"/>
                <w:lang w:val="ro-MD"/>
              </w:rPr>
              <w:t xml:space="preserve"> din cadrul unei benzi.</w:t>
            </w:r>
          </w:p>
        </w:tc>
        <w:tc>
          <w:tcPr>
            <w:tcW w:w="1692" w:type="pct"/>
            <w:shd w:val="clear" w:color="auto" w:fill="auto"/>
          </w:tcPr>
          <w:p w14:paraId="3254200B" w14:textId="7E6BF34E"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35" w:name="_Hlk222906191"/>
            <w:r w:rsidRPr="00C011B2">
              <w:rPr>
                <w:rFonts w:ascii="Times New Roman" w:hAnsi="Times New Roman" w:cs="Times New Roman"/>
                <w:color w:val="000000" w:themeColor="text1"/>
                <w:lang w:val="ro-MD"/>
              </w:rPr>
              <w:lastRenderedPageBreak/>
              <w:t>115.</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fiecare band</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b</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sensibilit</w:t>
            </w:r>
            <w:r w:rsidR="00D12468" w:rsidRPr="00C011B2">
              <w:rPr>
                <w:rFonts w:ascii="Times New Roman" w:hAnsi="Times New Roman" w:cs="Times New Roman" w:hint="eastAsia"/>
                <w:color w:val="000000" w:themeColor="text1"/>
                <w:lang w:val="ro-MD"/>
              </w:rPr>
              <w:t>ăţ</w:t>
            </w:r>
            <w:r w:rsidR="00D12468" w:rsidRPr="00C011B2">
              <w:rPr>
                <w:rFonts w:ascii="Times New Roman" w:hAnsi="Times New Roman" w:cs="Times New Roman"/>
                <w:color w:val="000000" w:themeColor="text1"/>
                <w:lang w:val="ro-MD"/>
              </w:rPr>
              <w:t>ile pozitive și negative la același factor de risc se compenseaz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color w:val="000000" w:themeColor="text1"/>
                <w:lang w:val="ro-MD"/>
              </w:rPr>
              <w:lastRenderedPageBreak/>
              <w:t>ob</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in</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ndu-se sensibilit</w:t>
            </w:r>
            <w:r w:rsidR="00D12468" w:rsidRPr="00C011B2">
              <w:rPr>
                <w:rFonts w:ascii="Times New Roman" w:hAnsi="Times New Roman" w:cs="Times New Roman" w:hint="eastAsia"/>
                <w:color w:val="000000" w:themeColor="text1"/>
                <w:lang w:val="ro-MD"/>
              </w:rPr>
              <w:t>ăţ</w:t>
            </w:r>
            <w:r w:rsidR="00D12468" w:rsidRPr="00C011B2">
              <w:rPr>
                <w:rFonts w:ascii="Times New Roman" w:hAnsi="Times New Roman" w:cs="Times New Roman"/>
                <w:color w:val="000000" w:themeColor="text1"/>
                <w:lang w:val="ro-MD"/>
              </w:rPr>
              <w:t xml:space="preserve">ile nete (s k ) la fiecare factor de risc </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k</w:t>
            </w:r>
            <w:r w:rsidR="00D12468" w:rsidRPr="00C011B2">
              <w:rPr>
                <w:rFonts w:ascii="Times New Roman" w:hAnsi="Times New Roman" w:cs="Times New Roman" w:hint="eastAsia"/>
                <w:color w:val="000000" w:themeColor="text1"/>
                <w:lang w:val="ro-MD"/>
              </w:rPr>
              <w:t>”</w:t>
            </w:r>
            <w:r w:rsidR="00D12468" w:rsidRPr="00C011B2">
              <w:rPr>
                <w:rFonts w:ascii="Times New Roman" w:hAnsi="Times New Roman" w:cs="Times New Roman"/>
                <w:color w:val="000000" w:themeColor="text1"/>
                <w:lang w:val="ro-MD"/>
              </w:rPr>
              <w:t xml:space="preserve"> din cadrul unei benzi.</w:t>
            </w:r>
            <w:bookmarkEnd w:id="135"/>
          </w:p>
        </w:tc>
        <w:tc>
          <w:tcPr>
            <w:tcW w:w="450" w:type="pct"/>
          </w:tcPr>
          <w:p w14:paraId="605E0502" w14:textId="24118202"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1F314B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47AFAA5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272ED2F" w14:textId="0D9DF3F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ile nete la fiecare factor de risc din fiecare band</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se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nmul</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esc cu ponderile de risc corespunz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zute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sec</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iunea 6, ob</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w:t>
            </w:r>
            <w:r w:rsidRPr="00C011B2">
              <w:rPr>
                <w:rFonts w:ascii="Times New Roman" w:hAnsi="Times New Roman" w:cs="Times New Roman" w:hint="eastAsia"/>
                <w:color w:val="000000" w:themeColor="text1"/>
                <w:lang w:val="ro-MD"/>
              </w:rPr>
              <w:t>â</w:t>
            </w:r>
            <w:r w:rsidRPr="00C011B2">
              <w:rPr>
                <w:rFonts w:ascii="Times New Roman" w:hAnsi="Times New Roman" w:cs="Times New Roman"/>
                <w:color w:val="000000" w:themeColor="text1"/>
                <w:lang w:val="ro-MD"/>
              </w:rPr>
              <w:t>ndu-se sensibilit</w:t>
            </w:r>
            <w:r w:rsidRPr="00C011B2">
              <w:rPr>
                <w:rFonts w:ascii="Times New Roman" w:hAnsi="Times New Roman" w:cs="Times New Roman" w:hint="eastAsia"/>
                <w:color w:val="000000" w:themeColor="text1"/>
                <w:lang w:val="ro-MD"/>
              </w:rPr>
              <w:t>ăţ</w:t>
            </w:r>
            <w:r w:rsidRPr="00C011B2">
              <w:rPr>
                <w:rFonts w:ascii="Times New Roman" w:hAnsi="Times New Roman" w:cs="Times New Roman"/>
                <w:color w:val="000000" w:themeColor="text1"/>
                <w:lang w:val="ro-MD"/>
              </w:rPr>
              <w:t xml:space="preserve">ile ponderate la fiecare factor de risc din cadrul benzii respective </w:t>
            </w:r>
            <w:r w:rsidRPr="00C011B2">
              <w:rPr>
                <w:rFonts w:ascii="Times New Roman" w:hAnsi="Times New Roman" w:cs="Times New Roman" w:hint="eastAsia"/>
                <w:color w:val="000000" w:themeColor="text1"/>
                <w:lang w:val="ro-MD"/>
              </w:rPr>
              <w:t>î</w:t>
            </w:r>
            <w:r w:rsidRPr="00C011B2">
              <w:rPr>
                <w:rFonts w:ascii="Times New Roman" w:hAnsi="Times New Roman" w:cs="Times New Roman"/>
                <w:color w:val="000000" w:themeColor="text1"/>
                <w:lang w:val="ro-MD"/>
              </w:rPr>
              <w:t>n conformitate cu urm</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toarea formul</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w:t>
            </w:r>
          </w:p>
          <w:p w14:paraId="7CC1F91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 RW</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 s</w:t>
            </w:r>
            <w:r w:rsidRPr="00C011B2">
              <w:rPr>
                <w:rFonts w:ascii="Times New Roman" w:hAnsi="Times New Roman" w:cs="Times New Roman"/>
                <w:color w:val="000000" w:themeColor="text1"/>
                <w:vertAlign w:val="subscript"/>
                <w:lang w:val="ro-MD"/>
              </w:rPr>
              <w:t>k</w:t>
            </w:r>
          </w:p>
          <w:p w14:paraId="387D41F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626"/>
              <w:gridCol w:w="216"/>
              <w:gridCol w:w="3970"/>
            </w:tblGrid>
            <w:tr w:rsidR="00D12468" w:rsidRPr="00C011B2" w14:paraId="5371F62A" w14:textId="77777777" w:rsidTr="009F091D">
              <w:tc>
                <w:tcPr>
                  <w:tcW w:w="1248" w:type="dxa"/>
                  <w:shd w:val="clear" w:color="auto" w:fill="auto"/>
                  <w:hideMark/>
                </w:tcPr>
                <w:p w14:paraId="3858888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p>
              </w:tc>
              <w:tc>
                <w:tcPr>
                  <w:tcW w:w="417" w:type="dxa"/>
                  <w:shd w:val="clear" w:color="auto" w:fill="auto"/>
                  <w:hideMark/>
                </w:tcPr>
                <w:p w14:paraId="3779ACA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024" w:type="dxa"/>
                  <w:shd w:val="clear" w:color="auto" w:fill="auto"/>
                  <w:hideMark/>
                </w:tcPr>
                <w:p w14:paraId="51E1832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ponderate;</w:t>
                  </w:r>
                </w:p>
              </w:tc>
            </w:tr>
          </w:tbl>
          <w:p w14:paraId="55FD988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807"/>
              <w:gridCol w:w="257"/>
              <w:gridCol w:w="3748"/>
            </w:tblGrid>
            <w:tr w:rsidR="00D12468" w:rsidRPr="00C011B2" w14:paraId="035EE085" w14:textId="77777777" w:rsidTr="009F091D">
              <w:tc>
                <w:tcPr>
                  <w:tcW w:w="1613" w:type="dxa"/>
                  <w:shd w:val="clear" w:color="auto" w:fill="auto"/>
                  <w:hideMark/>
                </w:tcPr>
                <w:p w14:paraId="7CD142C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w:t>
                  </w:r>
                  <w:r w:rsidRPr="00C011B2">
                    <w:rPr>
                      <w:rFonts w:ascii="Times New Roman" w:hAnsi="Times New Roman" w:cs="Times New Roman"/>
                      <w:color w:val="000000" w:themeColor="text1"/>
                      <w:vertAlign w:val="subscript"/>
                      <w:lang w:val="ro-MD"/>
                    </w:rPr>
                    <w:t>k</w:t>
                  </w:r>
                </w:p>
              </w:tc>
              <w:tc>
                <w:tcPr>
                  <w:tcW w:w="501" w:type="dxa"/>
                  <w:shd w:val="clear" w:color="auto" w:fill="auto"/>
                  <w:hideMark/>
                </w:tcPr>
                <w:p w14:paraId="02FB3D3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575" w:type="dxa"/>
                  <w:shd w:val="clear" w:color="auto" w:fill="auto"/>
                  <w:hideMark/>
                </w:tcPr>
                <w:p w14:paraId="7B68ED2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ponderile de risc; și</w:t>
                  </w:r>
                </w:p>
              </w:tc>
            </w:tr>
          </w:tbl>
          <w:p w14:paraId="69D7EF5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35"/>
              <w:gridCol w:w="362"/>
              <w:gridCol w:w="4015"/>
            </w:tblGrid>
            <w:tr w:rsidR="00D12468" w:rsidRPr="00C011B2" w14:paraId="3AB77DA8" w14:textId="77777777" w:rsidTr="009F091D">
              <w:tc>
                <w:tcPr>
                  <w:tcW w:w="861" w:type="dxa"/>
                  <w:shd w:val="clear" w:color="auto" w:fill="auto"/>
                  <w:hideMark/>
                </w:tcPr>
                <w:p w14:paraId="1C067A3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712" w:type="dxa"/>
                  <w:shd w:val="clear" w:color="auto" w:fill="auto"/>
                  <w:hideMark/>
                </w:tcPr>
                <w:p w14:paraId="3F8C132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16" w:type="dxa"/>
                  <w:shd w:val="clear" w:color="auto" w:fill="auto"/>
                  <w:hideMark/>
                </w:tcPr>
                <w:p w14:paraId="7BC7CAA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factorii de risc.</w:t>
                  </w:r>
                </w:p>
              </w:tc>
            </w:tr>
          </w:tbl>
          <w:p w14:paraId="06900191" w14:textId="689D515D"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15964A3E" w14:textId="0E61FD16"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36" w:name="_Hlk222906267"/>
            <w:r w:rsidRPr="00C011B2">
              <w:rPr>
                <w:rFonts w:ascii="Times New Roman" w:hAnsi="Times New Roman" w:cs="Times New Roman"/>
                <w:color w:val="000000" w:themeColor="text1"/>
                <w:lang w:val="ro-MD"/>
              </w:rPr>
              <w:t>116.</w:t>
            </w:r>
            <w:r w:rsidR="00D12468" w:rsidRPr="00C011B2">
              <w:rPr>
                <w:rFonts w:ascii="Times New Roman" w:hAnsi="Times New Roman" w:cs="Times New Roman"/>
                <w:color w:val="000000" w:themeColor="text1"/>
                <w:lang w:val="ro-MD"/>
              </w:rPr>
              <w:t xml:space="preserve"> Sensibilit</w:t>
            </w:r>
            <w:r w:rsidR="00D12468" w:rsidRPr="00C011B2">
              <w:rPr>
                <w:rFonts w:ascii="Times New Roman" w:hAnsi="Times New Roman" w:cs="Times New Roman" w:hint="eastAsia"/>
                <w:color w:val="000000" w:themeColor="text1"/>
                <w:lang w:val="ro-MD"/>
              </w:rPr>
              <w:t>ăţ</w:t>
            </w:r>
            <w:r w:rsidR="00D12468" w:rsidRPr="00C011B2">
              <w:rPr>
                <w:rFonts w:ascii="Times New Roman" w:hAnsi="Times New Roman" w:cs="Times New Roman"/>
                <w:color w:val="000000" w:themeColor="text1"/>
                <w:lang w:val="ro-MD"/>
              </w:rPr>
              <w:t>ile nete la fiecare factor de risc din fiecare band</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se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nmul</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esc cu ponderile de risc corespunz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toare prev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zute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sec</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iunea 6, ob</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in</w:t>
            </w:r>
            <w:r w:rsidR="00D12468" w:rsidRPr="00C011B2">
              <w:rPr>
                <w:rFonts w:ascii="Times New Roman" w:hAnsi="Times New Roman" w:cs="Times New Roman" w:hint="eastAsia"/>
                <w:color w:val="000000" w:themeColor="text1"/>
                <w:lang w:val="ro-MD"/>
              </w:rPr>
              <w:t>â</w:t>
            </w:r>
            <w:r w:rsidR="00D12468" w:rsidRPr="00C011B2">
              <w:rPr>
                <w:rFonts w:ascii="Times New Roman" w:hAnsi="Times New Roman" w:cs="Times New Roman"/>
                <w:color w:val="000000" w:themeColor="text1"/>
                <w:lang w:val="ro-MD"/>
              </w:rPr>
              <w:t>ndu-se sensibilit</w:t>
            </w:r>
            <w:r w:rsidR="00D12468" w:rsidRPr="00C011B2">
              <w:rPr>
                <w:rFonts w:ascii="Times New Roman" w:hAnsi="Times New Roman" w:cs="Times New Roman" w:hint="eastAsia"/>
                <w:color w:val="000000" w:themeColor="text1"/>
                <w:lang w:val="ro-MD"/>
              </w:rPr>
              <w:t>ăţ</w:t>
            </w:r>
            <w:r w:rsidR="00D12468" w:rsidRPr="00C011B2">
              <w:rPr>
                <w:rFonts w:ascii="Times New Roman" w:hAnsi="Times New Roman" w:cs="Times New Roman"/>
                <w:color w:val="000000" w:themeColor="text1"/>
                <w:lang w:val="ro-MD"/>
              </w:rPr>
              <w:t xml:space="preserve">ile ponderate la fiecare factor de risc din cadrul benzii respective </w:t>
            </w:r>
            <w:r w:rsidR="00D12468" w:rsidRPr="00C011B2">
              <w:rPr>
                <w:rFonts w:ascii="Times New Roman" w:hAnsi="Times New Roman" w:cs="Times New Roman" w:hint="eastAsia"/>
                <w:color w:val="000000" w:themeColor="text1"/>
                <w:lang w:val="ro-MD"/>
              </w:rPr>
              <w:t>î</w:t>
            </w:r>
            <w:r w:rsidR="00D12468" w:rsidRPr="00C011B2">
              <w:rPr>
                <w:rFonts w:ascii="Times New Roman" w:hAnsi="Times New Roman" w:cs="Times New Roman"/>
                <w:color w:val="000000" w:themeColor="text1"/>
                <w:lang w:val="ro-MD"/>
              </w:rPr>
              <w:t>n conformitate cu urm</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toarea formul</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w:t>
            </w:r>
          </w:p>
          <w:p w14:paraId="41AADF5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 RW</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 s</w:t>
            </w:r>
            <w:r w:rsidRPr="00C011B2">
              <w:rPr>
                <w:rFonts w:ascii="Times New Roman" w:hAnsi="Times New Roman" w:cs="Times New Roman"/>
                <w:color w:val="000000" w:themeColor="text1"/>
                <w:vertAlign w:val="subscript"/>
                <w:lang w:val="ro-MD"/>
              </w:rPr>
              <w:t>k</w:t>
            </w:r>
          </w:p>
          <w:p w14:paraId="534652D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664"/>
              <w:gridCol w:w="228"/>
              <w:gridCol w:w="4219"/>
            </w:tblGrid>
            <w:tr w:rsidR="00D12468" w:rsidRPr="00C011B2" w14:paraId="5974FAD8" w14:textId="77777777" w:rsidTr="001E785F">
              <w:tc>
                <w:tcPr>
                  <w:tcW w:w="1248" w:type="dxa"/>
                  <w:shd w:val="clear" w:color="auto" w:fill="auto"/>
                  <w:hideMark/>
                </w:tcPr>
                <w:p w14:paraId="4BE4B3D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p>
              </w:tc>
              <w:tc>
                <w:tcPr>
                  <w:tcW w:w="417" w:type="dxa"/>
                  <w:shd w:val="clear" w:color="auto" w:fill="auto"/>
                  <w:hideMark/>
                </w:tcPr>
                <w:p w14:paraId="1FD4C9C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024" w:type="dxa"/>
                  <w:shd w:val="clear" w:color="auto" w:fill="auto"/>
                  <w:hideMark/>
                </w:tcPr>
                <w:p w14:paraId="414D9C6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ponderate;</w:t>
                  </w:r>
                </w:p>
              </w:tc>
            </w:tr>
          </w:tbl>
          <w:p w14:paraId="77C826DA"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856"/>
              <w:gridCol w:w="272"/>
              <w:gridCol w:w="3983"/>
            </w:tblGrid>
            <w:tr w:rsidR="00D12468" w:rsidRPr="00C011B2" w14:paraId="0BD173D3" w14:textId="77777777" w:rsidTr="001E785F">
              <w:tc>
                <w:tcPr>
                  <w:tcW w:w="1613" w:type="dxa"/>
                  <w:shd w:val="clear" w:color="auto" w:fill="auto"/>
                  <w:hideMark/>
                </w:tcPr>
                <w:p w14:paraId="5487791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w:t>
                  </w:r>
                  <w:r w:rsidRPr="00C011B2">
                    <w:rPr>
                      <w:rFonts w:ascii="Times New Roman" w:hAnsi="Times New Roman" w:cs="Times New Roman"/>
                      <w:color w:val="000000" w:themeColor="text1"/>
                      <w:vertAlign w:val="subscript"/>
                      <w:lang w:val="ro-MD"/>
                    </w:rPr>
                    <w:t>k</w:t>
                  </w:r>
                </w:p>
              </w:tc>
              <w:tc>
                <w:tcPr>
                  <w:tcW w:w="501" w:type="dxa"/>
                  <w:shd w:val="clear" w:color="auto" w:fill="auto"/>
                  <w:hideMark/>
                </w:tcPr>
                <w:p w14:paraId="6C3D905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575" w:type="dxa"/>
                  <w:shd w:val="clear" w:color="auto" w:fill="auto"/>
                  <w:hideMark/>
                </w:tcPr>
                <w:p w14:paraId="10D6644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ponderile de risc; și</w:t>
                  </w:r>
                </w:p>
              </w:tc>
            </w:tr>
          </w:tbl>
          <w:p w14:paraId="7D552770"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1"/>
              <w:gridCol w:w="383"/>
              <w:gridCol w:w="4267"/>
            </w:tblGrid>
            <w:tr w:rsidR="00D12468" w:rsidRPr="00C011B2" w14:paraId="5CD13302" w14:textId="77777777" w:rsidTr="001E785F">
              <w:tc>
                <w:tcPr>
                  <w:tcW w:w="861" w:type="dxa"/>
                  <w:shd w:val="clear" w:color="auto" w:fill="auto"/>
                  <w:hideMark/>
                </w:tcPr>
                <w:p w14:paraId="46D6DFF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712" w:type="dxa"/>
                  <w:shd w:val="clear" w:color="auto" w:fill="auto"/>
                  <w:hideMark/>
                </w:tcPr>
                <w:p w14:paraId="3C5AA5F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16" w:type="dxa"/>
                  <w:shd w:val="clear" w:color="auto" w:fill="auto"/>
                  <w:hideMark/>
                </w:tcPr>
                <w:p w14:paraId="7C9E37D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factorii de risc.</w:t>
                  </w:r>
                </w:p>
              </w:tc>
            </w:tr>
            <w:bookmarkEnd w:id="136"/>
          </w:tbl>
          <w:p w14:paraId="5D98DE4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4C937EDB" w14:textId="6B3A5789"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1766FE6"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915585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5BD57CF" w14:textId="4C6AD19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Sensibilitățile ponderate la diferiții factori de risc din cadrul fiecărei benzi sunt agregate în conformitate cu formula de mai jos, unde cantitatea din funcția de rădăcină pătrată are un prag de zero, obținându-se sensibilitatea specifică benzii. Se utilizează corelațiile corespunzătoare pentru sensibilitățile ponderate din cadrul aceleiași benzi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prevăzute în secțiunea 6.</w:t>
            </w:r>
          </w:p>
          <w:p w14:paraId="6BDE70BF" w14:textId="530D1DA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9706048" wp14:editId="7A7419C2">
                  <wp:extent cx="3055620" cy="608330"/>
                  <wp:effectExtent l="0" t="0" r="0" b="127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5620" cy="608330"/>
                          </a:xfrm>
                          <a:prstGeom prst="rect">
                            <a:avLst/>
                          </a:prstGeom>
                          <a:noFill/>
                          <a:ln>
                            <a:noFill/>
                          </a:ln>
                        </pic:spPr>
                      </pic:pic>
                    </a:graphicData>
                  </a:graphic>
                </wp:inline>
              </w:drawing>
            </w:r>
          </w:p>
          <w:p w14:paraId="4F98335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290"/>
              <w:gridCol w:w="186"/>
              <w:gridCol w:w="4336"/>
            </w:tblGrid>
            <w:tr w:rsidR="00D12468" w:rsidRPr="00C011B2" w14:paraId="0DCE8046" w14:textId="77777777" w:rsidTr="009F091D">
              <w:tc>
                <w:tcPr>
                  <w:tcW w:w="568" w:type="dxa"/>
                  <w:shd w:val="clear" w:color="auto" w:fill="auto"/>
                  <w:hideMark/>
                </w:tcPr>
                <w:p w14:paraId="1CF6766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K</w:t>
                  </w:r>
                  <w:r w:rsidRPr="00C011B2">
                    <w:rPr>
                      <w:rFonts w:ascii="Times New Roman" w:hAnsi="Times New Roman" w:cs="Times New Roman"/>
                      <w:color w:val="000000" w:themeColor="text1"/>
                      <w:vertAlign w:val="subscript"/>
                      <w:lang w:val="ro-MD"/>
                    </w:rPr>
                    <w:t>b</w:t>
                  </w:r>
                </w:p>
              </w:tc>
              <w:tc>
                <w:tcPr>
                  <w:tcW w:w="356" w:type="dxa"/>
                  <w:shd w:val="clear" w:color="auto" w:fill="auto"/>
                  <w:hideMark/>
                </w:tcPr>
                <w:p w14:paraId="362A546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765" w:type="dxa"/>
                  <w:shd w:val="clear" w:color="auto" w:fill="auto"/>
                  <w:hideMark/>
                </w:tcPr>
                <w:p w14:paraId="10F478E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specifică benzii; și</w:t>
                  </w:r>
                </w:p>
              </w:tc>
            </w:tr>
          </w:tbl>
          <w:p w14:paraId="461BAEC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550"/>
              <w:gridCol w:w="221"/>
              <w:gridCol w:w="4041"/>
            </w:tblGrid>
            <w:tr w:rsidR="00D12468" w:rsidRPr="00C011B2" w14:paraId="188585C6" w14:textId="77777777" w:rsidTr="009F091D">
              <w:tc>
                <w:tcPr>
                  <w:tcW w:w="1094" w:type="dxa"/>
                  <w:shd w:val="clear" w:color="auto" w:fill="auto"/>
                  <w:hideMark/>
                </w:tcPr>
                <w:p w14:paraId="2F0E099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WS</w:t>
                  </w:r>
                </w:p>
              </w:tc>
              <w:tc>
                <w:tcPr>
                  <w:tcW w:w="427" w:type="dxa"/>
                  <w:shd w:val="clear" w:color="auto" w:fill="auto"/>
                  <w:hideMark/>
                </w:tcPr>
                <w:p w14:paraId="4892261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68" w:type="dxa"/>
                  <w:shd w:val="clear" w:color="auto" w:fill="auto"/>
                  <w:hideMark/>
                </w:tcPr>
                <w:p w14:paraId="29CC2A7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ponderate.</w:t>
                  </w:r>
                </w:p>
              </w:tc>
            </w:tr>
          </w:tbl>
          <w:p w14:paraId="70E8D7FC" w14:textId="05AB5AD2"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609EAFF6" w14:textId="6036F14F"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37" w:name="_Hlk222906339"/>
            <w:r w:rsidRPr="00C011B2">
              <w:rPr>
                <w:rFonts w:ascii="Times New Roman" w:hAnsi="Times New Roman" w:cs="Times New Roman"/>
                <w:color w:val="000000" w:themeColor="text1"/>
                <w:lang w:val="ro-MD"/>
              </w:rPr>
              <w:lastRenderedPageBreak/>
              <w:t>117.</w:t>
            </w:r>
            <w:r w:rsidR="00D12468" w:rsidRPr="00C011B2">
              <w:rPr>
                <w:rFonts w:ascii="Times New Roman" w:hAnsi="Times New Roman" w:cs="Times New Roman"/>
                <w:color w:val="000000" w:themeColor="text1"/>
                <w:lang w:val="ro-MD"/>
              </w:rPr>
              <w:t>   Sensibilitățile ponderate la diferiții factori de risc din cadrul fiecărei benzi sunt agregate în conformitate cu formula de mai jos, unde cantitatea din funcția de rădăcină pătrată are un prag de zero, obținându-se sensibilitatea specifică benzii. Se utilizează corelațiile corespunzătoare pentru sensibilitățile ponderate din cadrul aceleiași benzi (ρ</w:t>
            </w:r>
            <w:r w:rsidR="00D12468" w:rsidRPr="00C011B2">
              <w:rPr>
                <w:rFonts w:ascii="Times New Roman" w:hAnsi="Times New Roman" w:cs="Times New Roman"/>
                <w:color w:val="000000" w:themeColor="text1"/>
                <w:vertAlign w:val="subscript"/>
                <w:lang w:val="ro-MD"/>
              </w:rPr>
              <w:t>kl</w:t>
            </w:r>
            <w:r w:rsidR="00D12468" w:rsidRPr="00C011B2">
              <w:rPr>
                <w:rFonts w:ascii="Times New Roman" w:hAnsi="Times New Roman" w:cs="Times New Roman"/>
                <w:color w:val="000000" w:themeColor="text1"/>
                <w:lang w:val="ro-MD"/>
              </w:rPr>
              <w:t>) prevăzute în secțiunea 6.</w:t>
            </w:r>
          </w:p>
          <w:p w14:paraId="42D1613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B3DDD13" wp14:editId="0F572242">
                  <wp:extent cx="3055620" cy="608330"/>
                  <wp:effectExtent l="0" t="0" r="0" b="1270"/>
                  <wp:docPr id="126" name="Picture 1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5620" cy="608330"/>
                          </a:xfrm>
                          <a:prstGeom prst="rect">
                            <a:avLst/>
                          </a:prstGeom>
                          <a:noFill/>
                          <a:ln>
                            <a:noFill/>
                          </a:ln>
                        </pic:spPr>
                      </pic:pic>
                    </a:graphicData>
                  </a:graphic>
                </wp:inline>
              </w:drawing>
            </w:r>
          </w:p>
          <w:p w14:paraId="758B1D3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308"/>
              <w:gridCol w:w="196"/>
              <w:gridCol w:w="4607"/>
            </w:tblGrid>
            <w:tr w:rsidR="00D12468" w:rsidRPr="00C011B2" w14:paraId="2347B039" w14:textId="77777777" w:rsidTr="001E785F">
              <w:tc>
                <w:tcPr>
                  <w:tcW w:w="568" w:type="dxa"/>
                  <w:shd w:val="clear" w:color="auto" w:fill="auto"/>
                  <w:hideMark/>
                </w:tcPr>
                <w:p w14:paraId="74ECEDE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K</w:t>
                  </w:r>
                  <w:r w:rsidRPr="00C011B2">
                    <w:rPr>
                      <w:rFonts w:ascii="Times New Roman" w:hAnsi="Times New Roman" w:cs="Times New Roman"/>
                      <w:color w:val="000000" w:themeColor="text1"/>
                      <w:vertAlign w:val="subscript"/>
                      <w:lang w:val="ro-MD"/>
                    </w:rPr>
                    <w:t>b</w:t>
                  </w:r>
                </w:p>
              </w:tc>
              <w:tc>
                <w:tcPr>
                  <w:tcW w:w="356" w:type="dxa"/>
                  <w:shd w:val="clear" w:color="auto" w:fill="auto"/>
                  <w:hideMark/>
                </w:tcPr>
                <w:p w14:paraId="407044E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765" w:type="dxa"/>
                  <w:shd w:val="clear" w:color="auto" w:fill="auto"/>
                  <w:hideMark/>
                </w:tcPr>
                <w:p w14:paraId="2E0F7D5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specifică benzii; și</w:t>
                  </w:r>
                </w:p>
              </w:tc>
            </w:tr>
          </w:tbl>
          <w:p w14:paraId="104030B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584"/>
              <w:gridCol w:w="233"/>
              <w:gridCol w:w="4294"/>
            </w:tblGrid>
            <w:tr w:rsidR="00D12468" w:rsidRPr="00C011B2" w14:paraId="5E0B86C3" w14:textId="77777777" w:rsidTr="001E785F">
              <w:tc>
                <w:tcPr>
                  <w:tcW w:w="1094" w:type="dxa"/>
                  <w:shd w:val="clear" w:color="auto" w:fill="auto"/>
                  <w:hideMark/>
                </w:tcPr>
                <w:p w14:paraId="099A4E5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WS</w:t>
                  </w:r>
                </w:p>
              </w:tc>
              <w:tc>
                <w:tcPr>
                  <w:tcW w:w="427" w:type="dxa"/>
                  <w:shd w:val="clear" w:color="auto" w:fill="auto"/>
                  <w:hideMark/>
                </w:tcPr>
                <w:p w14:paraId="7FBC930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68" w:type="dxa"/>
                  <w:shd w:val="clear" w:color="auto" w:fill="auto"/>
                  <w:hideMark/>
                </w:tcPr>
                <w:p w14:paraId="0062816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ponderate.</w:t>
                  </w:r>
                </w:p>
              </w:tc>
            </w:tr>
            <w:bookmarkEnd w:id="137"/>
          </w:tbl>
          <w:p w14:paraId="2FB2DC3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7BB681E4" w14:textId="049EF968"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3A2013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5378A8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817462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w:t>
            </w:r>
          </w:p>
          <w:p w14:paraId="0FEB6E8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specifică benzii se calculează pentru fiecare bandă din cadrul unei clase de risc în conformitate cu alineatele (5), (6) și (7). După ce sensibilitatea specifică benzii a fost calculată în cazul tuturor benzilor, sensibilitățile ponderate la toți factorii de risc din toate benzile sunt agregate în conformitate cu formula de mai jos, utilizând corelațiile corespunzătoare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pentru sensibilitățile ponderate din diferitele benzi prevăzute în secțiunea 6, obținându-se cerința de fonduri proprii specifică unei clase de risc pentru riscul delta sau vega:</w:t>
            </w:r>
          </w:p>
          <w:p w14:paraId="55FC36DD" w14:textId="257B9AD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25EC92D" wp14:editId="1EFB45FE">
                  <wp:extent cx="3055620" cy="228600"/>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5620" cy="228600"/>
                          </a:xfrm>
                          <a:prstGeom prst="rect">
                            <a:avLst/>
                          </a:prstGeom>
                          <a:noFill/>
                          <a:ln>
                            <a:noFill/>
                          </a:ln>
                        </pic:spPr>
                      </pic:pic>
                    </a:graphicData>
                  </a:graphic>
                </wp:inline>
              </w:drawing>
            </w:r>
          </w:p>
          <w:p w14:paraId="47D1A5D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50D4C023"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18" w:tooltip="32019R0876R(11): REPLACED" w:history="1">
              <w:r w:rsidR="00D12468" w:rsidRPr="00C011B2">
                <w:rPr>
                  <w:rStyle w:val="Hyperlink"/>
                  <w:rFonts w:ascii="Times New Roman" w:hAnsi="Times New Roman" w:cs="Times New Roman"/>
                  <w:b/>
                  <w:bCs/>
                  <w:lang w:val="ro-MD"/>
                </w:rPr>
                <w:t>▼C7</w:t>
              </w:r>
            </w:hyperlink>
          </w:p>
          <w:tbl>
            <w:tblPr>
              <w:tblW w:w="5000" w:type="pct"/>
              <w:tblLayout w:type="fixed"/>
              <w:tblCellMar>
                <w:left w:w="0" w:type="dxa"/>
                <w:right w:w="0" w:type="dxa"/>
              </w:tblCellMar>
              <w:tblLook w:val="04A0" w:firstRow="1" w:lastRow="0" w:firstColumn="1" w:lastColumn="0" w:noHBand="0" w:noVBand="1"/>
            </w:tblPr>
            <w:tblGrid>
              <w:gridCol w:w="99"/>
              <w:gridCol w:w="76"/>
              <w:gridCol w:w="4637"/>
            </w:tblGrid>
            <w:tr w:rsidR="00D12468" w:rsidRPr="00FA7D23" w14:paraId="5246530E" w14:textId="77777777" w:rsidTr="009F091D">
              <w:tc>
                <w:tcPr>
                  <w:tcW w:w="180" w:type="dxa"/>
                  <w:shd w:val="clear" w:color="auto" w:fill="auto"/>
                  <w:hideMark/>
                </w:tcPr>
                <w:p w14:paraId="0CDBE90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b</w:t>
                  </w:r>
                </w:p>
              </w:tc>
              <w:tc>
                <w:tcPr>
                  <w:tcW w:w="133" w:type="dxa"/>
                  <w:shd w:val="clear" w:color="auto" w:fill="auto"/>
                  <w:hideMark/>
                </w:tcPr>
                <w:p w14:paraId="6B87F4C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76" w:type="dxa"/>
                  <w:shd w:val="clear" w:color="auto" w:fill="auto"/>
                  <w:hideMark/>
                </w:tcPr>
                <w:p w14:paraId="59C76A50" w14:textId="297DCF8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pentru toți factorii de risc din banda b și S</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 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pentru toți factorii de risc din banda c; în cazul în care valorile respective pentru S</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și S</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conduc la un număr negativ al sumei globale dintre </w:t>
                  </w:r>
                  <w:r w:rsidRPr="00C011B2">
                    <w:rPr>
                      <w:rFonts w:ascii="Times New Roman" w:hAnsi="Times New Roman" w:cs="Times New Roman"/>
                      <w:noProof/>
                      <w:color w:val="000000" w:themeColor="text1"/>
                      <w:lang w:val="ro-MD"/>
                    </w:rPr>
                    <w:drawing>
                      <wp:inline distT="0" distB="0" distL="0" distR="0" wp14:anchorId="7958A0A1" wp14:editId="00DFA64B">
                        <wp:extent cx="1308100" cy="330200"/>
                        <wp:effectExtent l="0" t="0" r="6350" b="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8100" cy="3302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xml:space="preserve"> instituția calculează cerințele de fonduri proprii specifice unei clase de </w:t>
                  </w:r>
                  <w:r w:rsidRPr="00C011B2">
                    <w:rPr>
                      <w:rFonts w:ascii="Times New Roman" w:hAnsi="Times New Roman" w:cs="Times New Roman"/>
                      <w:color w:val="000000" w:themeColor="text1"/>
                      <w:lang w:val="ro-MD"/>
                    </w:rPr>
                    <w:lastRenderedPageBreak/>
                    <w:t>risc pentru riscul delta sau vega utilizând o metodă alternativă în care</w:t>
                  </w:r>
                </w:p>
              </w:tc>
            </w:tr>
          </w:tbl>
          <w:p w14:paraId="6EED31AD"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20" w:tooltip="32019R0876: INSERTED" w:history="1">
              <w:r w:rsidR="00D12468" w:rsidRPr="00C011B2">
                <w:rPr>
                  <w:rStyle w:val="Hyperlink"/>
                  <w:rFonts w:ascii="Times New Roman" w:hAnsi="Times New Roman" w:cs="Times New Roman"/>
                  <w:b/>
                  <w:bCs/>
                  <w:lang w:val="ro-MD"/>
                </w:rPr>
                <w:t>▼M8</w:t>
              </w:r>
            </w:hyperlink>
          </w:p>
          <w:tbl>
            <w:tblPr>
              <w:tblW w:w="5000" w:type="pct"/>
              <w:tblLayout w:type="fixed"/>
              <w:tblCellMar>
                <w:left w:w="0" w:type="dxa"/>
                <w:right w:w="0" w:type="dxa"/>
              </w:tblCellMar>
              <w:tblLook w:val="04A0" w:firstRow="1" w:lastRow="0" w:firstColumn="1" w:lastColumn="0" w:noHBand="0" w:noVBand="1"/>
            </w:tblPr>
            <w:tblGrid>
              <w:gridCol w:w="130"/>
              <w:gridCol w:w="99"/>
              <w:gridCol w:w="4583"/>
            </w:tblGrid>
            <w:tr w:rsidR="00D12468" w:rsidRPr="00FA7D23" w14:paraId="24E5EE0D" w14:textId="77777777" w:rsidTr="009F091D">
              <w:tc>
                <w:tcPr>
                  <w:tcW w:w="243" w:type="dxa"/>
                  <w:shd w:val="clear" w:color="auto" w:fill="auto"/>
                  <w:hideMark/>
                </w:tcPr>
                <w:p w14:paraId="1C97A1C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b</w:t>
                  </w:r>
                </w:p>
              </w:tc>
              <w:tc>
                <w:tcPr>
                  <w:tcW w:w="180" w:type="dxa"/>
                  <w:shd w:val="clear" w:color="auto" w:fill="auto"/>
                  <w:hideMark/>
                </w:tcPr>
                <w:p w14:paraId="0026006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66" w:type="dxa"/>
                  <w:shd w:val="clear" w:color="auto" w:fill="auto"/>
                  <w:hideMark/>
                </w:tcPr>
                <w:p w14:paraId="4CE9156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max [min (Σ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K</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 K</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pentru toți factorii de risc din banda „b”;</w:t>
                  </w:r>
                </w:p>
              </w:tc>
            </w:tr>
          </w:tbl>
          <w:p w14:paraId="23EA395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25"/>
              <w:gridCol w:w="101"/>
              <w:gridCol w:w="4586"/>
            </w:tblGrid>
            <w:tr w:rsidR="00D12468" w:rsidRPr="00FA7D23" w14:paraId="1E1ADBB1" w14:textId="77777777" w:rsidTr="009F091D">
              <w:tc>
                <w:tcPr>
                  <w:tcW w:w="233" w:type="dxa"/>
                  <w:shd w:val="clear" w:color="auto" w:fill="auto"/>
                  <w:hideMark/>
                </w:tcPr>
                <w:p w14:paraId="6BA6CFE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c</w:t>
                  </w:r>
                </w:p>
              </w:tc>
              <w:tc>
                <w:tcPr>
                  <w:tcW w:w="184" w:type="dxa"/>
                  <w:shd w:val="clear" w:color="auto" w:fill="auto"/>
                  <w:hideMark/>
                </w:tcPr>
                <w:p w14:paraId="79823F6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72" w:type="dxa"/>
                  <w:shd w:val="clear" w:color="auto" w:fill="auto"/>
                  <w:hideMark/>
                </w:tcPr>
                <w:p w14:paraId="14C67FA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max [min (Σ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K</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–K</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]pentru toți factorii de risc din banda „c”.</w:t>
                  </w:r>
                </w:p>
              </w:tc>
            </w:tr>
          </w:tbl>
          <w:p w14:paraId="18F402F9" w14:textId="7A7F586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Cerințele de fonduri proprii specifice unei clase de risc pentru riscul delta sau vega se calculează pentru fiecare clasă de risc în conformitate cu alineatele (1)-(8).</w:t>
            </w:r>
          </w:p>
        </w:tc>
        <w:tc>
          <w:tcPr>
            <w:tcW w:w="1692" w:type="pct"/>
            <w:shd w:val="clear" w:color="auto" w:fill="auto"/>
          </w:tcPr>
          <w:p w14:paraId="0B20F6BB" w14:textId="088E7A32"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38" w:name="_Hlk222906598"/>
            <w:r w:rsidRPr="00C011B2">
              <w:rPr>
                <w:rFonts w:ascii="Times New Roman" w:hAnsi="Times New Roman" w:cs="Times New Roman"/>
                <w:color w:val="000000" w:themeColor="text1"/>
                <w:lang w:val="ro-MD"/>
              </w:rPr>
              <w:lastRenderedPageBreak/>
              <w:t xml:space="preserve">118. </w:t>
            </w:r>
            <w:r w:rsidR="00D12468" w:rsidRPr="00C011B2">
              <w:rPr>
                <w:rFonts w:ascii="Times New Roman" w:hAnsi="Times New Roman" w:cs="Times New Roman"/>
                <w:color w:val="000000" w:themeColor="text1"/>
                <w:lang w:val="ro-MD"/>
              </w:rPr>
              <w:t xml:space="preserve">Sensibilitatea specifică benzii se calculează pentru fiecare bandă din cadrul unei clase de risc în conformitate cu </w:t>
            </w:r>
            <w:r w:rsidRPr="00C011B2">
              <w:rPr>
                <w:rFonts w:ascii="Times New Roman" w:hAnsi="Times New Roman" w:cs="Times New Roman"/>
                <w:color w:val="000000" w:themeColor="text1"/>
                <w:lang w:val="ro-MD"/>
              </w:rPr>
              <w:t xml:space="preserve">pct.115, 116 </w:t>
            </w:r>
            <w:r w:rsidRPr="00C011B2">
              <w:rPr>
                <w:rFonts w:ascii="Times New Roman" w:hAnsi="Times New Roman" w:cs="Times New Roman"/>
                <w:color w:val="000000" w:themeColor="text1"/>
                <w:lang w:val="ro-RO"/>
              </w:rPr>
              <w:t>și 117</w:t>
            </w:r>
            <w:r w:rsidR="00D12468" w:rsidRPr="00C011B2">
              <w:rPr>
                <w:rFonts w:ascii="Times New Roman" w:hAnsi="Times New Roman" w:cs="Times New Roman"/>
                <w:color w:val="000000" w:themeColor="text1"/>
                <w:lang w:val="ro-MD"/>
              </w:rPr>
              <w:t>. După ce sensibilitatea specifică benzii a fost calculată în cazul tuturor benzilor, sensibilitățile ponderate la toți factorii de risc din toate benzile sunt agregate în conformitate cu formula de mai jos, utilizând corelațiile corespunzătoare γ</w:t>
            </w:r>
            <w:r w:rsidR="00D12468" w:rsidRPr="00C011B2">
              <w:rPr>
                <w:rFonts w:ascii="Times New Roman" w:hAnsi="Times New Roman" w:cs="Times New Roman"/>
                <w:color w:val="000000" w:themeColor="text1"/>
                <w:vertAlign w:val="subscript"/>
                <w:lang w:val="ro-MD"/>
              </w:rPr>
              <w:t>bc</w:t>
            </w:r>
            <w:r w:rsidR="00D12468" w:rsidRPr="00C011B2">
              <w:rPr>
                <w:rFonts w:ascii="Times New Roman" w:hAnsi="Times New Roman" w:cs="Times New Roman"/>
                <w:color w:val="000000" w:themeColor="text1"/>
                <w:lang w:val="ro-MD"/>
              </w:rPr>
              <w:t> pentru sensibilitățile ponderate din diferitele benzi prevăzute în secțiunea 6, obținându-se cerința de fonduri proprii specifică unei clase de risc pentru riscul delta sau vega:</w:t>
            </w:r>
          </w:p>
          <w:p w14:paraId="0AA6086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7AEF0EF" wp14:editId="2D5DC05D">
                  <wp:extent cx="3055620" cy="228600"/>
                  <wp:effectExtent l="0" t="0" r="0" b="0"/>
                  <wp:docPr id="127" name="Picture 1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5620" cy="228600"/>
                          </a:xfrm>
                          <a:prstGeom prst="rect">
                            <a:avLst/>
                          </a:prstGeom>
                          <a:noFill/>
                          <a:ln>
                            <a:noFill/>
                          </a:ln>
                        </pic:spPr>
                      </pic:pic>
                    </a:graphicData>
                  </a:graphic>
                </wp:inline>
              </w:drawing>
            </w:r>
          </w:p>
          <w:p w14:paraId="1E9E02A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2ED9B92F" w14:textId="5CF27DDE" w:rsidR="00D12468" w:rsidRPr="00C011B2" w:rsidRDefault="00D12468" w:rsidP="00D12468">
            <w:pPr>
              <w:spacing w:after="0" w:line="276" w:lineRule="auto"/>
              <w:jc w:val="both"/>
              <w:rPr>
                <w:rFonts w:ascii="Times New Roman" w:hAnsi="Times New Roman" w:cs="Times New Roman"/>
                <w:b/>
                <w:bCs/>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04"/>
              <w:gridCol w:w="79"/>
              <w:gridCol w:w="4928"/>
            </w:tblGrid>
            <w:tr w:rsidR="00D12468" w:rsidRPr="00FA7D23" w14:paraId="566A628D" w14:textId="77777777" w:rsidTr="001E785F">
              <w:tc>
                <w:tcPr>
                  <w:tcW w:w="180" w:type="dxa"/>
                  <w:shd w:val="clear" w:color="auto" w:fill="auto"/>
                  <w:hideMark/>
                </w:tcPr>
                <w:p w14:paraId="71A2101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b</w:t>
                  </w:r>
                </w:p>
              </w:tc>
              <w:tc>
                <w:tcPr>
                  <w:tcW w:w="133" w:type="dxa"/>
                  <w:shd w:val="clear" w:color="auto" w:fill="auto"/>
                  <w:hideMark/>
                </w:tcPr>
                <w:p w14:paraId="7150689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76" w:type="dxa"/>
                  <w:shd w:val="clear" w:color="auto" w:fill="auto"/>
                  <w:hideMark/>
                </w:tcPr>
                <w:p w14:paraId="34CA7800" w14:textId="5DD3A63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pentru toți factorii de risc din banda b și S</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 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pentru toți factorii de risc din banda c; în cazul în care valorile respective pentru S</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și S</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conduc la un număr negativ al sumei globale dintre </w:t>
                  </w:r>
                  <w:r w:rsidRPr="00C011B2">
                    <w:rPr>
                      <w:rFonts w:ascii="Times New Roman" w:hAnsi="Times New Roman" w:cs="Times New Roman"/>
                      <w:noProof/>
                      <w:color w:val="000000" w:themeColor="text1"/>
                      <w:lang w:val="ro-MD"/>
                    </w:rPr>
                    <w:drawing>
                      <wp:inline distT="0" distB="0" distL="0" distR="0" wp14:anchorId="00A98AD4" wp14:editId="033F8EBB">
                        <wp:extent cx="1308100" cy="330200"/>
                        <wp:effectExtent l="0" t="0" r="6350" b="0"/>
                        <wp:docPr id="128" name="Picture 1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8100" cy="3302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w:t>
                  </w:r>
                  <w:r w:rsidR="00E65B83" w:rsidRPr="00C011B2">
                    <w:rPr>
                      <w:rFonts w:ascii="Times New Roman" w:hAnsi="Times New Roman" w:cs="Times New Roman"/>
                      <w:color w:val="000000" w:themeColor="text1"/>
                      <w:lang w:val="ro-MD"/>
                    </w:rPr>
                    <w:t xml:space="preserve">banca </w:t>
                  </w:r>
                  <w:r w:rsidRPr="00C011B2">
                    <w:rPr>
                      <w:rFonts w:ascii="Times New Roman" w:hAnsi="Times New Roman" w:cs="Times New Roman"/>
                      <w:color w:val="000000" w:themeColor="text1"/>
                      <w:lang w:val="ro-MD"/>
                    </w:rPr>
                    <w:t>calculează cerințele de fonduri proprii specifice unei clase de risc pentru riscul delta sau vega utilizând o metodă alternativă în care</w:t>
                  </w:r>
                </w:p>
              </w:tc>
            </w:tr>
          </w:tbl>
          <w:p w14:paraId="4A53B129" w14:textId="1B9C2310" w:rsidR="00D12468" w:rsidRPr="00C011B2" w:rsidRDefault="00D12468" w:rsidP="00D12468">
            <w:pPr>
              <w:spacing w:after="0" w:line="276" w:lineRule="auto"/>
              <w:jc w:val="both"/>
              <w:rPr>
                <w:rFonts w:ascii="Times New Roman" w:hAnsi="Times New Roman" w:cs="Times New Roman"/>
                <w:b/>
                <w:bCs/>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37"/>
              <w:gridCol w:w="104"/>
              <w:gridCol w:w="4870"/>
            </w:tblGrid>
            <w:tr w:rsidR="00D12468" w:rsidRPr="00FA7D23" w14:paraId="4F25EC35" w14:textId="77777777" w:rsidTr="001E785F">
              <w:tc>
                <w:tcPr>
                  <w:tcW w:w="243" w:type="dxa"/>
                  <w:shd w:val="clear" w:color="auto" w:fill="auto"/>
                  <w:hideMark/>
                </w:tcPr>
                <w:p w14:paraId="07C047F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S</w:t>
                  </w:r>
                  <w:r w:rsidRPr="00C011B2">
                    <w:rPr>
                      <w:rFonts w:ascii="Times New Roman" w:hAnsi="Times New Roman" w:cs="Times New Roman"/>
                      <w:color w:val="000000" w:themeColor="text1"/>
                      <w:vertAlign w:val="subscript"/>
                      <w:lang w:val="ro-MD"/>
                    </w:rPr>
                    <w:t>b</w:t>
                  </w:r>
                </w:p>
              </w:tc>
              <w:tc>
                <w:tcPr>
                  <w:tcW w:w="180" w:type="dxa"/>
                  <w:shd w:val="clear" w:color="auto" w:fill="auto"/>
                  <w:hideMark/>
                </w:tcPr>
                <w:p w14:paraId="7696836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66" w:type="dxa"/>
                  <w:shd w:val="clear" w:color="auto" w:fill="auto"/>
                  <w:hideMark/>
                </w:tcPr>
                <w:p w14:paraId="073D20F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max [min (Σ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K</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 K</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pentru toți factorii de risc din banda „b”;</w:t>
                  </w:r>
                </w:p>
              </w:tc>
            </w:tr>
          </w:tbl>
          <w:p w14:paraId="7CE3969A"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32"/>
              <w:gridCol w:w="106"/>
              <w:gridCol w:w="4873"/>
            </w:tblGrid>
            <w:tr w:rsidR="00D12468" w:rsidRPr="00FA7D23" w14:paraId="1AC4D091" w14:textId="77777777" w:rsidTr="001E785F">
              <w:tc>
                <w:tcPr>
                  <w:tcW w:w="233" w:type="dxa"/>
                  <w:shd w:val="clear" w:color="auto" w:fill="auto"/>
                  <w:hideMark/>
                </w:tcPr>
                <w:p w14:paraId="42157A9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c</w:t>
                  </w:r>
                </w:p>
              </w:tc>
              <w:tc>
                <w:tcPr>
                  <w:tcW w:w="184" w:type="dxa"/>
                  <w:shd w:val="clear" w:color="auto" w:fill="auto"/>
                  <w:hideMark/>
                </w:tcPr>
                <w:p w14:paraId="4D0DF62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72" w:type="dxa"/>
                  <w:shd w:val="clear" w:color="auto" w:fill="auto"/>
                  <w:hideMark/>
                </w:tcPr>
                <w:p w14:paraId="2BA958E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max [min (Σ</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K</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–K</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]pentru toți factorii de risc din banda „c”.</w:t>
                  </w:r>
                </w:p>
              </w:tc>
            </w:tr>
          </w:tbl>
          <w:p w14:paraId="6422D60F" w14:textId="4FF9CE31" w:rsidR="00D12468" w:rsidRPr="00C011B2" w:rsidRDefault="00E65B83"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119. </w:t>
            </w:r>
            <w:r w:rsidR="00D12468" w:rsidRPr="00C011B2">
              <w:rPr>
                <w:rFonts w:ascii="Times New Roman" w:hAnsi="Times New Roman" w:cs="Times New Roman"/>
                <w:color w:val="000000" w:themeColor="text1"/>
                <w:lang w:val="ro-MD"/>
              </w:rPr>
              <w:t>Cerințele de fonduri proprii specifice unei clase de risc pentru riscul delta sau vega se calculează pentru fiecare clasă de risc în conformitate cu</w:t>
            </w:r>
            <w:r w:rsidRPr="00C011B2">
              <w:rPr>
                <w:rFonts w:ascii="Times New Roman" w:hAnsi="Times New Roman" w:cs="Times New Roman"/>
                <w:color w:val="000000" w:themeColor="text1"/>
                <w:lang w:val="ro-MD"/>
              </w:rPr>
              <w:t xml:space="preserve"> pct.111-118</w:t>
            </w:r>
            <w:r w:rsidR="00D12468" w:rsidRPr="00C011B2">
              <w:rPr>
                <w:rFonts w:ascii="Times New Roman" w:hAnsi="Times New Roman" w:cs="Times New Roman"/>
                <w:color w:val="000000" w:themeColor="text1"/>
                <w:lang w:val="ro-MD"/>
              </w:rPr>
              <w:t>.</w:t>
            </w:r>
            <w:bookmarkEnd w:id="138"/>
          </w:p>
        </w:tc>
        <w:tc>
          <w:tcPr>
            <w:tcW w:w="450" w:type="pct"/>
          </w:tcPr>
          <w:p w14:paraId="277AE1DB" w14:textId="2D39472A"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037515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CEBCA4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53478B"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▼M12</w:t>
            </w:r>
          </w:p>
          <w:p w14:paraId="24EC7AB0"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325g</w:t>
            </w:r>
          </w:p>
          <w:p w14:paraId="6E0D2121" w14:textId="1F2B679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Cerinţele de fonduri proprii pentru riscul de curbură</w:t>
            </w:r>
          </w:p>
        </w:tc>
        <w:tc>
          <w:tcPr>
            <w:tcW w:w="1692" w:type="pct"/>
            <w:shd w:val="clear" w:color="auto" w:fill="auto"/>
          </w:tcPr>
          <w:p w14:paraId="08BCF32A" w14:textId="596D575E"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39" w:name="_Hlk195090762"/>
            <w:r w:rsidRPr="00C011B2">
              <w:rPr>
                <w:rFonts w:ascii="Times New Roman" w:hAnsi="Times New Roman" w:cs="Times New Roman"/>
                <w:b/>
                <w:bCs/>
                <w:i/>
                <w:iCs/>
                <w:color w:val="000000" w:themeColor="text1"/>
                <w:lang w:val="ro-MD"/>
              </w:rPr>
              <w:t>Subsecţiunea</w:t>
            </w:r>
            <w:r w:rsidRPr="00C011B2" w:rsidDel="004B5222">
              <w:rPr>
                <w:rFonts w:ascii="Times New Roman" w:hAnsi="Times New Roman" w:cs="Times New Roman"/>
                <w:b/>
                <w:bCs/>
                <w:i/>
                <w:iCs/>
                <w:color w:val="000000" w:themeColor="text1"/>
                <w:lang w:val="ro-MD"/>
              </w:rPr>
              <w:t xml:space="preserve"> </w:t>
            </w:r>
            <w:r w:rsidRPr="00C011B2">
              <w:rPr>
                <w:rFonts w:ascii="Times New Roman" w:hAnsi="Times New Roman" w:cs="Times New Roman"/>
                <w:b/>
                <w:bCs/>
                <w:i/>
                <w:iCs/>
                <w:color w:val="000000" w:themeColor="text1"/>
                <w:lang w:val="ro-MD"/>
              </w:rPr>
              <w:t>4.</w:t>
            </w:r>
            <w:r w:rsidR="00D12468" w:rsidRPr="00C011B2">
              <w:rPr>
                <w:rFonts w:ascii="Times New Roman" w:hAnsi="Times New Roman" w:cs="Times New Roman"/>
                <w:b/>
                <w:bCs/>
                <w:color w:val="000000" w:themeColor="text1"/>
                <w:lang w:val="ro-MD"/>
              </w:rPr>
              <w:t>Cerinţele de fonduri proprii pentru riscul de curbură</w:t>
            </w:r>
            <w:bookmarkEnd w:id="139"/>
          </w:p>
        </w:tc>
        <w:tc>
          <w:tcPr>
            <w:tcW w:w="450" w:type="pct"/>
          </w:tcPr>
          <w:p w14:paraId="53C9559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6DE6738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BF458B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F3C911" w14:textId="7B62570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realizeaz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calculele prev</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zute la alineatul (2) pentru fiecare factor de risc al instrumentelor care fac obiectul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ei de fonduri proprii pentru riscul de curbur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cu excep</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ia factorilor de risc men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iona</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 la alineatul (3).</w:t>
            </w:r>
          </w:p>
          <w:p w14:paraId="7F93F4E4" w14:textId="3B7BA8F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Pentru un anumit factor de risc, institu</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realizeaz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calculele pe baz</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net</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pentru toate pozi</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iile aferente instrumentelor care fac obiectul cerin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ei de fonduri proprii pentru riscul de curbur</w:t>
            </w:r>
            <w:r w:rsidRPr="00C011B2">
              <w:rPr>
                <w:rFonts w:ascii="Times New Roman" w:hAnsi="Times New Roman" w:cs="Times New Roman" w:hint="eastAsia"/>
                <w:color w:val="000000" w:themeColor="text1"/>
                <w:lang w:val="ro-MD"/>
              </w:rPr>
              <w:t>ă</w:t>
            </w:r>
            <w:r w:rsidRPr="00C011B2">
              <w:rPr>
                <w:rFonts w:ascii="Times New Roman" w:hAnsi="Times New Roman" w:cs="Times New Roman"/>
                <w:color w:val="000000" w:themeColor="text1"/>
                <w:lang w:val="ro-MD"/>
              </w:rPr>
              <w:t xml:space="preserve"> care con</w:t>
            </w:r>
            <w:r w:rsidRPr="00C011B2">
              <w:rPr>
                <w:rFonts w:ascii="Times New Roman" w:hAnsi="Times New Roman" w:cs="Times New Roman" w:hint="eastAsia"/>
                <w:color w:val="000000" w:themeColor="text1"/>
                <w:lang w:val="ro-MD"/>
              </w:rPr>
              <w:t>ţ</w:t>
            </w:r>
            <w:r w:rsidRPr="00C011B2">
              <w:rPr>
                <w:rFonts w:ascii="Times New Roman" w:hAnsi="Times New Roman" w:cs="Times New Roman"/>
                <w:color w:val="000000" w:themeColor="text1"/>
                <w:lang w:val="ro-MD"/>
              </w:rPr>
              <w:t>in factorul de risc respectiv.</w:t>
            </w:r>
          </w:p>
        </w:tc>
        <w:tc>
          <w:tcPr>
            <w:tcW w:w="1692" w:type="pct"/>
            <w:shd w:val="clear" w:color="auto" w:fill="auto"/>
          </w:tcPr>
          <w:p w14:paraId="484D827D" w14:textId="25BC98F0"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40" w:name="_Hlk222910097"/>
            <w:r w:rsidRPr="00C011B2">
              <w:rPr>
                <w:rFonts w:ascii="Times New Roman" w:hAnsi="Times New Roman" w:cs="Times New Roman"/>
                <w:color w:val="000000" w:themeColor="text1"/>
                <w:lang w:val="ro-MD"/>
              </w:rPr>
              <w:t>120.</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realizeaz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calculele prev</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zute la </w:t>
            </w:r>
            <w:r w:rsidR="00AA0110" w:rsidRPr="00C011B2">
              <w:rPr>
                <w:rFonts w:ascii="Times New Roman" w:hAnsi="Times New Roman" w:cs="Times New Roman"/>
                <w:color w:val="000000" w:themeColor="text1"/>
                <w:lang w:val="ro-MD"/>
              </w:rPr>
              <w:t>pct.122</w:t>
            </w:r>
            <w:r w:rsidR="00D12468" w:rsidRPr="00C011B2">
              <w:rPr>
                <w:rFonts w:ascii="Times New Roman" w:hAnsi="Times New Roman" w:cs="Times New Roman"/>
                <w:color w:val="000000" w:themeColor="text1"/>
                <w:lang w:val="ro-MD"/>
              </w:rPr>
              <w:t xml:space="preserve"> pentru fiecare factor de risc al instrumentelor care fac obiectul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ei de fonduri proprii pentru riscul de curbur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cu excep</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ia factorilor de risc men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iona</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 la</w:t>
            </w:r>
            <w:r w:rsidR="00A34689" w:rsidRPr="00C011B2">
              <w:rPr>
                <w:rFonts w:ascii="Times New Roman" w:hAnsi="Times New Roman" w:cs="Times New Roman"/>
                <w:color w:val="000000" w:themeColor="text1"/>
                <w:lang w:val="ro-MD"/>
              </w:rPr>
              <w:t xml:space="preserve"> </w:t>
            </w:r>
            <w:r w:rsidR="000D2B8E" w:rsidRPr="00C011B2">
              <w:rPr>
                <w:rFonts w:ascii="Times New Roman" w:hAnsi="Times New Roman" w:cs="Times New Roman"/>
                <w:color w:val="000000" w:themeColor="text1"/>
                <w:lang w:val="ro-MD"/>
              </w:rPr>
              <w:t>pct.123-124</w:t>
            </w:r>
            <w:r w:rsidR="00D12468" w:rsidRPr="00C011B2">
              <w:rPr>
                <w:rFonts w:ascii="Times New Roman" w:hAnsi="Times New Roman" w:cs="Times New Roman"/>
                <w:color w:val="000000" w:themeColor="text1"/>
                <w:lang w:val="ro-MD"/>
              </w:rPr>
              <w:t>.</w:t>
            </w:r>
          </w:p>
          <w:p w14:paraId="6A26CFB4" w14:textId="3C1B7BA7" w:rsidR="00D12468" w:rsidRPr="00C011B2" w:rsidRDefault="00E65B83"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121. </w:t>
            </w:r>
            <w:r w:rsidR="00D12468" w:rsidRPr="00C011B2">
              <w:rPr>
                <w:rFonts w:ascii="Times New Roman" w:hAnsi="Times New Roman" w:cs="Times New Roman"/>
                <w:color w:val="000000" w:themeColor="text1"/>
                <w:lang w:val="ro-MD"/>
              </w:rPr>
              <w:t xml:space="preserve">Pentru un anumit factor de risc,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realizeaz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calculele pe baz</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net</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pentru toate pozi</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iile aferente instrumentelor care fac obiectul cerin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ei de fonduri proprii pentru riscul de curbur</w:t>
            </w:r>
            <w:r w:rsidR="00D12468" w:rsidRPr="00C011B2">
              <w:rPr>
                <w:rFonts w:ascii="Times New Roman" w:hAnsi="Times New Roman" w:cs="Times New Roman" w:hint="eastAsia"/>
                <w:color w:val="000000" w:themeColor="text1"/>
                <w:lang w:val="ro-MD"/>
              </w:rPr>
              <w:t>ă</w:t>
            </w:r>
            <w:r w:rsidR="00D12468" w:rsidRPr="00C011B2">
              <w:rPr>
                <w:rFonts w:ascii="Times New Roman" w:hAnsi="Times New Roman" w:cs="Times New Roman"/>
                <w:color w:val="000000" w:themeColor="text1"/>
                <w:lang w:val="ro-MD"/>
              </w:rPr>
              <w:t xml:space="preserve"> care con</w:t>
            </w:r>
            <w:r w:rsidR="00D12468" w:rsidRPr="00C011B2">
              <w:rPr>
                <w:rFonts w:ascii="Times New Roman" w:hAnsi="Times New Roman" w:cs="Times New Roman" w:hint="eastAsia"/>
                <w:color w:val="000000" w:themeColor="text1"/>
                <w:lang w:val="ro-MD"/>
              </w:rPr>
              <w:t>ţ</w:t>
            </w:r>
            <w:r w:rsidR="00D12468" w:rsidRPr="00C011B2">
              <w:rPr>
                <w:rFonts w:ascii="Times New Roman" w:hAnsi="Times New Roman" w:cs="Times New Roman"/>
                <w:color w:val="000000" w:themeColor="text1"/>
                <w:lang w:val="ro-MD"/>
              </w:rPr>
              <w:t>in factorul de risc respectiv.</w:t>
            </w:r>
            <w:bookmarkEnd w:id="140"/>
          </w:p>
        </w:tc>
        <w:tc>
          <w:tcPr>
            <w:tcW w:w="450" w:type="pct"/>
          </w:tcPr>
          <w:p w14:paraId="6DFB1669" w14:textId="0BA8E4A9"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497BB2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4F85A05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DD574DF" w14:textId="3D1AD62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Pentru un anumit factor de risc k inclus într-unul sau mai multe instrumente menționate la alineatul (1), instituțiile calculează poziția netă de risc de curbură ascendent a factorului de risc respectiv (</w:t>
            </w:r>
            <w:r w:rsidRPr="00C011B2">
              <w:rPr>
                <w:rFonts w:ascii="Times New Roman" w:hAnsi="Times New Roman" w:cs="Times New Roman"/>
                <w:noProof/>
                <w:color w:val="000000" w:themeColor="text1"/>
                <w:lang w:val="ro-MD"/>
              </w:rPr>
              <w:drawing>
                <wp:inline distT="0" distB="0" distL="0" distR="0" wp14:anchorId="0CA2EFE4" wp14:editId="61FE5717">
                  <wp:extent cx="292100" cy="139700"/>
                  <wp:effectExtent l="0" t="0" r="0" b="0"/>
                  <wp:docPr id="20"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și poziția netă de risc de curbură descendent a factorului de risc respectiv (</w:t>
            </w:r>
            <w:r w:rsidRPr="00C011B2">
              <w:rPr>
                <w:rFonts w:ascii="Times New Roman" w:hAnsi="Times New Roman" w:cs="Times New Roman"/>
                <w:noProof/>
                <w:color w:val="000000" w:themeColor="text1"/>
                <w:lang w:val="ro-MD"/>
              </w:rPr>
              <w:drawing>
                <wp:inline distT="0" distB="0" distL="0" distR="0" wp14:anchorId="61D9C3BC" wp14:editId="6B882B9F">
                  <wp:extent cx="292100" cy="127000"/>
                  <wp:effectExtent l="0" t="0" r="0" b="6350"/>
                  <wp:docPr id="19"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după cum urmează:</w:t>
            </w:r>
          </w:p>
          <w:p w14:paraId="20F14257" w14:textId="7912EB3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A36EF31" wp14:editId="3AF53D86">
                  <wp:extent cx="1092200" cy="330200"/>
                  <wp:effectExtent l="0" t="0" r="0" b="0"/>
                  <wp:docPr id="18" name="Picture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2200" cy="330200"/>
                          </a:xfrm>
                          <a:prstGeom prst="rect">
                            <a:avLst/>
                          </a:prstGeom>
                          <a:noFill/>
                          <a:ln>
                            <a:noFill/>
                          </a:ln>
                        </pic:spPr>
                      </pic:pic>
                    </a:graphicData>
                  </a:graphic>
                </wp:inline>
              </w:drawing>
            </w:r>
          </w:p>
          <w:p w14:paraId="628AC757" w14:textId="2B5BCFC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8831A39" wp14:editId="36C83DBD">
                  <wp:extent cx="1092200" cy="330200"/>
                  <wp:effectExtent l="0" t="0" r="0" b="0"/>
                  <wp:docPr id="17" name="Picture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2200" cy="330200"/>
                          </a:xfrm>
                          <a:prstGeom prst="rect">
                            <a:avLst/>
                          </a:prstGeom>
                          <a:noFill/>
                          <a:ln>
                            <a:noFill/>
                          </a:ln>
                        </pic:spPr>
                      </pic:pic>
                    </a:graphicData>
                  </a:graphic>
                </wp:inline>
              </w:drawing>
            </w:r>
          </w:p>
          <w:p w14:paraId="010E363E" w14:textId="7C3264B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891B414" wp14:editId="33289426">
                  <wp:extent cx="2933700" cy="222250"/>
                  <wp:effectExtent l="0" t="0" r="0" b="6350"/>
                  <wp:docPr id="16"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3700" cy="222250"/>
                          </a:xfrm>
                          <a:prstGeom prst="rect">
                            <a:avLst/>
                          </a:prstGeom>
                          <a:noFill/>
                          <a:ln>
                            <a:noFill/>
                          </a:ln>
                        </pic:spPr>
                      </pic:pic>
                    </a:graphicData>
                  </a:graphic>
                </wp:inline>
              </w:drawing>
            </w:r>
          </w:p>
          <w:p w14:paraId="19438FA4" w14:textId="12F07C4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8B64606" wp14:editId="683244D9">
                  <wp:extent cx="2895600" cy="177800"/>
                  <wp:effectExtent l="0" t="0" r="0" b="0"/>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5600" cy="177800"/>
                          </a:xfrm>
                          <a:prstGeom prst="rect">
                            <a:avLst/>
                          </a:prstGeom>
                          <a:noFill/>
                          <a:ln>
                            <a:noFill/>
                          </a:ln>
                        </pic:spPr>
                      </pic:pic>
                    </a:graphicData>
                  </a:graphic>
                </wp:inline>
              </w:drawing>
            </w:r>
          </w:p>
          <w:p w14:paraId="4FEA330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43"/>
              <w:gridCol w:w="76"/>
              <w:gridCol w:w="4693"/>
            </w:tblGrid>
            <w:tr w:rsidR="00D12468" w:rsidRPr="00C011B2" w14:paraId="48B9239F" w14:textId="77777777" w:rsidTr="009F091D">
              <w:tc>
                <w:tcPr>
                  <w:tcW w:w="67" w:type="dxa"/>
                  <w:shd w:val="clear" w:color="auto" w:fill="FFFFFF"/>
                  <w:hideMark/>
                </w:tcPr>
                <w:p w14:paraId="66B3D46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133" w:type="dxa"/>
                  <w:shd w:val="clear" w:color="auto" w:fill="FFFFFF"/>
                  <w:hideMark/>
                </w:tcPr>
                <w:p w14:paraId="1BE8D24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489" w:type="dxa"/>
                  <w:shd w:val="clear" w:color="auto" w:fill="FFFFFF"/>
                  <w:hideMark/>
                </w:tcPr>
                <w:p w14:paraId="4DD6E91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toate pozițiile aferente instrumentelor menționate la alineatul (1) care includ factorul de risc k;</w:t>
                  </w:r>
                </w:p>
              </w:tc>
            </w:tr>
          </w:tbl>
          <w:p w14:paraId="019865C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95"/>
              <w:gridCol w:w="161"/>
              <w:gridCol w:w="4456"/>
            </w:tblGrid>
            <w:tr w:rsidR="00D12468" w:rsidRPr="00FA7D23" w14:paraId="7A3DA88A" w14:textId="77777777" w:rsidTr="009F091D">
              <w:tc>
                <w:tcPr>
                  <w:tcW w:w="375" w:type="dxa"/>
                  <w:shd w:val="clear" w:color="auto" w:fill="FFFFFF"/>
                  <w:hideMark/>
                </w:tcPr>
                <w:p w14:paraId="4E86378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x</w:t>
                  </w:r>
                  <w:r w:rsidRPr="00C011B2">
                    <w:rPr>
                      <w:rFonts w:ascii="Times New Roman" w:hAnsi="Times New Roman" w:cs="Times New Roman"/>
                      <w:i/>
                      <w:iCs/>
                      <w:color w:val="000000" w:themeColor="text1"/>
                      <w:vertAlign w:val="subscript"/>
                      <w:lang w:val="ro-MD"/>
                    </w:rPr>
                    <w:t>k</w:t>
                  </w:r>
                </w:p>
              </w:tc>
              <w:tc>
                <w:tcPr>
                  <w:tcW w:w="306" w:type="dxa"/>
                  <w:shd w:val="clear" w:color="auto" w:fill="FFFFFF"/>
                  <w:hideMark/>
                </w:tcPr>
                <w:p w14:paraId="0E0DDA0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008" w:type="dxa"/>
                  <w:shd w:val="clear" w:color="auto" w:fill="FFFFFF"/>
                  <w:hideMark/>
                </w:tcPr>
                <w:p w14:paraId="4472915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curentă a factorului de risc k;</w:t>
                  </w:r>
                </w:p>
              </w:tc>
            </w:tr>
          </w:tbl>
          <w:p w14:paraId="2A77A75A"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08" w:type="dxa"/>
              <w:shd w:val="clear" w:color="auto" w:fill="FFFFFF"/>
              <w:tblLayout w:type="fixed"/>
              <w:tblCellMar>
                <w:left w:w="0" w:type="dxa"/>
                <w:right w:w="0" w:type="dxa"/>
              </w:tblCellMar>
              <w:tblLook w:val="04A0" w:firstRow="1" w:lastRow="0" w:firstColumn="1" w:lastColumn="0" w:noHBand="0" w:noVBand="1"/>
            </w:tblPr>
            <w:tblGrid>
              <w:gridCol w:w="612"/>
              <w:gridCol w:w="76"/>
              <w:gridCol w:w="4420"/>
            </w:tblGrid>
            <w:tr w:rsidR="00D12468" w:rsidRPr="00C011B2" w14:paraId="51D0D350" w14:textId="77777777" w:rsidTr="009F091D">
              <w:tc>
                <w:tcPr>
                  <w:tcW w:w="612" w:type="dxa"/>
                  <w:shd w:val="clear" w:color="auto" w:fill="FFFFFF"/>
                  <w:hideMark/>
                </w:tcPr>
                <w:p w14:paraId="4B5BECD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V</w:t>
                  </w:r>
                  <w:r w:rsidRPr="00C011B2">
                    <w:rPr>
                      <w:rFonts w:ascii="Times New Roman" w:hAnsi="Times New Roman" w:cs="Times New Roman"/>
                      <w:i/>
                      <w:iCs/>
                      <w:color w:val="000000" w:themeColor="text1"/>
                      <w:vertAlign w:val="subscript"/>
                      <w:lang w:val="ro-MD"/>
                    </w:rPr>
                    <w:t>i</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w:t>
                  </w:r>
                  <w:r w:rsidRPr="00C011B2">
                    <w:rPr>
                      <w:rFonts w:ascii="Times New Roman" w:hAnsi="Times New Roman" w:cs="Times New Roman"/>
                      <w:i/>
                      <w:iCs/>
                      <w:color w:val="000000" w:themeColor="text1"/>
                      <w:lang w:val="ro-MD"/>
                    </w:rPr>
                    <w:t>x</w:t>
                  </w:r>
                  <w:r w:rsidRPr="00C011B2">
                    <w:rPr>
                      <w:rFonts w:ascii="Times New Roman" w:hAnsi="Times New Roman" w:cs="Times New Roman"/>
                      <w:i/>
                      <w:iCs/>
                      <w:color w:val="000000" w:themeColor="text1"/>
                      <w:vertAlign w:val="subscript"/>
                      <w:lang w:val="ro-MD"/>
                    </w:rPr>
                    <w:t>k</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w:t>
                  </w:r>
                </w:p>
              </w:tc>
              <w:tc>
                <w:tcPr>
                  <w:tcW w:w="76" w:type="dxa"/>
                  <w:shd w:val="clear" w:color="auto" w:fill="FFFFFF"/>
                  <w:hideMark/>
                </w:tcPr>
                <w:p w14:paraId="209A5A2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20" w:type="dxa"/>
                  <w:shd w:val="clear" w:color="auto" w:fill="FFFFFF"/>
                  <w:hideMark/>
                </w:tcPr>
                <w:p w14:paraId="5C80BC9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instrumentului i, estimată prin modelul de evaluare al instituției pe baza valorii curente a factorului de risc k;</w:t>
                  </w:r>
                </w:p>
              </w:tc>
            </w:tr>
          </w:tbl>
          <w:p w14:paraId="53477CB4"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673" w:type="dxa"/>
              <w:shd w:val="clear" w:color="auto" w:fill="FFFFFF"/>
              <w:tblLayout w:type="fixed"/>
              <w:tblCellMar>
                <w:left w:w="0" w:type="dxa"/>
                <w:right w:w="0" w:type="dxa"/>
              </w:tblCellMar>
              <w:tblLook w:val="04A0" w:firstRow="1" w:lastRow="0" w:firstColumn="1" w:lastColumn="0" w:noHBand="0" w:noVBand="1"/>
            </w:tblPr>
            <w:tblGrid>
              <w:gridCol w:w="1604"/>
              <w:gridCol w:w="76"/>
              <w:gridCol w:w="3993"/>
            </w:tblGrid>
            <w:tr w:rsidR="00D12468" w:rsidRPr="00FA7D23" w14:paraId="4FAF7341" w14:textId="77777777" w:rsidTr="009F091D">
              <w:tc>
                <w:tcPr>
                  <w:tcW w:w="1604" w:type="dxa"/>
                  <w:shd w:val="clear" w:color="auto" w:fill="FFFFFF"/>
                  <w:hideMark/>
                </w:tcPr>
                <w:p w14:paraId="7887DAA8" w14:textId="474F21D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3A91718" wp14:editId="0B5C1F87">
                        <wp:extent cx="946150" cy="222250"/>
                        <wp:effectExtent l="0" t="0" r="6350" b="6350"/>
                        <wp:docPr id="14"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6150" cy="222250"/>
                                </a:xfrm>
                                <a:prstGeom prst="rect">
                                  <a:avLst/>
                                </a:prstGeom>
                                <a:noFill/>
                                <a:ln>
                                  <a:noFill/>
                                </a:ln>
                              </pic:spPr>
                            </pic:pic>
                          </a:graphicData>
                        </a:graphic>
                      </wp:inline>
                    </w:drawing>
                  </w:r>
                </w:p>
              </w:tc>
              <w:tc>
                <w:tcPr>
                  <w:tcW w:w="76" w:type="dxa"/>
                  <w:shd w:val="clear" w:color="auto" w:fill="FFFFFF"/>
                  <w:hideMark/>
                </w:tcPr>
                <w:p w14:paraId="0EDC53F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993" w:type="dxa"/>
                  <w:shd w:val="clear" w:color="auto" w:fill="FFFFFF"/>
                  <w:hideMark/>
                </w:tcPr>
                <w:p w14:paraId="358F25F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instrumentului i, estimată prin modelul de evaluare al instituției pe baza unei variații ascendente a valorii factorului de risc k;</w:t>
                  </w:r>
                </w:p>
              </w:tc>
            </w:tr>
          </w:tbl>
          <w:p w14:paraId="18E56340"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554" w:type="dxa"/>
              <w:shd w:val="clear" w:color="auto" w:fill="FFFFFF"/>
              <w:tblLayout w:type="fixed"/>
              <w:tblCellMar>
                <w:left w:w="0" w:type="dxa"/>
                <w:right w:w="0" w:type="dxa"/>
              </w:tblCellMar>
              <w:tblLook w:val="04A0" w:firstRow="1" w:lastRow="0" w:firstColumn="1" w:lastColumn="0" w:noHBand="0" w:noVBand="1"/>
            </w:tblPr>
            <w:tblGrid>
              <w:gridCol w:w="1463"/>
              <w:gridCol w:w="76"/>
              <w:gridCol w:w="4015"/>
            </w:tblGrid>
            <w:tr w:rsidR="00D12468" w:rsidRPr="00FA7D23" w14:paraId="4D4CEF04" w14:textId="77777777" w:rsidTr="009F091D">
              <w:tc>
                <w:tcPr>
                  <w:tcW w:w="1463" w:type="dxa"/>
                  <w:shd w:val="clear" w:color="auto" w:fill="FFFFFF"/>
                  <w:hideMark/>
                </w:tcPr>
                <w:p w14:paraId="331D5189" w14:textId="5F47C61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28E7AF10" wp14:editId="4FF52A14">
                        <wp:extent cx="914400" cy="177800"/>
                        <wp:effectExtent l="0" t="0" r="0" b="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177800"/>
                                </a:xfrm>
                                <a:prstGeom prst="rect">
                                  <a:avLst/>
                                </a:prstGeom>
                                <a:noFill/>
                                <a:ln>
                                  <a:noFill/>
                                </a:ln>
                              </pic:spPr>
                            </pic:pic>
                          </a:graphicData>
                        </a:graphic>
                      </wp:inline>
                    </w:drawing>
                  </w:r>
                </w:p>
              </w:tc>
              <w:tc>
                <w:tcPr>
                  <w:tcW w:w="76" w:type="dxa"/>
                  <w:shd w:val="clear" w:color="auto" w:fill="FFFFFF"/>
                  <w:hideMark/>
                </w:tcPr>
                <w:p w14:paraId="06CDD2F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015" w:type="dxa"/>
                  <w:shd w:val="clear" w:color="auto" w:fill="FFFFFF"/>
                  <w:hideMark/>
                </w:tcPr>
                <w:p w14:paraId="2122C0D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instrumentului i, estimată prin modelul de evaluare al instituției pe baza unei variații descendente a valorii factorului de risc k;</w:t>
                  </w:r>
                </w:p>
              </w:tc>
            </w:tr>
          </w:tbl>
          <w:p w14:paraId="1B7A506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537" w:type="dxa"/>
              <w:shd w:val="clear" w:color="auto" w:fill="FFFFFF"/>
              <w:tblLayout w:type="fixed"/>
              <w:tblCellMar>
                <w:left w:w="0" w:type="dxa"/>
                <w:right w:w="0" w:type="dxa"/>
              </w:tblCellMar>
              <w:tblLook w:val="04A0" w:firstRow="1" w:lastRow="0" w:firstColumn="1" w:lastColumn="0" w:noHBand="0" w:noVBand="1"/>
            </w:tblPr>
            <w:tblGrid>
              <w:gridCol w:w="1179"/>
              <w:gridCol w:w="76"/>
              <w:gridCol w:w="4282"/>
            </w:tblGrid>
            <w:tr w:rsidR="00D12468" w:rsidRPr="00FA7D23" w14:paraId="372171BE" w14:textId="77777777" w:rsidTr="009F091D">
              <w:tc>
                <w:tcPr>
                  <w:tcW w:w="1179" w:type="dxa"/>
                  <w:shd w:val="clear" w:color="auto" w:fill="FFFFFF"/>
                  <w:hideMark/>
                </w:tcPr>
                <w:p w14:paraId="3E6B8B76" w14:textId="3430BB5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B33CD41" wp14:editId="0FBC9036">
                        <wp:extent cx="571500" cy="152400"/>
                        <wp:effectExtent l="0" t="0" r="0" b="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76" w:type="dxa"/>
                  <w:shd w:val="clear" w:color="auto" w:fill="FFFFFF"/>
                  <w:hideMark/>
                </w:tcPr>
                <w:p w14:paraId="3ED1F40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82" w:type="dxa"/>
                  <w:shd w:val="clear" w:color="auto" w:fill="FFFFFF"/>
                  <w:hideMark/>
                </w:tcPr>
                <w:p w14:paraId="178A7E7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aplicabilă factorului de risc k, determinată în conformitate cu secțiunea 6;</w:t>
                  </w:r>
                </w:p>
              </w:tc>
            </w:tr>
          </w:tbl>
          <w:p w14:paraId="191564C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85" w:type="dxa"/>
              <w:shd w:val="clear" w:color="auto" w:fill="FFFFFF"/>
              <w:tblLayout w:type="fixed"/>
              <w:tblCellMar>
                <w:left w:w="0" w:type="dxa"/>
                <w:right w:w="0" w:type="dxa"/>
              </w:tblCellMar>
              <w:tblLook w:val="04A0" w:firstRow="1" w:lastRow="0" w:firstColumn="1" w:lastColumn="0" w:noHBand="0" w:noVBand="1"/>
            </w:tblPr>
            <w:tblGrid>
              <w:gridCol w:w="470"/>
              <w:gridCol w:w="76"/>
              <w:gridCol w:w="4639"/>
            </w:tblGrid>
            <w:tr w:rsidR="00D12468" w:rsidRPr="00C011B2" w14:paraId="0BF1037B" w14:textId="77777777" w:rsidTr="009F091D">
              <w:tc>
                <w:tcPr>
                  <w:tcW w:w="470" w:type="dxa"/>
                  <w:shd w:val="clear" w:color="auto" w:fill="FFFFFF"/>
                  <w:hideMark/>
                </w:tcPr>
                <w:p w14:paraId="64C92A6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s</w:t>
                  </w:r>
                  <w:r w:rsidRPr="00C011B2">
                    <w:rPr>
                      <w:rFonts w:ascii="Times New Roman" w:hAnsi="Times New Roman" w:cs="Times New Roman"/>
                      <w:i/>
                      <w:iCs/>
                      <w:color w:val="000000" w:themeColor="text1"/>
                      <w:vertAlign w:val="subscript"/>
                      <w:lang w:val="ro-MD"/>
                    </w:rPr>
                    <w:t>ik</w:t>
                  </w:r>
                </w:p>
              </w:tc>
              <w:tc>
                <w:tcPr>
                  <w:tcW w:w="76" w:type="dxa"/>
                  <w:shd w:val="clear" w:color="auto" w:fill="FFFFFF"/>
                  <w:hideMark/>
                </w:tcPr>
                <w:p w14:paraId="146D472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639" w:type="dxa"/>
                  <w:shd w:val="clear" w:color="auto" w:fill="FFFFFF"/>
                  <w:hideMark/>
                </w:tcPr>
                <w:p w14:paraId="3F50704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delta a instrumentului i la factorul de risc k, calculată în conformitate cu articolul 325r.</w:t>
                  </w:r>
                </w:p>
              </w:tc>
            </w:tr>
          </w:tbl>
          <w:p w14:paraId="4CFA5273" w14:textId="026FCC6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0DEC34C" w14:textId="4A59AB8F" w:rsidR="00D12468" w:rsidRPr="00C011B2" w:rsidRDefault="00E65B83" w:rsidP="00D12468">
            <w:pPr>
              <w:spacing w:after="0" w:line="276" w:lineRule="auto"/>
              <w:jc w:val="both"/>
              <w:rPr>
                <w:rFonts w:ascii="Times New Roman" w:hAnsi="Times New Roman" w:cs="Times New Roman"/>
                <w:color w:val="000000" w:themeColor="text1"/>
                <w:lang w:val="ro-MD"/>
              </w:rPr>
            </w:pPr>
            <w:bookmarkStart w:id="141" w:name="_Hlk222907862"/>
            <w:r w:rsidRPr="00C011B2">
              <w:rPr>
                <w:rFonts w:ascii="Times New Roman" w:hAnsi="Times New Roman" w:cs="Times New Roman"/>
                <w:color w:val="000000" w:themeColor="text1"/>
                <w:lang w:val="ro-MD"/>
              </w:rPr>
              <w:lastRenderedPageBreak/>
              <w:t>122.</w:t>
            </w:r>
            <w:r w:rsidR="00D12468" w:rsidRPr="00C011B2">
              <w:rPr>
                <w:rFonts w:ascii="Times New Roman" w:hAnsi="Times New Roman" w:cs="Times New Roman"/>
                <w:color w:val="000000" w:themeColor="text1"/>
                <w:lang w:val="ro-MD"/>
              </w:rPr>
              <w:t>   Pentru un anumit factor de risc k inclus într-unul sau mai multe instrumente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pct.120</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poziția netă de risc de curbură ascendent a factorului de risc respectiv (</w:t>
            </w:r>
            <w:r w:rsidR="00D12468" w:rsidRPr="00C011B2">
              <w:rPr>
                <w:rFonts w:ascii="Times New Roman" w:hAnsi="Times New Roman" w:cs="Times New Roman"/>
                <w:noProof/>
                <w:color w:val="000000" w:themeColor="text1"/>
                <w:lang w:val="ro-MD"/>
              </w:rPr>
              <w:drawing>
                <wp:inline distT="0" distB="0" distL="0" distR="0" wp14:anchorId="7A886087" wp14:editId="6DAC8D7B">
                  <wp:extent cx="292100" cy="139700"/>
                  <wp:effectExtent l="0" t="0" r="0" b="0"/>
                  <wp:docPr id="129" name="Picture 1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 și poziția netă de risc de curbură descendent a factorului de risc respectiv (</w:t>
            </w:r>
            <w:r w:rsidR="00D12468" w:rsidRPr="00C011B2">
              <w:rPr>
                <w:rFonts w:ascii="Times New Roman" w:hAnsi="Times New Roman" w:cs="Times New Roman"/>
                <w:noProof/>
                <w:color w:val="000000" w:themeColor="text1"/>
                <w:lang w:val="ro-MD"/>
              </w:rPr>
              <w:drawing>
                <wp:inline distT="0" distB="0" distL="0" distR="0" wp14:anchorId="661251E9" wp14:editId="65078CAC">
                  <wp:extent cx="292100" cy="127000"/>
                  <wp:effectExtent l="0" t="0" r="0" b="6350"/>
                  <wp:docPr id="130" name="Picture 1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 după cum urmează:</w:t>
            </w:r>
          </w:p>
          <w:p w14:paraId="1CF6F25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C52CD20" wp14:editId="7F940BA7">
                  <wp:extent cx="1092200" cy="330200"/>
                  <wp:effectExtent l="0" t="0" r="0" b="0"/>
                  <wp:docPr id="131" name="Picture 1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2200" cy="330200"/>
                          </a:xfrm>
                          <a:prstGeom prst="rect">
                            <a:avLst/>
                          </a:prstGeom>
                          <a:noFill/>
                          <a:ln>
                            <a:noFill/>
                          </a:ln>
                        </pic:spPr>
                      </pic:pic>
                    </a:graphicData>
                  </a:graphic>
                </wp:inline>
              </w:drawing>
            </w:r>
          </w:p>
          <w:p w14:paraId="48BC6C4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D900D5C" wp14:editId="4A5D80D3">
                  <wp:extent cx="1092200" cy="330200"/>
                  <wp:effectExtent l="0" t="0" r="0" b="0"/>
                  <wp:docPr id="110" name="Picture 1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2200" cy="330200"/>
                          </a:xfrm>
                          <a:prstGeom prst="rect">
                            <a:avLst/>
                          </a:prstGeom>
                          <a:noFill/>
                          <a:ln>
                            <a:noFill/>
                          </a:ln>
                        </pic:spPr>
                      </pic:pic>
                    </a:graphicData>
                  </a:graphic>
                </wp:inline>
              </w:drawing>
            </w:r>
          </w:p>
          <w:p w14:paraId="7F934DE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02408FB" wp14:editId="01792EFF">
                  <wp:extent cx="2933700" cy="222250"/>
                  <wp:effectExtent l="0" t="0" r="0" b="6350"/>
                  <wp:docPr id="111" name="Picture 1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3700" cy="222250"/>
                          </a:xfrm>
                          <a:prstGeom prst="rect">
                            <a:avLst/>
                          </a:prstGeom>
                          <a:noFill/>
                          <a:ln>
                            <a:noFill/>
                          </a:ln>
                        </pic:spPr>
                      </pic:pic>
                    </a:graphicData>
                  </a:graphic>
                </wp:inline>
              </w:drawing>
            </w:r>
          </w:p>
          <w:p w14:paraId="5120ED9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10CADC1" wp14:editId="62E4225F">
                  <wp:extent cx="2895600" cy="177800"/>
                  <wp:effectExtent l="0" t="0" r="0" b="0"/>
                  <wp:docPr id="112" name="Picture 1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5600" cy="177800"/>
                          </a:xfrm>
                          <a:prstGeom prst="rect">
                            <a:avLst/>
                          </a:prstGeom>
                          <a:noFill/>
                          <a:ln>
                            <a:noFill/>
                          </a:ln>
                        </pic:spPr>
                      </pic:pic>
                    </a:graphicData>
                  </a:graphic>
                </wp:inline>
              </w:drawing>
            </w:r>
          </w:p>
          <w:p w14:paraId="77477CC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45"/>
              <w:gridCol w:w="79"/>
              <w:gridCol w:w="4987"/>
            </w:tblGrid>
            <w:tr w:rsidR="00D12468" w:rsidRPr="00C011B2" w14:paraId="612F121B" w14:textId="77777777" w:rsidTr="001E785F">
              <w:tc>
                <w:tcPr>
                  <w:tcW w:w="67" w:type="dxa"/>
                  <w:shd w:val="clear" w:color="auto" w:fill="FFFFFF"/>
                  <w:hideMark/>
                </w:tcPr>
                <w:p w14:paraId="0C8A4CE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133" w:type="dxa"/>
                  <w:shd w:val="clear" w:color="auto" w:fill="FFFFFF"/>
                  <w:hideMark/>
                </w:tcPr>
                <w:p w14:paraId="30B55B1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489" w:type="dxa"/>
                  <w:shd w:val="clear" w:color="auto" w:fill="FFFFFF"/>
                  <w:hideMark/>
                </w:tcPr>
                <w:p w14:paraId="38745008" w14:textId="4A0FDB9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indicele care desemnează toate pozițiile aferente instrumentelor menționate la </w:t>
                  </w:r>
                  <w:r w:rsidR="00AA0110" w:rsidRPr="00C011B2">
                    <w:rPr>
                      <w:rFonts w:ascii="Times New Roman" w:hAnsi="Times New Roman" w:cs="Times New Roman"/>
                      <w:color w:val="000000" w:themeColor="text1"/>
                      <w:lang w:val="ro-MD"/>
                    </w:rPr>
                    <w:t xml:space="preserve"> </w:t>
                  </w:r>
                  <w:r w:rsidR="00E65B83" w:rsidRPr="00C011B2">
                    <w:rPr>
                      <w:rFonts w:ascii="Times New Roman" w:hAnsi="Times New Roman" w:cs="Times New Roman"/>
                      <w:color w:val="000000" w:themeColor="text1"/>
                      <w:lang w:val="ro-MD"/>
                    </w:rPr>
                    <w:t>pct.120</w:t>
                  </w:r>
                  <w:r w:rsidRPr="00C011B2">
                    <w:rPr>
                      <w:rFonts w:ascii="Times New Roman" w:hAnsi="Times New Roman" w:cs="Times New Roman"/>
                      <w:color w:val="000000" w:themeColor="text1"/>
                      <w:lang w:val="ro-MD"/>
                    </w:rPr>
                    <w:t xml:space="preserve"> care includ factorul de risc k;</w:t>
                  </w:r>
                </w:p>
              </w:tc>
            </w:tr>
          </w:tbl>
          <w:p w14:paraId="65D66F6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6"/>
              <w:gridCol w:w="170"/>
              <w:gridCol w:w="4735"/>
            </w:tblGrid>
            <w:tr w:rsidR="00D12468" w:rsidRPr="00FA7D23" w14:paraId="4F3478DB" w14:textId="77777777" w:rsidTr="001E785F">
              <w:tc>
                <w:tcPr>
                  <w:tcW w:w="375" w:type="dxa"/>
                  <w:shd w:val="clear" w:color="auto" w:fill="FFFFFF"/>
                  <w:hideMark/>
                </w:tcPr>
                <w:p w14:paraId="6E7D655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x</w:t>
                  </w:r>
                  <w:r w:rsidRPr="00C011B2">
                    <w:rPr>
                      <w:rFonts w:ascii="Times New Roman" w:hAnsi="Times New Roman" w:cs="Times New Roman"/>
                      <w:i/>
                      <w:iCs/>
                      <w:color w:val="000000" w:themeColor="text1"/>
                      <w:vertAlign w:val="subscript"/>
                      <w:lang w:val="ro-MD"/>
                    </w:rPr>
                    <w:t>k</w:t>
                  </w:r>
                </w:p>
              </w:tc>
              <w:tc>
                <w:tcPr>
                  <w:tcW w:w="306" w:type="dxa"/>
                  <w:shd w:val="clear" w:color="auto" w:fill="FFFFFF"/>
                  <w:hideMark/>
                </w:tcPr>
                <w:p w14:paraId="5BA6868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008" w:type="dxa"/>
                  <w:shd w:val="clear" w:color="auto" w:fill="FFFFFF"/>
                  <w:hideMark/>
                </w:tcPr>
                <w:p w14:paraId="1E84296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curentă a factorului de risc k;</w:t>
                  </w:r>
                </w:p>
              </w:tc>
            </w:tr>
          </w:tbl>
          <w:p w14:paraId="2B0D44B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08" w:type="dxa"/>
              <w:shd w:val="clear" w:color="auto" w:fill="FFFFFF"/>
              <w:tblLayout w:type="fixed"/>
              <w:tblCellMar>
                <w:left w:w="0" w:type="dxa"/>
                <w:right w:w="0" w:type="dxa"/>
              </w:tblCellMar>
              <w:tblLook w:val="04A0" w:firstRow="1" w:lastRow="0" w:firstColumn="1" w:lastColumn="0" w:noHBand="0" w:noVBand="1"/>
            </w:tblPr>
            <w:tblGrid>
              <w:gridCol w:w="612"/>
              <w:gridCol w:w="76"/>
              <w:gridCol w:w="4420"/>
            </w:tblGrid>
            <w:tr w:rsidR="00D12468" w:rsidRPr="00C011B2" w14:paraId="435583C3" w14:textId="77777777" w:rsidTr="001E785F">
              <w:tc>
                <w:tcPr>
                  <w:tcW w:w="612" w:type="dxa"/>
                  <w:shd w:val="clear" w:color="auto" w:fill="FFFFFF"/>
                  <w:hideMark/>
                </w:tcPr>
                <w:p w14:paraId="37132F6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V</w:t>
                  </w:r>
                  <w:r w:rsidRPr="00C011B2">
                    <w:rPr>
                      <w:rFonts w:ascii="Times New Roman" w:hAnsi="Times New Roman" w:cs="Times New Roman"/>
                      <w:i/>
                      <w:iCs/>
                      <w:color w:val="000000" w:themeColor="text1"/>
                      <w:vertAlign w:val="subscript"/>
                      <w:lang w:val="ro-MD"/>
                    </w:rPr>
                    <w:t>i</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w:t>
                  </w:r>
                  <w:r w:rsidRPr="00C011B2">
                    <w:rPr>
                      <w:rFonts w:ascii="Times New Roman" w:hAnsi="Times New Roman" w:cs="Times New Roman"/>
                      <w:i/>
                      <w:iCs/>
                      <w:color w:val="000000" w:themeColor="text1"/>
                      <w:lang w:val="ro-MD"/>
                    </w:rPr>
                    <w:t>x</w:t>
                  </w:r>
                  <w:r w:rsidRPr="00C011B2">
                    <w:rPr>
                      <w:rFonts w:ascii="Times New Roman" w:hAnsi="Times New Roman" w:cs="Times New Roman"/>
                      <w:i/>
                      <w:iCs/>
                      <w:color w:val="000000" w:themeColor="text1"/>
                      <w:vertAlign w:val="subscript"/>
                      <w:lang w:val="ro-MD"/>
                    </w:rPr>
                    <w:t>k</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w:t>
                  </w:r>
                </w:p>
              </w:tc>
              <w:tc>
                <w:tcPr>
                  <w:tcW w:w="76" w:type="dxa"/>
                  <w:shd w:val="clear" w:color="auto" w:fill="FFFFFF"/>
                  <w:hideMark/>
                </w:tcPr>
                <w:p w14:paraId="760E37F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20" w:type="dxa"/>
                  <w:shd w:val="clear" w:color="auto" w:fill="FFFFFF"/>
                  <w:hideMark/>
                </w:tcPr>
                <w:p w14:paraId="1A86E03F" w14:textId="5D68CA8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valoarea instrumentului i, estimată prin modelul de evaluare al </w:t>
                  </w:r>
                  <w:r w:rsidR="00880EF6" w:rsidRPr="00C011B2">
                    <w:rPr>
                      <w:rFonts w:ascii="Times New Roman" w:hAnsi="Times New Roman" w:cs="Times New Roman"/>
                      <w:color w:val="000000" w:themeColor="text1"/>
                      <w:lang w:val="ro-MD"/>
                    </w:rPr>
                    <w:t xml:space="preserve">băncii </w:t>
                  </w:r>
                  <w:r w:rsidRPr="00C011B2">
                    <w:rPr>
                      <w:rFonts w:ascii="Times New Roman" w:hAnsi="Times New Roman" w:cs="Times New Roman"/>
                      <w:color w:val="000000" w:themeColor="text1"/>
                      <w:lang w:val="ro-MD"/>
                    </w:rPr>
                    <w:t>pe baza valorii curente a factorului de risc k;</w:t>
                  </w:r>
                </w:p>
              </w:tc>
            </w:tr>
          </w:tbl>
          <w:p w14:paraId="42ACB67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673" w:type="dxa"/>
              <w:shd w:val="clear" w:color="auto" w:fill="FFFFFF"/>
              <w:tblLayout w:type="fixed"/>
              <w:tblCellMar>
                <w:left w:w="0" w:type="dxa"/>
                <w:right w:w="0" w:type="dxa"/>
              </w:tblCellMar>
              <w:tblLook w:val="04A0" w:firstRow="1" w:lastRow="0" w:firstColumn="1" w:lastColumn="0" w:noHBand="0" w:noVBand="1"/>
            </w:tblPr>
            <w:tblGrid>
              <w:gridCol w:w="1604"/>
              <w:gridCol w:w="76"/>
              <w:gridCol w:w="3993"/>
            </w:tblGrid>
            <w:tr w:rsidR="00D12468" w:rsidRPr="00FA7D23" w14:paraId="51BFB3DA" w14:textId="77777777" w:rsidTr="001E785F">
              <w:tc>
                <w:tcPr>
                  <w:tcW w:w="1604" w:type="dxa"/>
                  <w:shd w:val="clear" w:color="auto" w:fill="FFFFFF"/>
                  <w:hideMark/>
                </w:tcPr>
                <w:p w14:paraId="76E1D3C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9CD5D70" wp14:editId="56F728C6">
                        <wp:extent cx="946150" cy="222250"/>
                        <wp:effectExtent l="0" t="0" r="6350" b="6350"/>
                        <wp:docPr id="113" name="Picture 1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6150" cy="222250"/>
                                </a:xfrm>
                                <a:prstGeom prst="rect">
                                  <a:avLst/>
                                </a:prstGeom>
                                <a:noFill/>
                                <a:ln>
                                  <a:noFill/>
                                </a:ln>
                              </pic:spPr>
                            </pic:pic>
                          </a:graphicData>
                        </a:graphic>
                      </wp:inline>
                    </w:drawing>
                  </w:r>
                </w:p>
              </w:tc>
              <w:tc>
                <w:tcPr>
                  <w:tcW w:w="76" w:type="dxa"/>
                  <w:shd w:val="clear" w:color="auto" w:fill="FFFFFF"/>
                  <w:hideMark/>
                </w:tcPr>
                <w:p w14:paraId="5085F7C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993" w:type="dxa"/>
                  <w:shd w:val="clear" w:color="auto" w:fill="FFFFFF"/>
                  <w:hideMark/>
                </w:tcPr>
                <w:p w14:paraId="3E800EAC" w14:textId="182FB67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valoarea instrumentului i, estimată prin modelul de evaluare al </w:t>
                  </w:r>
                  <w:bookmarkStart w:id="142" w:name="_Hlk224818735"/>
                  <w:r w:rsidR="00880EF6" w:rsidRPr="00C011B2">
                    <w:rPr>
                      <w:rFonts w:ascii="Times New Roman" w:hAnsi="Times New Roman" w:cs="Times New Roman"/>
                      <w:color w:val="000000" w:themeColor="text1"/>
                      <w:lang w:val="ro-MD"/>
                    </w:rPr>
                    <w:t xml:space="preserve">băncii </w:t>
                  </w:r>
                  <w:bookmarkEnd w:id="142"/>
                  <w:r w:rsidRPr="00C011B2">
                    <w:rPr>
                      <w:rFonts w:ascii="Times New Roman" w:hAnsi="Times New Roman" w:cs="Times New Roman"/>
                      <w:color w:val="000000" w:themeColor="text1"/>
                      <w:lang w:val="ro-MD"/>
                    </w:rPr>
                    <w:t>pe baza unei variații ascendente a valorii factorului de risc k;</w:t>
                  </w:r>
                </w:p>
              </w:tc>
            </w:tr>
          </w:tbl>
          <w:p w14:paraId="42638418"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554" w:type="dxa"/>
              <w:shd w:val="clear" w:color="auto" w:fill="FFFFFF"/>
              <w:tblLayout w:type="fixed"/>
              <w:tblCellMar>
                <w:left w:w="0" w:type="dxa"/>
                <w:right w:w="0" w:type="dxa"/>
              </w:tblCellMar>
              <w:tblLook w:val="04A0" w:firstRow="1" w:lastRow="0" w:firstColumn="1" w:lastColumn="0" w:noHBand="0" w:noVBand="1"/>
            </w:tblPr>
            <w:tblGrid>
              <w:gridCol w:w="1463"/>
              <w:gridCol w:w="76"/>
              <w:gridCol w:w="4015"/>
            </w:tblGrid>
            <w:tr w:rsidR="00D12468" w:rsidRPr="00FA7D23" w14:paraId="7FFAF3E0" w14:textId="77777777" w:rsidTr="001E785F">
              <w:tc>
                <w:tcPr>
                  <w:tcW w:w="1463" w:type="dxa"/>
                  <w:shd w:val="clear" w:color="auto" w:fill="FFFFFF"/>
                  <w:hideMark/>
                </w:tcPr>
                <w:p w14:paraId="7ECF54A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097C9DE6" wp14:editId="395A4433">
                        <wp:extent cx="914400" cy="177800"/>
                        <wp:effectExtent l="0" t="0" r="0" b="0"/>
                        <wp:docPr id="114" name="Picture 1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177800"/>
                                </a:xfrm>
                                <a:prstGeom prst="rect">
                                  <a:avLst/>
                                </a:prstGeom>
                                <a:noFill/>
                                <a:ln>
                                  <a:noFill/>
                                </a:ln>
                              </pic:spPr>
                            </pic:pic>
                          </a:graphicData>
                        </a:graphic>
                      </wp:inline>
                    </w:drawing>
                  </w:r>
                </w:p>
              </w:tc>
              <w:tc>
                <w:tcPr>
                  <w:tcW w:w="76" w:type="dxa"/>
                  <w:shd w:val="clear" w:color="auto" w:fill="FFFFFF"/>
                  <w:hideMark/>
                </w:tcPr>
                <w:p w14:paraId="72EF4C8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015" w:type="dxa"/>
                  <w:shd w:val="clear" w:color="auto" w:fill="FFFFFF"/>
                  <w:hideMark/>
                </w:tcPr>
                <w:p w14:paraId="6157CA5B" w14:textId="7977463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valoarea instrumentului i, estimată prin modelul de evaluare al </w:t>
                  </w:r>
                  <w:r w:rsidR="00880EF6" w:rsidRPr="00C011B2">
                    <w:rPr>
                      <w:rFonts w:ascii="Times New Roman" w:hAnsi="Times New Roman" w:cs="Times New Roman"/>
                      <w:color w:val="000000" w:themeColor="text1"/>
                      <w:lang w:val="ro-MD"/>
                    </w:rPr>
                    <w:t xml:space="preserve">băncii </w:t>
                  </w:r>
                  <w:r w:rsidRPr="00C011B2">
                    <w:rPr>
                      <w:rFonts w:ascii="Times New Roman" w:hAnsi="Times New Roman" w:cs="Times New Roman"/>
                      <w:color w:val="000000" w:themeColor="text1"/>
                      <w:lang w:val="ro-MD"/>
                    </w:rPr>
                    <w:t>pe baza unei variații descendente a valorii factorului de risc k;</w:t>
                  </w:r>
                </w:p>
              </w:tc>
            </w:tr>
          </w:tbl>
          <w:p w14:paraId="596ACB04"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537" w:type="dxa"/>
              <w:shd w:val="clear" w:color="auto" w:fill="FFFFFF"/>
              <w:tblLayout w:type="fixed"/>
              <w:tblCellMar>
                <w:left w:w="0" w:type="dxa"/>
                <w:right w:w="0" w:type="dxa"/>
              </w:tblCellMar>
              <w:tblLook w:val="04A0" w:firstRow="1" w:lastRow="0" w:firstColumn="1" w:lastColumn="0" w:noHBand="0" w:noVBand="1"/>
            </w:tblPr>
            <w:tblGrid>
              <w:gridCol w:w="1179"/>
              <w:gridCol w:w="76"/>
              <w:gridCol w:w="4282"/>
            </w:tblGrid>
            <w:tr w:rsidR="00D12468" w:rsidRPr="00FA7D23" w14:paraId="3118C5F6" w14:textId="77777777" w:rsidTr="001E785F">
              <w:tc>
                <w:tcPr>
                  <w:tcW w:w="1179" w:type="dxa"/>
                  <w:shd w:val="clear" w:color="auto" w:fill="FFFFFF"/>
                  <w:hideMark/>
                </w:tcPr>
                <w:p w14:paraId="70FB2EF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F6A3E91" wp14:editId="07A75450">
                        <wp:extent cx="571500" cy="152400"/>
                        <wp:effectExtent l="0" t="0" r="0" b="0"/>
                        <wp:docPr id="115" name="Picture 1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152400"/>
                                </a:xfrm>
                                <a:prstGeom prst="rect">
                                  <a:avLst/>
                                </a:prstGeom>
                                <a:noFill/>
                                <a:ln>
                                  <a:noFill/>
                                </a:ln>
                              </pic:spPr>
                            </pic:pic>
                          </a:graphicData>
                        </a:graphic>
                      </wp:inline>
                    </w:drawing>
                  </w:r>
                </w:p>
              </w:tc>
              <w:tc>
                <w:tcPr>
                  <w:tcW w:w="76" w:type="dxa"/>
                  <w:shd w:val="clear" w:color="auto" w:fill="FFFFFF"/>
                  <w:hideMark/>
                </w:tcPr>
                <w:p w14:paraId="6F46BE9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82" w:type="dxa"/>
                  <w:shd w:val="clear" w:color="auto" w:fill="FFFFFF"/>
                  <w:hideMark/>
                </w:tcPr>
                <w:p w14:paraId="080B35B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aplicabilă factorului de risc k, determinată în conformitate cu secțiunea 6;</w:t>
                  </w:r>
                </w:p>
              </w:tc>
            </w:tr>
          </w:tbl>
          <w:p w14:paraId="1E6F3A5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85" w:type="dxa"/>
              <w:shd w:val="clear" w:color="auto" w:fill="FFFFFF"/>
              <w:tblLayout w:type="fixed"/>
              <w:tblCellMar>
                <w:left w:w="0" w:type="dxa"/>
                <w:right w:w="0" w:type="dxa"/>
              </w:tblCellMar>
              <w:tblLook w:val="04A0" w:firstRow="1" w:lastRow="0" w:firstColumn="1" w:lastColumn="0" w:noHBand="0" w:noVBand="1"/>
            </w:tblPr>
            <w:tblGrid>
              <w:gridCol w:w="470"/>
              <w:gridCol w:w="76"/>
              <w:gridCol w:w="4639"/>
            </w:tblGrid>
            <w:tr w:rsidR="00D12468" w:rsidRPr="00C011B2" w14:paraId="0E1FF1B5" w14:textId="77777777" w:rsidTr="001E785F">
              <w:tc>
                <w:tcPr>
                  <w:tcW w:w="470" w:type="dxa"/>
                  <w:shd w:val="clear" w:color="auto" w:fill="FFFFFF"/>
                  <w:hideMark/>
                </w:tcPr>
                <w:p w14:paraId="2C1E22D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s</w:t>
                  </w:r>
                  <w:r w:rsidRPr="00C011B2">
                    <w:rPr>
                      <w:rFonts w:ascii="Times New Roman" w:hAnsi="Times New Roman" w:cs="Times New Roman"/>
                      <w:i/>
                      <w:iCs/>
                      <w:color w:val="000000" w:themeColor="text1"/>
                      <w:vertAlign w:val="subscript"/>
                      <w:lang w:val="ro-MD"/>
                    </w:rPr>
                    <w:t>ik</w:t>
                  </w:r>
                </w:p>
              </w:tc>
              <w:tc>
                <w:tcPr>
                  <w:tcW w:w="76" w:type="dxa"/>
                  <w:shd w:val="clear" w:color="auto" w:fill="FFFFFF"/>
                  <w:hideMark/>
                </w:tcPr>
                <w:p w14:paraId="1B2BD9B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639" w:type="dxa"/>
                  <w:shd w:val="clear" w:color="auto" w:fill="FFFFFF"/>
                  <w:hideMark/>
                </w:tcPr>
                <w:p w14:paraId="7C4C171F" w14:textId="6FCCE5F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sensibilitatea delta a instrumentului i la factorul de risc k, calculată în conformitate cu </w:t>
                  </w:r>
                  <w:r w:rsidR="00C72273" w:rsidRPr="00C011B2">
                    <w:rPr>
                      <w:rFonts w:ascii="Times New Roman" w:hAnsi="Times New Roman" w:cs="Times New Roman"/>
                      <w:color w:val="000000" w:themeColor="text1"/>
                      <w:lang w:val="ro-MD"/>
                    </w:rPr>
                    <w:t>para.1, subsecțiunea 2, secțiunea 3</w:t>
                  </w:r>
                  <w:r w:rsidRPr="00C011B2">
                    <w:rPr>
                      <w:rFonts w:ascii="Times New Roman" w:hAnsi="Times New Roman" w:cs="Times New Roman"/>
                      <w:color w:val="000000" w:themeColor="text1"/>
                      <w:lang w:val="ro-MD"/>
                    </w:rPr>
                    <w:t>.</w:t>
                  </w:r>
                </w:p>
              </w:tc>
            </w:tr>
            <w:bookmarkEnd w:id="141"/>
          </w:tbl>
          <w:p w14:paraId="3A39DC2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58C04805" w14:textId="3C363CBC"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397BEF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33BAC8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4D81628" w14:textId="1DE7284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Prin derogare de la alineatul (2), pentru curbele factorilor de risc aparținând claselor de risc general de rată a dobânzii (GIRR), de risc de marjă de credit (CSR) și de risc de marfă, instituțiile realizează calculele prevăzute la alineatul (6) la nivelul întregii curbe, și nu la nivelul fiecărui factor de risc care aparține curbei.</w:t>
            </w:r>
          </w:p>
          <w:p w14:paraId="605A6C17" w14:textId="48021FD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scopul calculului menționat la alineatul (2), în cazul în care </w:t>
            </w:r>
            <w:r w:rsidRPr="00C011B2">
              <w:rPr>
                <w:rFonts w:ascii="Times New Roman" w:hAnsi="Times New Roman" w:cs="Times New Roman"/>
                <w:i/>
                <w:iCs/>
                <w:color w:val="000000" w:themeColor="text1"/>
                <w:lang w:val="ro-MD"/>
              </w:rPr>
              <w:t>x</w:t>
            </w:r>
            <w:r w:rsidRPr="00C011B2">
              <w:rPr>
                <w:rFonts w:ascii="Times New Roman" w:hAnsi="Times New Roman" w:cs="Times New Roman"/>
                <w:i/>
                <w:iCs/>
                <w:color w:val="000000" w:themeColor="text1"/>
                <w:vertAlign w:val="subscript"/>
                <w:lang w:val="ro-MD"/>
              </w:rPr>
              <w:t>k</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este o curbă a factorilor de risc atribuiți claselor de risc general de rată a dobânzii, de risc de marjă de credit și de risc de marfă, </w:t>
            </w:r>
            <w:r w:rsidRPr="00C011B2">
              <w:rPr>
                <w:rFonts w:ascii="Times New Roman" w:hAnsi="Times New Roman" w:cs="Times New Roman"/>
                <w:i/>
                <w:iCs/>
                <w:color w:val="000000" w:themeColor="text1"/>
                <w:lang w:val="ro-MD"/>
              </w:rPr>
              <w:t>s</w:t>
            </w:r>
            <w:r w:rsidRPr="00C011B2">
              <w:rPr>
                <w:rFonts w:ascii="Times New Roman" w:hAnsi="Times New Roman" w:cs="Times New Roman"/>
                <w:i/>
                <w:iCs/>
                <w:color w:val="000000" w:themeColor="text1"/>
                <w:vertAlign w:val="subscript"/>
                <w:lang w:val="ro-MD"/>
              </w:rPr>
              <w:t>ik</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este suma sensibilităților delta la factorul de risc al curbei pentru toate scadențele curbei.</w:t>
            </w:r>
          </w:p>
        </w:tc>
        <w:tc>
          <w:tcPr>
            <w:tcW w:w="1692" w:type="pct"/>
            <w:shd w:val="clear" w:color="auto" w:fill="auto"/>
          </w:tcPr>
          <w:p w14:paraId="60893D49" w14:textId="57F40A11" w:rsidR="00D12468" w:rsidRPr="00C011B2" w:rsidRDefault="00AA0110" w:rsidP="00D12468">
            <w:pPr>
              <w:spacing w:after="0" w:line="276" w:lineRule="auto"/>
              <w:jc w:val="both"/>
              <w:rPr>
                <w:rFonts w:ascii="Times New Roman" w:hAnsi="Times New Roman" w:cs="Times New Roman"/>
                <w:color w:val="000000" w:themeColor="text1"/>
                <w:lang w:val="ro-MD"/>
              </w:rPr>
            </w:pPr>
            <w:bookmarkStart w:id="143" w:name="_Hlk222910149"/>
            <w:r w:rsidRPr="00C011B2">
              <w:rPr>
                <w:rFonts w:ascii="Times New Roman" w:hAnsi="Times New Roman" w:cs="Times New Roman"/>
                <w:color w:val="000000" w:themeColor="text1"/>
                <w:lang w:val="ro-MD"/>
              </w:rPr>
              <w:t>123.</w:t>
            </w:r>
            <w:r w:rsidR="00D12468" w:rsidRPr="00C011B2">
              <w:rPr>
                <w:rFonts w:ascii="Times New Roman" w:hAnsi="Times New Roman" w:cs="Times New Roman"/>
                <w:color w:val="000000" w:themeColor="text1"/>
                <w:lang w:val="ro-MD"/>
              </w:rPr>
              <w:t>   Prin derogare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pct.122</w:t>
            </w:r>
            <w:r w:rsidR="00D12468" w:rsidRPr="00C011B2">
              <w:rPr>
                <w:rFonts w:ascii="Times New Roman" w:hAnsi="Times New Roman" w:cs="Times New Roman"/>
                <w:color w:val="000000" w:themeColor="text1"/>
                <w:lang w:val="ro-MD"/>
              </w:rPr>
              <w:t xml:space="preserve">, pentru curbele factorilor de risc aparținând claselor de risc general de rată a dobânzii (GIRR), de risc de marjă de credit (CSR) și de risc de marfă,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realizează calculele prevăzute la </w:t>
            </w:r>
            <w:r w:rsidR="0005452F" w:rsidRPr="00C011B2">
              <w:rPr>
                <w:rFonts w:ascii="Times New Roman" w:hAnsi="Times New Roman" w:cs="Times New Roman"/>
                <w:color w:val="000000" w:themeColor="text1"/>
                <w:lang w:val="ro-MD"/>
              </w:rPr>
              <w:t>pct.127</w:t>
            </w:r>
            <w:r w:rsidR="00D12468" w:rsidRPr="00C011B2">
              <w:rPr>
                <w:rFonts w:ascii="Times New Roman" w:hAnsi="Times New Roman" w:cs="Times New Roman"/>
                <w:color w:val="000000" w:themeColor="text1"/>
                <w:lang w:val="ro-MD"/>
              </w:rPr>
              <w:t xml:space="preserve"> la nivelul întregii curbe, și nu la nivelul fiecărui factor de risc care aparține curbei.</w:t>
            </w:r>
          </w:p>
          <w:p w14:paraId="07F196F6" w14:textId="1FD4D5ED" w:rsidR="00D12468" w:rsidRPr="00C011B2" w:rsidRDefault="00AA0110"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124. </w:t>
            </w:r>
            <w:r w:rsidR="00D12468" w:rsidRPr="00C011B2">
              <w:rPr>
                <w:rFonts w:ascii="Times New Roman" w:hAnsi="Times New Roman" w:cs="Times New Roman"/>
                <w:color w:val="000000" w:themeColor="text1"/>
                <w:lang w:val="ro-MD"/>
              </w:rPr>
              <w:t>În scopul calculului menționat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pct.122</w:t>
            </w:r>
            <w:r w:rsidR="00D12468" w:rsidRPr="00C011B2">
              <w:rPr>
                <w:rFonts w:ascii="Times New Roman" w:hAnsi="Times New Roman" w:cs="Times New Roman"/>
                <w:color w:val="000000" w:themeColor="text1"/>
                <w:lang w:val="ro-MD"/>
              </w:rPr>
              <w:t>, în cazul în care </w:t>
            </w:r>
            <w:r w:rsidR="00D12468" w:rsidRPr="00C011B2">
              <w:rPr>
                <w:rFonts w:ascii="Times New Roman" w:hAnsi="Times New Roman" w:cs="Times New Roman"/>
                <w:i/>
                <w:iCs/>
                <w:color w:val="000000" w:themeColor="text1"/>
                <w:lang w:val="ro-MD"/>
              </w:rPr>
              <w:t>x</w:t>
            </w:r>
            <w:r w:rsidR="00D12468" w:rsidRPr="00C011B2">
              <w:rPr>
                <w:rFonts w:ascii="Times New Roman" w:hAnsi="Times New Roman" w:cs="Times New Roman"/>
                <w:i/>
                <w:iCs/>
                <w:color w:val="000000" w:themeColor="text1"/>
                <w:vertAlign w:val="subscript"/>
                <w:lang w:val="ro-MD"/>
              </w:rPr>
              <w:t>k</w:t>
            </w:r>
            <w:r w:rsidR="00D12468" w:rsidRPr="00C011B2">
              <w:rPr>
                <w:rFonts w:ascii="Times New Roman" w:hAnsi="Times New Roman" w:cs="Times New Roman"/>
                <w:i/>
                <w:iCs/>
                <w:color w:val="000000" w:themeColor="text1"/>
                <w:lang w:val="ro-MD"/>
              </w:rPr>
              <w:t> </w:t>
            </w:r>
            <w:r w:rsidR="00D12468" w:rsidRPr="00C011B2">
              <w:rPr>
                <w:rFonts w:ascii="Times New Roman" w:hAnsi="Times New Roman" w:cs="Times New Roman"/>
                <w:color w:val="000000" w:themeColor="text1"/>
                <w:lang w:val="ro-MD"/>
              </w:rPr>
              <w:t>este o curbă a factorilor de risc atribuiți claselor de risc general de rată a dobânzii, de risc de marjă de credit și de risc de marfă, </w:t>
            </w:r>
            <w:r w:rsidR="00D12468" w:rsidRPr="00C011B2">
              <w:rPr>
                <w:rFonts w:ascii="Times New Roman" w:hAnsi="Times New Roman" w:cs="Times New Roman"/>
                <w:i/>
                <w:iCs/>
                <w:color w:val="000000" w:themeColor="text1"/>
                <w:lang w:val="ro-MD"/>
              </w:rPr>
              <w:t>s</w:t>
            </w:r>
            <w:r w:rsidR="00D12468" w:rsidRPr="00C011B2">
              <w:rPr>
                <w:rFonts w:ascii="Times New Roman" w:hAnsi="Times New Roman" w:cs="Times New Roman"/>
                <w:i/>
                <w:iCs/>
                <w:color w:val="000000" w:themeColor="text1"/>
                <w:vertAlign w:val="subscript"/>
                <w:lang w:val="ro-MD"/>
              </w:rPr>
              <w:t>ik</w:t>
            </w:r>
            <w:r w:rsidR="00D12468" w:rsidRPr="00C011B2">
              <w:rPr>
                <w:rFonts w:ascii="Times New Roman" w:hAnsi="Times New Roman" w:cs="Times New Roman"/>
                <w:i/>
                <w:iCs/>
                <w:color w:val="000000" w:themeColor="text1"/>
                <w:lang w:val="ro-MD"/>
              </w:rPr>
              <w:t> </w:t>
            </w:r>
            <w:r w:rsidR="00D12468" w:rsidRPr="00C011B2">
              <w:rPr>
                <w:rFonts w:ascii="Times New Roman" w:hAnsi="Times New Roman" w:cs="Times New Roman"/>
                <w:color w:val="000000" w:themeColor="text1"/>
                <w:lang w:val="ro-MD"/>
              </w:rPr>
              <w:t>este suma sensibilităților delta la factorul de risc al curbei pentru toate scadențele curbei.</w:t>
            </w:r>
            <w:bookmarkEnd w:id="143"/>
          </w:p>
        </w:tc>
        <w:tc>
          <w:tcPr>
            <w:tcW w:w="450" w:type="pct"/>
          </w:tcPr>
          <w:p w14:paraId="5A38FE5C" w14:textId="66F67DE8"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782E29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D31CD0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CE18DBB" w14:textId="15B6C97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Pentru a determina cerința de fonduri proprii pentru riscul de curbură la nivel de bandă, instituțiile agregă, aplicând formula de mai jos, pozițiile nete de risc de </w:t>
            </w:r>
            <w:r w:rsidRPr="00C011B2">
              <w:rPr>
                <w:rFonts w:ascii="Times New Roman" w:hAnsi="Times New Roman" w:cs="Times New Roman"/>
                <w:color w:val="000000" w:themeColor="text1"/>
                <w:lang w:val="ro-MD"/>
              </w:rPr>
              <w:lastRenderedPageBreak/>
              <w:t>curbură ascendent și descendent, calculate în conformitate cu alineatul (2), ale tuturor factorilor de risc atribuiți benzii respective în conformitate cu subsecțiunea 1 din secțiunea 3:</w:t>
            </w:r>
          </w:p>
          <w:p w14:paraId="540729DB" w14:textId="7BA4603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FB49500" wp14:editId="00BF38EE">
                  <wp:extent cx="3055620" cy="450850"/>
                  <wp:effectExtent l="0" t="0" r="0" b="6350"/>
                  <wp:docPr id="27" name="Picture 2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55620" cy="450850"/>
                          </a:xfrm>
                          <a:prstGeom prst="rect">
                            <a:avLst/>
                          </a:prstGeom>
                          <a:noFill/>
                          <a:ln>
                            <a:noFill/>
                          </a:ln>
                        </pic:spPr>
                      </pic:pic>
                    </a:graphicData>
                  </a:graphic>
                </wp:inline>
              </w:drawing>
            </w:r>
          </w:p>
          <w:p w14:paraId="31DD981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88"/>
              <w:gridCol w:w="93"/>
              <w:gridCol w:w="4631"/>
            </w:tblGrid>
            <w:tr w:rsidR="00D12468" w:rsidRPr="00FA7D23" w14:paraId="75C6E2FA" w14:textId="77777777" w:rsidTr="000C1C17">
              <w:tc>
                <w:tcPr>
                  <w:tcW w:w="158" w:type="dxa"/>
                  <w:shd w:val="clear" w:color="auto" w:fill="FFFFFF"/>
                  <w:hideMark/>
                </w:tcPr>
                <w:p w14:paraId="1D217D6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b</w:t>
                  </w:r>
                </w:p>
              </w:tc>
              <w:tc>
                <w:tcPr>
                  <w:tcW w:w="168" w:type="dxa"/>
                  <w:shd w:val="clear" w:color="auto" w:fill="FFFFFF"/>
                  <w:hideMark/>
                </w:tcPr>
                <w:p w14:paraId="28D4D5B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63" w:type="dxa"/>
                  <w:shd w:val="clear" w:color="auto" w:fill="FFFFFF"/>
                  <w:hideMark/>
                </w:tcPr>
                <w:p w14:paraId="0817027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o bandă aparținând unei anumite clase de risc;</w:t>
                  </w:r>
                </w:p>
              </w:tc>
            </w:tr>
          </w:tbl>
          <w:p w14:paraId="69FE76C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98"/>
              <w:gridCol w:w="4568"/>
            </w:tblGrid>
            <w:tr w:rsidR="00D12468" w:rsidRPr="00C011B2" w14:paraId="3CA7FBA7" w14:textId="77777777" w:rsidTr="000C1C17">
              <w:tc>
                <w:tcPr>
                  <w:tcW w:w="274" w:type="dxa"/>
                  <w:shd w:val="clear" w:color="auto" w:fill="FFFFFF"/>
                  <w:hideMark/>
                </w:tcPr>
                <w:p w14:paraId="6220523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K</w:t>
                  </w:r>
                  <w:r w:rsidRPr="00C011B2">
                    <w:rPr>
                      <w:rFonts w:ascii="Times New Roman" w:hAnsi="Times New Roman" w:cs="Times New Roman"/>
                      <w:i/>
                      <w:iCs/>
                      <w:color w:val="000000" w:themeColor="text1"/>
                      <w:vertAlign w:val="subscript"/>
                      <w:lang w:val="ro-MD"/>
                    </w:rPr>
                    <w:t>b</w:t>
                  </w:r>
                </w:p>
              </w:tc>
              <w:tc>
                <w:tcPr>
                  <w:tcW w:w="179" w:type="dxa"/>
                  <w:shd w:val="clear" w:color="auto" w:fill="FFFFFF"/>
                  <w:hideMark/>
                </w:tcPr>
                <w:p w14:paraId="0CFDF2B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36" w:type="dxa"/>
                  <w:shd w:val="clear" w:color="auto" w:fill="FFFFFF"/>
                  <w:hideMark/>
                </w:tcPr>
                <w:p w14:paraId="055583A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curbură pentru banda b;</w:t>
                  </w:r>
                </w:p>
              </w:tc>
            </w:tr>
          </w:tbl>
          <w:p w14:paraId="136DFDAD" w14:textId="0C47537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DC4F358" wp14:editId="0F6DC22F">
                  <wp:extent cx="3055620" cy="415290"/>
                  <wp:effectExtent l="0" t="0" r="0" b="3810"/>
                  <wp:docPr id="26" name="Picture 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5620" cy="41529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7DA99EAD" w14:textId="72C9947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7B868B5" wp14:editId="1B75C0AF">
                  <wp:extent cx="3055620" cy="415290"/>
                  <wp:effectExtent l="0" t="0" r="0" b="3810"/>
                  <wp:docPr id="25" name="Picture 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55620" cy="41529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6F3941F7" w14:textId="646B655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895DD9E" wp14:editId="052215B4">
                  <wp:extent cx="2032000" cy="266700"/>
                  <wp:effectExtent l="0" t="0" r="6350" b="0"/>
                  <wp:docPr id="24" name="Picture 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32000" cy="266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25"/>
              <w:gridCol w:w="83"/>
              <w:gridCol w:w="4604"/>
            </w:tblGrid>
            <w:tr w:rsidR="00D12468" w:rsidRPr="00FA7D23" w14:paraId="28FE585A" w14:textId="77777777" w:rsidTr="000C1C17">
              <w:tc>
                <w:tcPr>
                  <w:tcW w:w="234" w:type="dxa"/>
                  <w:shd w:val="clear" w:color="auto" w:fill="FFFFFF"/>
                  <w:hideMark/>
                </w:tcPr>
                <w:p w14:paraId="02A488F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p</w:t>
                  </w:r>
                  <w:r w:rsidRPr="00C011B2">
                    <w:rPr>
                      <w:rFonts w:ascii="Times New Roman" w:hAnsi="Times New Roman" w:cs="Times New Roman"/>
                      <w:i/>
                      <w:iCs/>
                      <w:color w:val="000000" w:themeColor="text1"/>
                      <w:vertAlign w:val="subscript"/>
                      <w:lang w:val="ro-MD"/>
                    </w:rPr>
                    <w:t>kl</w:t>
                  </w:r>
                </w:p>
              </w:tc>
              <w:tc>
                <w:tcPr>
                  <w:tcW w:w="147" w:type="dxa"/>
                  <w:shd w:val="clear" w:color="auto" w:fill="FFFFFF"/>
                  <w:hideMark/>
                </w:tcPr>
                <w:p w14:paraId="7D26EBF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08" w:type="dxa"/>
                  <w:shd w:val="clear" w:color="auto" w:fill="FFFFFF"/>
                  <w:hideMark/>
                </w:tcPr>
                <w:p w14:paraId="5936DE6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corelațiile din cadrul unei benzi dintre factorii de risc k și l, indicate în secțiunea 6;</w:t>
                  </w:r>
                </w:p>
              </w:tc>
            </w:tr>
          </w:tbl>
          <w:p w14:paraId="40904D1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36"/>
              <w:gridCol w:w="76"/>
              <w:gridCol w:w="4600"/>
            </w:tblGrid>
            <w:tr w:rsidR="00D12468" w:rsidRPr="00C011B2" w14:paraId="55734F46" w14:textId="77777777" w:rsidTr="000C1C17">
              <w:tc>
                <w:tcPr>
                  <w:tcW w:w="255" w:type="dxa"/>
                  <w:shd w:val="clear" w:color="auto" w:fill="FFFFFF"/>
                  <w:hideMark/>
                </w:tcPr>
                <w:p w14:paraId="7AEB11E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k, l</w:t>
                  </w:r>
                </w:p>
              </w:tc>
              <w:tc>
                <w:tcPr>
                  <w:tcW w:w="133" w:type="dxa"/>
                  <w:shd w:val="clear" w:color="auto" w:fill="FFFFFF"/>
                  <w:hideMark/>
                </w:tcPr>
                <w:p w14:paraId="271A7F8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01" w:type="dxa"/>
                  <w:shd w:val="clear" w:color="auto" w:fill="FFFFFF"/>
                  <w:hideMark/>
                </w:tcPr>
                <w:p w14:paraId="3E9AD89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indicii care desemnează toți factorii de risc ai instrumentelor menționate la alineatul (1) care sunt atribuiți benzii b;</w:t>
                  </w:r>
                </w:p>
              </w:tc>
            </w:tr>
          </w:tbl>
          <w:p w14:paraId="43B52265"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625"/>
              <w:gridCol w:w="136"/>
              <w:gridCol w:w="4051"/>
            </w:tblGrid>
            <w:tr w:rsidR="00D12468" w:rsidRPr="00FA7D23" w14:paraId="77B258D8" w14:textId="77777777" w:rsidTr="000C1C17">
              <w:tc>
                <w:tcPr>
                  <w:tcW w:w="1245" w:type="dxa"/>
                  <w:shd w:val="clear" w:color="auto" w:fill="FFFFFF"/>
                  <w:hideMark/>
                </w:tcPr>
                <w:p w14:paraId="16F56119" w14:textId="210F6C4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w:t>
                  </w:r>
                  <w:r w:rsidRPr="00C011B2">
                    <w:rPr>
                      <w:rFonts w:ascii="Times New Roman" w:hAnsi="Times New Roman" w:cs="Times New Roman"/>
                      <w:noProof/>
                      <w:color w:val="000000" w:themeColor="text1"/>
                      <w:lang w:val="ro-MD"/>
                    </w:rPr>
                    <w:drawing>
                      <wp:inline distT="0" distB="0" distL="0" distR="0" wp14:anchorId="1863C587" wp14:editId="7123CAA5">
                        <wp:extent cx="292100" cy="139700"/>
                        <wp:effectExtent l="0" t="0" r="0" b="0"/>
                        <wp:docPr id="23" name="Picture 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c>
              <w:tc>
                <w:tcPr>
                  <w:tcW w:w="255" w:type="dxa"/>
                  <w:shd w:val="clear" w:color="auto" w:fill="FFFFFF"/>
                  <w:hideMark/>
                </w:tcPr>
                <w:p w14:paraId="5E9ABED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89" w:type="dxa"/>
                  <w:shd w:val="clear" w:color="auto" w:fill="FFFFFF"/>
                  <w:hideMark/>
                </w:tcPr>
                <w:p w14:paraId="7198383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poziția netă de risc de curbură ascendent;</w:t>
                  </w:r>
                </w:p>
              </w:tc>
            </w:tr>
          </w:tbl>
          <w:p w14:paraId="10074AD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611"/>
              <w:gridCol w:w="133"/>
              <w:gridCol w:w="4068"/>
            </w:tblGrid>
            <w:tr w:rsidR="00D12468" w:rsidRPr="00FA7D23" w14:paraId="61B8C006" w14:textId="77777777" w:rsidTr="000C1C17">
              <w:tc>
                <w:tcPr>
                  <w:tcW w:w="1217" w:type="dxa"/>
                  <w:shd w:val="clear" w:color="auto" w:fill="FFFFFF"/>
                  <w:hideMark/>
                </w:tcPr>
                <w:p w14:paraId="02CEAAAB" w14:textId="3A056BB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r w:rsidRPr="00C011B2">
                    <w:rPr>
                      <w:rFonts w:ascii="Times New Roman" w:hAnsi="Times New Roman" w:cs="Times New Roman"/>
                      <w:noProof/>
                      <w:color w:val="000000" w:themeColor="text1"/>
                      <w:lang w:val="ro-MD"/>
                    </w:rPr>
                    <w:drawing>
                      <wp:inline distT="0" distB="0" distL="0" distR="0" wp14:anchorId="469D7853" wp14:editId="7A60DDA4">
                        <wp:extent cx="292100" cy="127000"/>
                        <wp:effectExtent l="0" t="0" r="0" b="6350"/>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c>
              <w:tc>
                <w:tcPr>
                  <w:tcW w:w="249" w:type="dxa"/>
                  <w:shd w:val="clear" w:color="auto" w:fill="FFFFFF"/>
                  <w:hideMark/>
                </w:tcPr>
                <w:p w14:paraId="4D761B1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23" w:type="dxa"/>
                  <w:shd w:val="clear" w:color="auto" w:fill="FFFFFF"/>
                  <w:hideMark/>
                </w:tcPr>
                <w:p w14:paraId="46F936D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poziția netă de risc de curbură descendent.</w:t>
                  </w:r>
                </w:p>
              </w:tc>
            </w:tr>
          </w:tbl>
          <w:p w14:paraId="5EBA720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1CE9520F" w14:textId="3BA63777" w:rsidR="00D12468" w:rsidRPr="00C011B2" w:rsidRDefault="00AA0110" w:rsidP="00D12468">
            <w:pPr>
              <w:spacing w:after="0" w:line="276" w:lineRule="auto"/>
              <w:jc w:val="both"/>
              <w:rPr>
                <w:rFonts w:ascii="Times New Roman" w:hAnsi="Times New Roman" w:cs="Times New Roman"/>
                <w:color w:val="000000" w:themeColor="text1"/>
                <w:lang w:val="ro-MD"/>
              </w:rPr>
            </w:pPr>
            <w:bookmarkStart w:id="144" w:name="_Hlk222910192"/>
            <w:r w:rsidRPr="00C011B2">
              <w:rPr>
                <w:rFonts w:ascii="Times New Roman" w:hAnsi="Times New Roman" w:cs="Times New Roman"/>
                <w:color w:val="000000" w:themeColor="text1"/>
                <w:lang w:val="ro-MD"/>
              </w:rPr>
              <w:lastRenderedPageBreak/>
              <w:t>125.</w:t>
            </w:r>
            <w:r w:rsidR="00D12468" w:rsidRPr="00C011B2">
              <w:rPr>
                <w:rFonts w:ascii="Times New Roman" w:hAnsi="Times New Roman" w:cs="Times New Roman"/>
                <w:color w:val="000000" w:themeColor="text1"/>
                <w:lang w:val="ro-MD"/>
              </w:rPr>
              <w:t xml:space="preserve"> Pentru a determina cerința de fonduri proprii pentru riscul de curbură la nivel de bandă,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agregă, aplicând formula de mai jos, pozițiile nete de risc de </w:t>
            </w:r>
            <w:r w:rsidR="00D12468" w:rsidRPr="00C011B2">
              <w:rPr>
                <w:rFonts w:ascii="Times New Roman" w:hAnsi="Times New Roman" w:cs="Times New Roman"/>
                <w:color w:val="000000" w:themeColor="text1"/>
                <w:lang w:val="ro-MD"/>
              </w:rPr>
              <w:lastRenderedPageBreak/>
              <w:t>curbură ascendent și descendent, calculate în conformitate</w:t>
            </w:r>
            <w:r w:rsidRPr="00C011B2">
              <w:rPr>
                <w:rFonts w:ascii="Times New Roman" w:hAnsi="Times New Roman" w:cs="Times New Roman"/>
                <w:color w:val="000000" w:themeColor="text1"/>
                <w:lang w:val="ro-MD"/>
              </w:rPr>
              <w:t>pct.122</w:t>
            </w:r>
            <w:r w:rsidR="00D12468" w:rsidRPr="00C011B2">
              <w:rPr>
                <w:rFonts w:ascii="Times New Roman" w:hAnsi="Times New Roman" w:cs="Times New Roman"/>
                <w:color w:val="000000" w:themeColor="text1"/>
                <w:lang w:val="ro-MD"/>
              </w:rPr>
              <w:t>, ale tuturor factorilor de risc atribuiți benzii respective în conformitate cu subsecțiunea 1 din secțiunea 3:</w:t>
            </w:r>
          </w:p>
          <w:p w14:paraId="3DFDD68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A68ABF4" wp14:editId="4C999B76">
                  <wp:extent cx="3055620" cy="450850"/>
                  <wp:effectExtent l="0" t="0" r="0" b="6350"/>
                  <wp:docPr id="116" name="Picture 1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55620" cy="450850"/>
                          </a:xfrm>
                          <a:prstGeom prst="rect">
                            <a:avLst/>
                          </a:prstGeom>
                          <a:noFill/>
                          <a:ln>
                            <a:noFill/>
                          </a:ln>
                        </pic:spPr>
                      </pic:pic>
                    </a:graphicData>
                  </a:graphic>
                </wp:inline>
              </w:drawing>
            </w:r>
          </w:p>
          <w:p w14:paraId="4E1CB58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92"/>
              <w:gridCol w:w="98"/>
              <w:gridCol w:w="4921"/>
            </w:tblGrid>
            <w:tr w:rsidR="00D12468" w:rsidRPr="00FA7D23" w14:paraId="66B54A6B" w14:textId="77777777" w:rsidTr="001E785F">
              <w:tc>
                <w:tcPr>
                  <w:tcW w:w="158" w:type="dxa"/>
                  <w:shd w:val="clear" w:color="auto" w:fill="FFFFFF"/>
                  <w:hideMark/>
                </w:tcPr>
                <w:p w14:paraId="3E6D529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b</w:t>
                  </w:r>
                </w:p>
              </w:tc>
              <w:tc>
                <w:tcPr>
                  <w:tcW w:w="168" w:type="dxa"/>
                  <w:shd w:val="clear" w:color="auto" w:fill="FFFFFF"/>
                  <w:hideMark/>
                </w:tcPr>
                <w:p w14:paraId="0305399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63" w:type="dxa"/>
                  <w:shd w:val="clear" w:color="auto" w:fill="FFFFFF"/>
                  <w:hideMark/>
                </w:tcPr>
                <w:p w14:paraId="7A7E9F6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o bandă aparținând unei anumite clase de risc;</w:t>
                  </w:r>
                </w:p>
              </w:tc>
            </w:tr>
          </w:tbl>
          <w:p w14:paraId="53F4D74B"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54"/>
              <w:gridCol w:w="103"/>
              <w:gridCol w:w="4854"/>
            </w:tblGrid>
            <w:tr w:rsidR="00D12468" w:rsidRPr="00C011B2" w14:paraId="13E1A4AB" w14:textId="77777777" w:rsidTr="001E785F">
              <w:tc>
                <w:tcPr>
                  <w:tcW w:w="274" w:type="dxa"/>
                  <w:shd w:val="clear" w:color="auto" w:fill="FFFFFF"/>
                  <w:hideMark/>
                </w:tcPr>
                <w:p w14:paraId="72F42BB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K</w:t>
                  </w:r>
                  <w:r w:rsidRPr="00C011B2">
                    <w:rPr>
                      <w:rFonts w:ascii="Times New Roman" w:hAnsi="Times New Roman" w:cs="Times New Roman"/>
                      <w:i/>
                      <w:iCs/>
                      <w:color w:val="000000" w:themeColor="text1"/>
                      <w:vertAlign w:val="subscript"/>
                      <w:lang w:val="ro-MD"/>
                    </w:rPr>
                    <w:t>b</w:t>
                  </w:r>
                </w:p>
              </w:tc>
              <w:tc>
                <w:tcPr>
                  <w:tcW w:w="179" w:type="dxa"/>
                  <w:shd w:val="clear" w:color="auto" w:fill="FFFFFF"/>
                  <w:hideMark/>
                </w:tcPr>
                <w:p w14:paraId="1C3DF2A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36" w:type="dxa"/>
                  <w:shd w:val="clear" w:color="auto" w:fill="FFFFFF"/>
                  <w:hideMark/>
                </w:tcPr>
                <w:p w14:paraId="0F92F58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curbură pentru banda b;</w:t>
                  </w:r>
                </w:p>
              </w:tc>
            </w:tr>
          </w:tbl>
          <w:p w14:paraId="5276F42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BEDE651" wp14:editId="30A99335">
                  <wp:extent cx="3055620" cy="415290"/>
                  <wp:effectExtent l="0" t="0" r="0" b="3810"/>
                  <wp:docPr id="117" name="Picture 1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5620" cy="41529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3882948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48133AA" wp14:editId="1BA7F1AD">
                  <wp:extent cx="3055620" cy="415290"/>
                  <wp:effectExtent l="0" t="0" r="0" b="3810"/>
                  <wp:docPr id="118" name="Picture 1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55620" cy="41529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0488D6A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4EF4980" wp14:editId="7CCA5D0E">
                  <wp:extent cx="2032000" cy="266700"/>
                  <wp:effectExtent l="0" t="0" r="6350" b="0"/>
                  <wp:docPr id="119" name="Picture 1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32000" cy="266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32"/>
              <w:gridCol w:w="87"/>
              <w:gridCol w:w="4892"/>
            </w:tblGrid>
            <w:tr w:rsidR="00D12468" w:rsidRPr="00FA7D23" w14:paraId="59B71022" w14:textId="77777777" w:rsidTr="001E785F">
              <w:tc>
                <w:tcPr>
                  <w:tcW w:w="234" w:type="dxa"/>
                  <w:shd w:val="clear" w:color="auto" w:fill="FFFFFF"/>
                  <w:hideMark/>
                </w:tcPr>
                <w:p w14:paraId="109EEBA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p</w:t>
                  </w:r>
                  <w:r w:rsidRPr="00C011B2">
                    <w:rPr>
                      <w:rFonts w:ascii="Times New Roman" w:hAnsi="Times New Roman" w:cs="Times New Roman"/>
                      <w:i/>
                      <w:iCs/>
                      <w:color w:val="000000" w:themeColor="text1"/>
                      <w:vertAlign w:val="subscript"/>
                      <w:lang w:val="ro-MD"/>
                    </w:rPr>
                    <w:t>kl</w:t>
                  </w:r>
                </w:p>
              </w:tc>
              <w:tc>
                <w:tcPr>
                  <w:tcW w:w="147" w:type="dxa"/>
                  <w:shd w:val="clear" w:color="auto" w:fill="FFFFFF"/>
                  <w:hideMark/>
                </w:tcPr>
                <w:p w14:paraId="3BC3479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08" w:type="dxa"/>
                  <w:shd w:val="clear" w:color="auto" w:fill="FFFFFF"/>
                  <w:hideMark/>
                </w:tcPr>
                <w:p w14:paraId="4D9EA1E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corelațiile din cadrul unei benzi dintre factorii de risc k și l, indicate în secțiunea 6;</w:t>
                  </w:r>
                </w:p>
              </w:tc>
            </w:tr>
          </w:tbl>
          <w:p w14:paraId="5EF2DF0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4"/>
              <w:gridCol w:w="79"/>
              <w:gridCol w:w="4888"/>
            </w:tblGrid>
            <w:tr w:rsidR="00D12468" w:rsidRPr="00FA7D23" w14:paraId="3F2A74C4" w14:textId="77777777" w:rsidTr="001E785F">
              <w:tc>
                <w:tcPr>
                  <w:tcW w:w="255" w:type="dxa"/>
                  <w:shd w:val="clear" w:color="auto" w:fill="FFFFFF"/>
                  <w:hideMark/>
                </w:tcPr>
                <w:p w14:paraId="266351A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k, l</w:t>
                  </w:r>
                </w:p>
              </w:tc>
              <w:tc>
                <w:tcPr>
                  <w:tcW w:w="133" w:type="dxa"/>
                  <w:shd w:val="clear" w:color="auto" w:fill="FFFFFF"/>
                  <w:hideMark/>
                </w:tcPr>
                <w:p w14:paraId="4B41724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01" w:type="dxa"/>
                  <w:shd w:val="clear" w:color="auto" w:fill="FFFFFF"/>
                  <w:hideMark/>
                </w:tcPr>
                <w:p w14:paraId="28C8ECA0" w14:textId="72AAA87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indicii care desemnează toți factorii de risc ai instrumentelor menționate la </w:t>
                  </w:r>
                  <w:r w:rsidR="00C62C15" w:rsidRPr="00C011B2">
                    <w:rPr>
                      <w:rFonts w:ascii="Times New Roman" w:hAnsi="Times New Roman" w:cs="Times New Roman"/>
                      <w:color w:val="000000" w:themeColor="text1"/>
                      <w:lang w:val="ro-RO"/>
                    </w:rPr>
                    <w:t xml:space="preserve">pct.120-121 </w:t>
                  </w:r>
                  <w:r w:rsidRPr="00C011B2">
                    <w:rPr>
                      <w:rFonts w:ascii="Times New Roman" w:hAnsi="Times New Roman" w:cs="Times New Roman"/>
                      <w:color w:val="000000" w:themeColor="text1"/>
                      <w:lang w:val="ro-MD"/>
                    </w:rPr>
                    <w:t>care sunt atribuiți benzii b;</w:t>
                  </w:r>
                </w:p>
              </w:tc>
            </w:tr>
          </w:tbl>
          <w:p w14:paraId="5ACE575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663"/>
              <w:gridCol w:w="143"/>
              <w:gridCol w:w="4305"/>
            </w:tblGrid>
            <w:tr w:rsidR="00D12468" w:rsidRPr="00FA7D23" w14:paraId="015DC1A4" w14:textId="77777777" w:rsidTr="001E785F">
              <w:tc>
                <w:tcPr>
                  <w:tcW w:w="1245" w:type="dxa"/>
                  <w:shd w:val="clear" w:color="auto" w:fill="FFFFFF"/>
                  <w:hideMark/>
                </w:tcPr>
                <w:p w14:paraId="38F9CA7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r w:rsidRPr="00C011B2">
                    <w:rPr>
                      <w:rFonts w:ascii="Times New Roman" w:hAnsi="Times New Roman" w:cs="Times New Roman"/>
                      <w:noProof/>
                      <w:color w:val="000000" w:themeColor="text1"/>
                      <w:lang w:val="ro-MD"/>
                    </w:rPr>
                    <w:drawing>
                      <wp:inline distT="0" distB="0" distL="0" distR="0" wp14:anchorId="416DF0EE" wp14:editId="15912879">
                        <wp:extent cx="292100" cy="139700"/>
                        <wp:effectExtent l="0" t="0" r="0" b="0"/>
                        <wp:docPr id="120" name="Picture 1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c>
              <w:tc>
                <w:tcPr>
                  <w:tcW w:w="255" w:type="dxa"/>
                  <w:shd w:val="clear" w:color="auto" w:fill="FFFFFF"/>
                  <w:hideMark/>
                </w:tcPr>
                <w:p w14:paraId="61DA49D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89" w:type="dxa"/>
                  <w:shd w:val="clear" w:color="auto" w:fill="FFFFFF"/>
                  <w:hideMark/>
                </w:tcPr>
                <w:p w14:paraId="0E4ED56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poziția netă de risc de curbură ascendent;</w:t>
                  </w:r>
                </w:p>
              </w:tc>
            </w:tr>
          </w:tbl>
          <w:p w14:paraId="04DA4F4D"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648"/>
              <w:gridCol w:w="140"/>
              <w:gridCol w:w="4323"/>
            </w:tblGrid>
            <w:tr w:rsidR="00D12468" w:rsidRPr="00FA7D23" w14:paraId="39ED948D" w14:textId="77777777" w:rsidTr="001E785F">
              <w:tc>
                <w:tcPr>
                  <w:tcW w:w="1217" w:type="dxa"/>
                  <w:shd w:val="clear" w:color="auto" w:fill="FFFFFF"/>
                  <w:hideMark/>
                </w:tcPr>
                <w:p w14:paraId="4621029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r w:rsidRPr="00C011B2">
                    <w:rPr>
                      <w:rFonts w:ascii="Times New Roman" w:hAnsi="Times New Roman" w:cs="Times New Roman"/>
                      <w:noProof/>
                      <w:color w:val="000000" w:themeColor="text1"/>
                      <w:lang w:val="ro-MD"/>
                    </w:rPr>
                    <w:drawing>
                      <wp:inline distT="0" distB="0" distL="0" distR="0" wp14:anchorId="4AF10734" wp14:editId="100B1E2C">
                        <wp:extent cx="292100" cy="127000"/>
                        <wp:effectExtent l="0" t="0" r="0" b="6350"/>
                        <wp:docPr id="121" name="Picture 1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c>
              <w:tc>
                <w:tcPr>
                  <w:tcW w:w="249" w:type="dxa"/>
                  <w:shd w:val="clear" w:color="auto" w:fill="FFFFFF"/>
                  <w:hideMark/>
                </w:tcPr>
                <w:p w14:paraId="7B6CE9A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23" w:type="dxa"/>
                  <w:shd w:val="clear" w:color="auto" w:fill="FFFFFF"/>
                  <w:hideMark/>
                </w:tcPr>
                <w:p w14:paraId="1C4C65E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poziția netă de risc de curbură descendent.</w:t>
                  </w:r>
                </w:p>
              </w:tc>
            </w:tr>
            <w:bookmarkEnd w:id="144"/>
          </w:tbl>
          <w:p w14:paraId="31B5F5C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2CA193DA" w14:textId="67E8F594"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DB1E883"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F944E3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70CF52A" w14:textId="5FCDEB5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   Prin derogare de la alineatul (4), pentru calcularea cerințelor de fonduri proprii la nivel de bandă pentru riscul de curbură al benzii 18 de la articolul 325ah, al benzii 18 de la articolul 325ak, al benzii 25 de la articolul 325am și al benzii 11 de la articolul 325ap se utilizează următoarea formulă:</w:t>
            </w:r>
          </w:p>
          <w:p w14:paraId="05D81DDE" w14:textId="79CA527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A8841AC" wp14:editId="65D4C298">
                  <wp:extent cx="2736850" cy="400050"/>
                  <wp:effectExtent l="0" t="0" r="6350" b="0"/>
                  <wp:docPr id="21"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6850" cy="400050"/>
                          </a:xfrm>
                          <a:prstGeom prst="rect">
                            <a:avLst/>
                          </a:prstGeom>
                          <a:noFill/>
                          <a:ln>
                            <a:noFill/>
                          </a:ln>
                        </pic:spPr>
                      </pic:pic>
                    </a:graphicData>
                  </a:graphic>
                </wp:inline>
              </w:drawing>
            </w:r>
          </w:p>
        </w:tc>
        <w:tc>
          <w:tcPr>
            <w:tcW w:w="1692" w:type="pct"/>
            <w:shd w:val="clear" w:color="auto" w:fill="auto"/>
          </w:tcPr>
          <w:p w14:paraId="029B1F6E" w14:textId="29F35821" w:rsidR="00D12468" w:rsidRPr="00C011B2" w:rsidRDefault="00AA0110"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126.</w:t>
            </w:r>
            <w:r w:rsidR="00D12468" w:rsidRPr="00C011B2">
              <w:rPr>
                <w:rFonts w:ascii="Times New Roman" w:hAnsi="Times New Roman" w:cs="Times New Roman"/>
                <w:color w:val="000000" w:themeColor="text1"/>
                <w:lang w:val="ro-MD"/>
              </w:rPr>
              <w:t xml:space="preserve">   Prin derogare de la </w:t>
            </w:r>
            <w:r w:rsidRPr="00C011B2">
              <w:rPr>
                <w:rFonts w:ascii="Times New Roman" w:hAnsi="Times New Roman" w:cs="Times New Roman"/>
                <w:color w:val="000000" w:themeColor="text1"/>
                <w:lang w:val="ro-MD"/>
              </w:rPr>
              <w:t>pct.125</w:t>
            </w:r>
            <w:r w:rsidR="00D12468" w:rsidRPr="00C011B2">
              <w:rPr>
                <w:rFonts w:ascii="Times New Roman" w:hAnsi="Times New Roman" w:cs="Times New Roman"/>
                <w:color w:val="000000" w:themeColor="text1"/>
                <w:lang w:val="ro-MD"/>
              </w:rPr>
              <w:t xml:space="preserve">, pentru calcularea cerințelor de fonduri proprii la nivel de bandă pentru riscul de curbură al benzii 18 de la </w:t>
            </w:r>
            <w:r w:rsidR="0005452F" w:rsidRPr="00C011B2">
              <w:rPr>
                <w:rFonts w:ascii="Times New Roman" w:hAnsi="Times New Roman" w:cs="Times New Roman"/>
                <w:color w:val="000000" w:themeColor="text1"/>
                <w:lang w:val="ro-MD"/>
              </w:rPr>
              <w:t>para.4 subsecțiunea 1, secțiunea 6</w:t>
            </w:r>
            <w:r w:rsidR="00D12468" w:rsidRPr="00C011B2">
              <w:rPr>
                <w:rFonts w:ascii="Times New Roman" w:hAnsi="Times New Roman" w:cs="Times New Roman"/>
                <w:color w:val="000000" w:themeColor="text1"/>
                <w:lang w:val="ro-MD"/>
              </w:rPr>
              <w:t xml:space="preserve">, al benzii 18 de la </w:t>
            </w:r>
            <w:r w:rsidR="0005452F" w:rsidRPr="00C011B2">
              <w:rPr>
                <w:rFonts w:ascii="Times New Roman" w:hAnsi="Times New Roman" w:cs="Times New Roman"/>
                <w:color w:val="000000" w:themeColor="text1"/>
                <w:lang w:val="ro-MD"/>
              </w:rPr>
              <w:t xml:space="preserve">para.7 subsecțiunea 1, secțiunea 6 </w:t>
            </w:r>
            <w:r w:rsidR="00D12468" w:rsidRPr="00C011B2">
              <w:rPr>
                <w:rFonts w:ascii="Times New Roman" w:hAnsi="Times New Roman" w:cs="Times New Roman"/>
                <w:color w:val="000000" w:themeColor="text1"/>
                <w:lang w:val="ro-MD"/>
              </w:rPr>
              <w:t xml:space="preserve">, al benzii 25 de la </w:t>
            </w:r>
            <w:r w:rsidR="0005452F" w:rsidRPr="00C011B2">
              <w:rPr>
                <w:rFonts w:ascii="Times New Roman" w:hAnsi="Times New Roman" w:cs="Times New Roman"/>
                <w:color w:val="000000" w:themeColor="text1"/>
                <w:lang w:val="ro-MD"/>
              </w:rPr>
              <w:t xml:space="preserve">para.9 subsecțiunea 1, secțiunea 6 </w:t>
            </w:r>
            <w:r w:rsidR="00D12468" w:rsidRPr="00C011B2">
              <w:rPr>
                <w:rFonts w:ascii="Times New Roman" w:hAnsi="Times New Roman" w:cs="Times New Roman"/>
                <w:color w:val="000000" w:themeColor="text1"/>
                <w:lang w:val="ro-MD"/>
              </w:rPr>
              <w:t xml:space="preserve">și al benzii 11 de la </w:t>
            </w:r>
            <w:r w:rsidR="0005452F" w:rsidRPr="00C011B2">
              <w:rPr>
                <w:rFonts w:ascii="Times New Roman" w:hAnsi="Times New Roman" w:cs="Times New Roman"/>
                <w:color w:val="000000" w:themeColor="text1"/>
                <w:lang w:val="ro-MD"/>
              </w:rPr>
              <w:t xml:space="preserve">para.12 subsecțiunea 1, secțiunea 6 </w:t>
            </w:r>
            <w:r w:rsidR="00D12468" w:rsidRPr="00C011B2">
              <w:rPr>
                <w:rFonts w:ascii="Times New Roman" w:hAnsi="Times New Roman" w:cs="Times New Roman"/>
                <w:color w:val="000000" w:themeColor="text1"/>
                <w:lang w:val="ro-MD"/>
              </w:rPr>
              <w:t>se utilizează următoarea formulă:</w:t>
            </w:r>
          </w:p>
          <w:p w14:paraId="4EFE91C2" w14:textId="14117D4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E00D19B" wp14:editId="007627F7">
                  <wp:extent cx="2736850" cy="400050"/>
                  <wp:effectExtent l="0" t="0" r="6350" b="0"/>
                  <wp:docPr id="122" name="Picture 1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6850" cy="400050"/>
                          </a:xfrm>
                          <a:prstGeom prst="rect">
                            <a:avLst/>
                          </a:prstGeom>
                          <a:noFill/>
                          <a:ln>
                            <a:noFill/>
                          </a:ln>
                        </pic:spPr>
                      </pic:pic>
                    </a:graphicData>
                  </a:graphic>
                </wp:inline>
              </w:drawing>
            </w:r>
          </w:p>
        </w:tc>
        <w:tc>
          <w:tcPr>
            <w:tcW w:w="450" w:type="pct"/>
          </w:tcPr>
          <w:p w14:paraId="172A9D97" w14:textId="1E993217"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8EC62B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C3AB73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E3F0C7" w14:textId="7FDC13C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Instituțiile calculează cerințele de fonduri proprii aferente clasei de risc pentru riscul de curbură (</w:t>
            </w:r>
            <w:r w:rsidRPr="00C011B2">
              <w:rPr>
                <w:rFonts w:ascii="Times New Roman" w:hAnsi="Times New Roman" w:cs="Times New Roman"/>
                <w:i/>
                <w:iCs/>
                <w:color w:val="000000" w:themeColor="text1"/>
                <w:lang w:val="ro-MD"/>
              </w:rPr>
              <w:t>RCCR)</w:t>
            </w:r>
            <w:r w:rsidRPr="00C011B2">
              <w:rPr>
                <w:rFonts w:ascii="Times New Roman" w:hAnsi="Times New Roman" w:cs="Times New Roman"/>
                <w:color w:val="000000" w:themeColor="text1"/>
                <w:lang w:val="ro-MD"/>
              </w:rPr>
              <w:t> prin agregarea tuturor cerințelor de fonduri proprii pentru riscul de curbură la nivel de bandă dintr-o anumită clasă de risc după cum urmează:</w:t>
            </w:r>
          </w:p>
          <w:p w14:paraId="5A98C0DB" w14:textId="0BF8B4B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F0C33C1" wp14:editId="0D9B26E3">
                  <wp:extent cx="3028950" cy="571500"/>
                  <wp:effectExtent l="0" t="0" r="0" b="0"/>
                  <wp:docPr id="30" name="Picture 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28950" cy="571500"/>
                          </a:xfrm>
                          <a:prstGeom prst="rect">
                            <a:avLst/>
                          </a:prstGeom>
                          <a:noFill/>
                          <a:ln>
                            <a:noFill/>
                          </a:ln>
                        </pic:spPr>
                      </pic:pic>
                    </a:graphicData>
                  </a:graphic>
                </wp:inline>
              </w:drawing>
            </w:r>
          </w:p>
          <w:p w14:paraId="312B851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8"/>
              <w:gridCol w:w="76"/>
              <w:gridCol w:w="4588"/>
            </w:tblGrid>
            <w:tr w:rsidR="00D12468" w:rsidRPr="00C011B2" w14:paraId="4E3D9689" w14:textId="77777777" w:rsidTr="000C1C17">
              <w:tc>
                <w:tcPr>
                  <w:tcW w:w="279" w:type="dxa"/>
                  <w:shd w:val="clear" w:color="auto" w:fill="FFFFFF"/>
                  <w:hideMark/>
                </w:tcPr>
                <w:p w14:paraId="6D9DED5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b, c</w:t>
                  </w:r>
                </w:p>
              </w:tc>
              <w:tc>
                <w:tcPr>
                  <w:tcW w:w="133" w:type="dxa"/>
                  <w:shd w:val="clear" w:color="auto" w:fill="FFFFFF"/>
                  <w:hideMark/>
                </w:tcPr>
                <w:p w14:paraId="5EA80E7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77" w:type="dxa"/>
                  <w:shd w:val="clear" w:color="auto" w:fill="FFFFFF"/>
                  <w:hideMark/>
                </w:tcPr>
                <w:p w14:paraId="703F7A2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indicii care desemnează toate benzile dintr-o anumită clasă de risc care corespunde instrumentelor menționate la alineatul (1);</w:t>
                  </w:r>
                </w:p>
              </w:tc>
            </w:tr>
          </w:tbl>
          <w:p w14:paraId="2BC4EF7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98"/>
              <w:gridCol w:w="4568"/>
            </w:tblGrid>
            <w:tr w:rsidR="00D12468" w:rsidRPr="00C011B2" w14:paraId="70B8FB48" w14:textId="77777777" w:rsidTr="000C1C17">
              <w:tc>
                <w:tcPr>
                  <w:tcW w:w="274" w:type="dxa"/>
                  <w:shd w:val="clear" w:color="auto" w:fill="FFFFFF"/>
                  <w:hideMark/>
                </w:tcPr>
                <w:p w14:paraId="3D2499E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lastRenderedPageBreak/>
                    <w:t>K</w:t>
                  </w:r>
                  <w:r w:rsidRPr="00C011B2">
                    <w:rPr>
                      <w:rFonts w:ascii="Times New Roman" w:hAnsi="Times New Roman" w:cs="Times New Roman"/>
                      <w:i/>
                      <w:iCs/>
                      <w:color w:val="000000" w:themeColor="text1"/>
                      <w:vertAlign w:val="subscript"/>
                      <w:lang w:val="ro-MD"/>
                    </w:rPr>
                    <w:t>b</w:t>
                  </w:r>
                </w:p>
              </w:tc>
              <w:tc>
                <w:tcPr>
                  <w:tcW w:w="179" w:type="dxa"/>
                  <w:shd w:val="clear" w:color="auto" w:fill="FFFFFF"/>
                  <w:hideMark/>
                </w:tcPr>
                <w:p w14:paraId="4031FB2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36" w:type="dxa"/>
                  <w:shd w:val="clear" w:color="auto" w:fill="FFFFFF"/>
                  <w:hideMark/>
                </w:tcPr>
                <w:p w14:paraId="587DE4A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curbură pentru banda b;</w:t>
                  </w:r>
                </w:p>
              </w:tc>
            </w:tr>
          </w:tbl>
          <w:p w14:paraId="038CF099" w14:textId="24C515C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22A7DE2" wp14:editId="55CD1069">
                  <wp:extent cx="3055620" cy="288925"/>
                  <wp:effectExtent l="0" t="0" r="0" b="0"/>
                  <wp:docPr id="29" name="Picture 2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55620" cy="288925"/>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50F6BF60" w14:textId="027231F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32C09DE" wp14:editId="3F5A8E1F">
                  <wp:extent cx="2032000" cy="266700"/>
                  <wp:effectExtent l="0" t="0" r="6350" b="0"/>
                  <wp:docPr id="28" name="Picture 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32000" cy="266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115"/>
              <w:gridCol w:w="4514"/>
            </w:tblGrid>
            <w:tr w:rsidR="00D12468" w:rsidRPr="00FA7D23" w14:paraId="7D0B79DC" w14:textId="77777777" w:rsidTr="000C1C17">
              <w:tc>
                <w:tcPr>
                  <w:tcW w:w="351" w:type="dxa"/>
                  <w:shd w:val="clear" w:color="auto" w:fill="FFFFFF"/>
                  <w:hideMark/>
                </w:tcPr>
                <w:p w14:paraId="25189CA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γ</w:t>
                  </w:r>
                  <w:r w:rsidRPr="00C011B2">
                    <w:rPr>
                      <w:rFonts w:ascii="Times New Roman" w:hAnsi="Times New Roman" w:cs="Times New Roman"/>
                      <w:i/>
                      <w:iCs/>
                      <w:color w:val="000000" w:themeColor="text1"/>
                      <w:vertAlign w:val="subscript"/>
                      <w:lang w:val="ro-MD"/>
                    </w:rPr>
                    <w:t>bc</w:t>
                  </w:r>
                </w:p>
              </w:tc>
              <w:tc>
                <w:tcPr>
                  <w:tcW w:w="212" w:type="dxa"/>
                  <w:shd w:val="clear" w:color="auto" w:fill="FFFFFF"/>
                  <w:hideMark/>
                </w:tcPr>
                <w:p w14:paraId="3C3E267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26" w:type="dxa"/>
                  <w:shd w:val="clear" w:color="auto" w:fill="FFFFFF"/>
                  <w:hideMark/>
                </w:tcPr>
                <w:p w14:paraId="3756190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corelațiile dintre benzile b și c, prevăzute în secțiunea 6.</w:t>
                  </w:r>
                </w:p>
              </w:tc>
            </w:tr>
          </w:tbl>
          <w:p w14:paraId="2F4EFAC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4FE7DD8F" w14:textId="5496D025" w:rsidR="00D12468" w:rsidRPr="00C011B2" w:rsidRDefault="0005452F"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127.</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cerințele de fonduri proprii aferente clasei de risc pentru riscul de curbură (</w:t>
            </w:r>
            <w:r w:rsidR="00D12468" w:rsidRPr="00C011B2">
              <w:rPr>
                <w:rFonts w:ascii="Times New Roman" w:hAnsi="Times New Roman" w:cs="Times New Roman"/>
                <w:i/>
                <w:iCs/>
                <w:color w:val="000000" w:themeColor="text1"/>
                <w:lang w:val="ro-MD"/>
              </w:rPr>
              <w:t>RCCR)</w:t>
            </w:r>
            <w:r w:rsidR="00D12468" w:rsidRPr="00C011B2">
              <w:rPr>
                <w:rFonts w:ascii="Times New Roman" w:hAnsi="Times New Roman" w:cs="Times New Roman"/>
                <w:color w:val="000000" w:themeColor="text1"/>
                <w:lang w:val="ro-MD"/>
              </w:rPr>
              <w:t> prin agregarea tuturor cerințelor de fonduri proprii pentru riscul de curbură la nivel de bandă dintr-o anumită clasă de risc după cum urmează:</w:t>
            </w:r>
          </w:p>
          <w:p w14:paraId="0D2BA4F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8B9D4F7" wp14:editId="3C2BFA99">
                  <wp:extent cx="3028950" cy="571500"/>
                  <wp:effectExtent l="0" t="0" r="0" b="0"/>
                  <wp:docPr id="123" name="Picture 1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28950" cy="571500"/>
                          </a:xfrm>
                          <a:prstGeom prst="rect">
                            <a:avLst/>
                          </a:prstGeom>
                          <a:noFill/>
                          <a:ln>
                            <a:noFill/>
                          </a:ln>
                        </pic:spPr>
                      </pic:pic>
                    </a:graphicData>
                  </a:graphic>
                </wp:inline>
              </w:drawing>
            </w:r>
          </w:p>
          <w:p w14:paraId="5E63AFB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56"/>
              <w:gridCol w:w="79"/>
              <w:gridCol w:w="4876"/>
            </w:tblGrid>
            <w:tr w:rsidR="00D12468" w:rsidRPr="00C011B2" w14:paraId="49E65D4D" w14:textId="77777777" w:rsidTr="001E785F">
              <w:tc>
                <w:tcPr>
                  <w:tcW w:w="279" w:type="dxa"/>
                  <w:shd w:val="clear" w:color="auto" w:fill="FFFFFF"/>
                  <w:hideMark/>
                </w:tcPr>
                <w:p w14:paraId="31596E4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b, c</w:t>
                  </w:r>
                </w:p>
              </w:tc>
              <w:tc>
                <w:tcPr>
                  <w:tcW w:w="133" w:type="dxa"/>
                  <w:shd w:val="clear" w:color="auto" w:fill="FFFFFF"/>
                  <w:hideMark/>
                </w:tcPr>
                <w:p w14:paraId="4EE86F5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77" w:type="dxa"/>
                  <w:shd w:val="clear" w:color="auto" w:fill="FFFFFF"/>
                  <w:hideMark/>
                </w:tcPr>
                <w:p w14:paraId="460506E5" w14:textId="02764C7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indicii care desemnează toate benzile dintr-o anumită clasă de risc care corespunde instrumentelor menționate la</w:t>
                  </w:r>
                  <w:r w:rsidR="00A34689" w:rsidRPr="00C011B2">
                    <w:rPr>
                      <w:rFonts w:ascii="Times New Roman" w:hAnsi="Times New Roman" w:cs="Times New Roman"/>
                      <w:color w:val="000000" w:themeColor="text1"/>
                      <w:lang w:val="ro-MD"/>
                    </w:rPr>
                    <w:t xml:space="preserve"> </w:t>
                  </w:r>
                  <w:r w:rsidR="0005452F" w:rsidRPr="00C011B2">
                    <w:rPr>
                      <w:rFonts w:ascii="Times New Roman" w:hAnsi="Times New Roman" w:cs="Times New Roman"/>
                      <w:color w:val="000000" w:themeColor="text1"/>
                      <w:lang w:val="ro-MD"/>
                    </w:rPr>
                    <w:t>pct.120</w:t>
                  </w:r>
                  <w:r w:rsidRPr="00C011B2">
                    <w:rPr>
                      <w:rFonts w:ascii="Times New Roman" w:hAnsi="Times New Roman" w:cs="Times New Roman"/>
                      <w:color w:val="000000" w:themeColor="text1"/>
                      <w:lang w:val="ro-MD"/>
                    </w:rPr>
                    <w:t>;</w:t>
                  </w:r>
                </w:p>
              </w:tc>
            </w:tr>
          </w:tbl>
          <w:p w14:paraId="25963235"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54"/>
              <w:gridCol w:w="103"/>
              <w:gridCol w:w="4854"/>
            </w:tblGrid>
            <w:tr w:rsidR="00D12468" w:rsidRPr="00C011B2" w14:paraId="1B332715" w14:textId="77777777" w:rsidTr="001E785F">
              <w:tc>
                <w:tcPr>
                  <w:tcW w:w="274" w:type="dxa"/>
                  <w:shd w:val="clear" w:color="auto" w:fill="FFFFFF"/>
                  <w:hideMark/>
                </w:tcPr>
                <w:p w14:paraId="0E10EFE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lastRenderedPageBreak/>
                    <w:t>K</w:t>
                  </w:r>
                  <w:r w:rsidRPr="00C011B2">
                    <w:rPr>
                      <w:rFonts w:ascii="Times New Roman" w:hAnsi="Times New Roman" w:cs="Times New Roman"/>
                      <w:i/>
                      <w:iCs/>
                      <w:color w:val="000000" w:themeColor="text1"/>
                      <w:vertAlign w:val="subscript"/>
                      <w:lang w:val="ro-MD"/>
                    </w:rPr>
                    <w:t>b</w:t>
                  </w:r>
                </w:p>
              </w:tc>
              <w:tc>
                <w:tcPr>
                  <w:tcW w:w="179" w:type="dxa"/>
                  <w:shd w:val="clear" w:color="auto" w:fill="FFFFFF"/>
                  <w:hideMark/>
                </w:tcPr>
                <w:p w14:paraId="3AD1145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236" w:type="dxa"/>
                  <w:shd w:val="clear" w:color="auto" w:fill="FFFFFF"/>
                  <w:hideMark/>
                </w:tcPr>
                <w:p w14:paraId="02052A4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curbură pentru banda b;</w:t>
                  </w:r>
                </w:p>
              </w:tc>
            </w:tr>
          </w:tbl>
          <w:p w14:paraId="5BFB41B5" w14:textId="015FDEC8" w:rsidR="002B36CC" w:rsidRPr="00C011B2" w:rsidRDefault="00FA7D23" w:rsidP="002B36CC">
            <w:pPr>
              <w:pStyle w:val="BodyText"/>
              <w:tabs>
                <w:tab w:val="left" w:pos="2539"/>
              </w:tabs>
              <w:ind w:right="-2021"/>
              <w:jc w:val="left"/>
              <w:rPr>
                <w:b/>
                <w:bCs/>
              </w:rPr>
            </w:pPr>
            <m:oMathPara>
              <m:oMathParaPr>
                <m:jc m:val="left"/>
              </m:oMathParaPr>
              <m:oMath>
                <m:sSub>
                  <m:sSubPr>
                    <m:ctrlPr>
                      <w:rPr>
                        <w:rFonts w:ascii="Cambria Math" w:hAnsi="Cambria Math"/>
                        <w:b/>
                        <w:bCs/>
                        <w:i/>
                        <w:sz w:val="16"/>
                        <w:szCs w:val="16"/>
                      </w:rPr>
                    </m:ctrlPr>
                  </m:sSubPr>
                  <m:e>
                    <m:r>
                      <m:rPr>
                        <m:sty m:val="bi"/>
                      </m:rPr>
                      <w:rPr>
                        <w:rFonts w:ascii="Cambria Math" w:hAnsi="Cambria Math"/>
                        <w:sz w:val="16"/>
                        <w:szCs w:val="16"/>
                      </w:rPr>
                      <m:t>S</m:t>
                    </m:r>
                  </m:e>
                  <m:sub>
                    <m:r>
                      <m:rPr>
                        <m:sty m:val="bi"/>
                      </m:rPr>
                      <w:rPr>
                        <w:rFonts w:ascii="Cambria Math" w:hAnsi="Cambria Math"/>
                        <w:sz w:val="16"/>
                        <w:szCs w:val="16"/>
                      </w:rPr>
                      <m:t>b</m:t>
                    </m:r>
                  </m:sub>
                </m:sSub>
                <m:r>
                  <m:rPr>
                    <m:sty m:val="bi"/>
                  </m:rPr>
                  <w:rPr>
                    <w:rFonts w:ascii="Cambria Math" w:hAnsi="Cambria Math"/>
                    <w:sz w:val="16"/>
                    <w:szCs w:val="16"/>
                  </w:rPr>
                  <m:t>=</m:t>
                </m:r>
                <m:d>
                  <m:dPr>
                    <m:begChr m:val="{"/>
                    <m:endChr m:val=""/>
                    <m:ctrlPr>
                      <w:rPr>
                        <w:rFonts w:ascii="Cambria Math" w:hAnsi="Cambria Math"/>
                        <w:b/>
                        <w:bCs/>
                        <w:i/>
                        <w:sz w:val="16"/>
                        <w:szCs w:val="16"/>
                      </w:rPr>
                    </m:ctrlPr>
                  </m:dPr>
                  <m:e>
                    <m:eqArr>
                      <m:eqArrPr>
                        <m:ctrlPr>
                          <w:rPr>
                            <w:rFonts w:ascii="Cambria Math" w:hAnsi="Cambria Math"/>
                            <w:b/>
                            <w:bCs/>
                            <w:i/>
                            <w:sz w:val="16"/>
                            <w:szCs w:val="16"/>
                          </w:rPr>
                        </m:ctrlPr>
                      </m:eqArrPr>
                      <m:e>
                        <m:nary>
                          <m:naryPr>
                            <m:chr m:val="∑"/>
                            <m:limLoc m:val="subSup"/>
                            <m:supHide m:val="1"/>
                            <m:ctrlPr>
                              <w:rPr>
                                <w:rFonts w:ascii="Cambria Math" w:hAnsi="Cambria Math"/>
                                <w:b/>
                                <w:bCs/>
                                <w:i/>
                                <w:sz w:val="16"/>
                                <w:szCs w:val="16"/>
                              </w:rPr>
                            </m:ctrlPr>
                          </m:naryPr>
                          <m:sub>
                            <m:r>
                              <m:rPr>
                                <m:sty m:val="bi"/>
                              </m:rPr>
                              <w:rPr>
                                <w:rFonts w:ascii="Cambria Math" w:hAnsi="Cambria Math"/>
                                <w:sz w:val="16"/>
                                <w:szCs w:val="16"/>
                              </w:rPr>
                              <m:t>k</m:t>
                            </m:r>
                          </m:sub>
                          <m:sup/>
                          <m:e>
                            <m:sSubSup>
                              <m:sSubSupPr>
                                <m:ctrlPr>
                                  <w:rPr>
                                    <w:rFonts w:ascii="Cambria Math" w:hAnsi="Cambria Math"/>
                                    <w:b/>
                                    <w:bCs/>
                                    <w:i/>
                                    <w:sz w:val="16"/>
                                    <w:szCs w:val="16"/>
                                  </w:rPr>
                                </m:ctrlPr>
                              </m:sSubSupPr>
                              <m:e>
                                <m:r>
                                  <m:rPr>
                                    <m:sty m:val="bi"/>
                                  </m:rPr>
                                  <w:rPr>
                                    <w:rFonts w:ascii="Cambria Math" w:hAnsi="Cambria Math"/>
                                    <w:sz w:val="16"/>
                                    <w:szCs w:val="16"/>
                                  </w:rPr>
                                  <m:t>CVR</m:t>
                                </m:r>
                              </m:e>
                              <m:sub>
                                <m:r>
                                  <m:rPr>
                                    <m:sty m:val="bi"/>
                                  </m:rPr>
                                  <w:rPr>
                                    <w:rFonts w:ascii="Cambria Math" w:hAnsi="Cambria Math"/>
                                    <w:sz w:val="16"/>
                                    <w:szCs w:val="16"/>
                                  </w:rPr>
                                  <m:t>k</m:t>
                                </m:r>
                              </m:sub>
                              <m:sup>
                                <m:r>
                                  <m:rPr>
                                    <m:sty m:val="bi"/>
                                  </m:rPr>
                                  <w:rPr>
                                    <w:rFonts w:ascii="Cambria Math" w:hAnsi="Cambria Math"/>
                                    <w:sz w:val="16"/>
                                    <w:szCs w:val="16"/>
                                  </w:rPr>
                                  <m:t>+</m:t>
                                </m:r>
                              </m:sup>
                            </m:sSubSup>
                          </m:e>
                        </m:nary>
                        <m:r>
                          <m:rPr>
                            <m:sty m:val="bi"/>
                          </m:rPr>
                          <w:rPr>
                            <w:rFonts w:ascii="Cambria Math" w:hAnsi="Cambria Math"/>
                            <w:sz w:val="16"/>
                            <w:szCs w:val="16"/>
                          </w:rPr>
                          <m:t xml:space="preserve">,  dacă </m:t>
                        </m:r>
                        <m:sSub>
                          <m:sSubPr>
                            <m:ctrlPr>
                              <w:rPr>
                                <w:rFonts w:ascii="Cambria Math" w:hAnsi="Cambria Math"/>
                                <w:b/>
                                <w:bCs/>
                                <w:i/>
                                <w:sz w:val="16"/>
                                <w:szCs w:val="16"/>
                              </w:rPr>
                            </m:ctrlPr>
                          </m:sSubPr>
                          <m:e>
                            <m:r>
                              <m:rPr>
                                <m:sty m:val="bi"/>
                              </m:rPr>
                              <w:rPr>
                                <w:rFonts w:ascii="Cambria Math" w:hAnsi="Cambria Math"/>
                                <w:sz w:val="16"/>
                                <w:szCs w:val="16"/>
                              </w:rPr>
                              <m:t>K</m:t>
                            </m:r>
                          </m:e>
                          <m:sub>
                            <m:r>
                              <m:rPr>
                                <m:sty m:val="bi"/>
                              </m:rPr>
                              <w:rPr>
                                <w:rFonts w:ascii="Cambria Math" w:hAnsi="Cambria Math"/>
                                <w:sz w:val="16"/>
                                <w:szCs w:val="16"/>
                              </w:rPr>
                              <m:t>b</m:t>
                            </m:r>
                          </m:sub>
                        </m:sSub>
                        <m:r>
                          <m:rPr>
                            <m:sty m:val="bi"/>
                          </m:rPr>
                          <w:rPr>
                            <w:rFonts w:ascii="Cambria Math" w:hAnsi="Cambria Math"/>
                            <w:sz w:val="16"/>
                            <w:szCs w:val="16"/>
                          </w:rPr>
                          <m:t xml:space="preserve">= </m:t>
                        </m:r>
                        <m:sSubSup>
                          <m:sSubSupPr>
                            <m:ctrlPr>
                              <w:rPr>
                                <w:rFonts w:ascii="Cambria Math" w:hAnsi="Cambria Math"/>
                                <w:b/>
                                <w:bCs/>
                                <w:i/>
                                <w:sz w:val="16"/>
                                <w:szCs w:val="16"/>
                              </w:rPr>
                            </m:ctrlPr>
                          </m:sSubSupPr>
                          <m:e>
                            <m:r>
                              <m:rPr>
                                <m:sty m:val="bi"/>
                              </m:rPr>
                              <w:rPr>
                                <w:rFonts w:ascii="Cambria Math" w:hAnsi="Cambria Math"/>
                                <w:sz w:val="16"/>
                                <w:szCs w:val="16"/>
                              </w:rPr>
                              <m:t>K</m:t>
                            </m:r>
                          </m:e>
                          <m:sub>
                            <m:r>
                              <m:rPr>
                                <m:sty m:val="bi"/>
                              </m:rPr>
                              <w:rPr>
                                <w:rFonts w:ascii="Cambria Math" w:hAnsi="Cambria Math"/>
                                <w:sz w:val="16"/>
                                <w:szCs w:val="16"/>
                              </w:rPr>
                              <m:t>b</m:t>
                            </m:r>
                          </m:sub>
                          <m:sup>
                            <m:r>
                              <m:rPr>
                                <m:sty m:val="bi"/>
                              </m:rPr>
                              <w:rPr>
                                <w:rFonts w:ascii="Cambria Math" w:hAnsi="Cambria Math"/>
                                <w:sz w:val="16"/>
                                <w:szCs w:val="16"/>
                              </w:rPr>
                              <m:t>+</m:t>
                            </m:r>
                          </m:sup>
                        </m:sSubSup>
                        <m:r>
                          <m:rPr>
                            <m:sty m:val="bi"/>
                          </m:rPr>
                          <w:rPr>
                            <w:rFonts w:ascii="Cambria Math" w:hAnsi="Cambria Math"/>
                            <w:sz w:val="16"/>
                            <w:szCs w:val="16"/>
                          </w:rPr>
                          <m:t xml:space="preserve"> în conformitate cu pct</m:t>
                        </m:r>
                        <m:r>
                          <m:rPr>
                            <m:sty m:val="b"/>
                          </m:rPr>
                          <w:rPr>
                            <w:rFonts w:ascii="Cambria Math" w:hAnsi="Cambria Math"/>
                            <w:sz w:val="16"/>
                            <w:szCs w:val="16"/>
                          </w:rPr>
                          <m:t>.125</m:t>
                        </m:r>
                        <m:r>
                          <m:rPr>
                            <m:sty m:val="bi"/>
                          </m:rPr>
                          <w:rPr>
                            <w:rFonts w:ascii="Cambria Math" w:hAnsi="Cambria Math"/>
                            <w:sz w:val="16"/>
                            <w:szCs w:val="16"/>
                          </w:rPr>
                          <m:t xml:space="preserve"> </m:t>
                        </m:r>
                      </m:e>
                      <m:e>
                        <m:nary>
                          <m:naryPr>
                            <m:chr m:val="∑"/>
                            <m:limLoc m:val="subSup"/>
                            <m:supHide m:val="1"/>
                            <m:ctrlPr>
                              <w:rPr>
                                <w:rFonts w:ascii="Cambria Math" w:hAnsi="Cambria Math"/>
                                <w:b/>
                                <w:bCs/>
                                <w:i/>
                                <w:sz w:val="16"/>
                                <w:szCs w:val="16"/>
                              </w:rPr>
                            </m:ctrlPr>
                          </m:naryPr>
                          <m:sub>
                            <m:r>
                              <m:rPr>
                                <m:sty m:val="bi"/>
                              </m:rPr>
                              <w:rPr>
                                <w:rFonts w:ascii="Cambria Math" w:hAnsi="Cambria Math"/>
                                <w:sz w:val="16"/>
                                <w:szCs w:val="16"/>
                              </w:rPr>
                              <m:t>k</m:t>
                            </m:r>
                          </m:sub>
                          <m:sup/>
                          <m:e>
                            <m:sSubSup>
                              <m:sSubSupPr>
                                <m:ctrlPr>
                                  <w:rPr>
                                    <w:rFonts w:ascii="Cambria Math" w:hAnsi="Cambria Math"/>
                                    <w:b/>
                                    <w:bCs/>
                                    <w:i/>
                                    <w:sz w:val="16"/>
                                    <w:szCs w:val="16"/>
                                  </w:rPr>
                                </m:ctrlPr>
                              </m:sSubSupPr>
                              <m:e>
                                <m:r>
                                  <m:rPr>
                                    <m:sty m:val="bi"/>
                                  </m:rPr>
                                  <w:rPr>
                                    <w:rFonts w:ascii="Cambria Math" w:hAnsi="Cambria Math"/>
                                    <w:sz w:val="16"/>
                                    <w:szCs w:val="16"/>
                                  </w:rPr>
                                  <m:t>CVR</m:t>
                                </m:r>
                              </m:e>
                              <m:sub>
                                <m:r>
                                  <m:rPr>
                                    <m:sty m:val="bi"/>
                                  </m:rPr>
                                  <w:rPr>
                                    <w:rFonts w:ascii="Cambria Math" w:hAnsi="Cambria Math"/>
                                    <w:sz w:val="16"/>
                                    <w:szCs w:val="16"/>
                                  </w:rPr>
                                  <m:t>k</m:t>
                                </m:r>
                              </m:sub>
                              <m:sup>
                                <m:r>
                                  <m:rPr>
                                    <m:sty m:val="bi"/>
                                  </m:rPr>
                                  <w:rPr>
                                    <w:rFonts w:ascii="Cambria Math" w:hAnsi="Cambria Math"/>
                                    <w:sz w:val="16"/>
                                    <w:szCs w:val="16"/>
                                  </w:rPr>
                                  <m:t>-</m:t>
                                </m:r>
                              </m:sup>
                            </m:sSubSup>
                          </m:e>
                        </m:nary>
                        <m:r>
                          <m:rPr>
                            <m:sty m:val="bi"/>
                          </m:rPr>
                          <w:rPr>
                            <w:rFonts w:ascii="Cambria Math" w:hAnsi="Cambria Math"/>
                            <w:sz w:val="16"/>
                            <w:szCs w:val="16"/>
                          </w:rPr>
                          <m:t>,                                                      în toate celelalte cazuri</m:t>
                        </m:r>
                      </m:e>
                    </m:eqArr>
                  </m:e>
                </m:d>
              </m:oMath>
            </m:oMathPara>
          </w:p>
          <w:p w14:paraId="28D4A56F" w14:textId="77777777" w:rsidR="002B36CC" w:rsidRPr="00C011B2" w:rsidRDefault="002B36CC" w:rsidP="00D12468">
            <w:pPr>
              <w:spacing w:after="0" w:line="276" w:lineRule="auto"/>
              <w:jc w:val="both"/>
              <w:rPr>
                <w:rFonts w:ascii="Times New Roman" w:hAnsi="Times New Roman" w:cs="Times New Roman"/>
                <w:color w:val="000000" w:themeColor="text1"/>
                <w:lang w:val="ro-MD"/>
              </w:rPr>
            </w:pPr>
          </w:p>
          <w:p w14:paraId="01CC8AB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C295740" wp14:editId="35F6279D">
                  <wp:extent cx="2032000" cy="266700"/>
                  <wp:effectExtent l="0" t="0" r="6350" b="0"/>
                  <wp:docPr id="125" name="Picture 1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32000" cy="266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93"/>
              <w:gridCol w:w="121"/>
              <w:gridCol w:w="4797"/>
            </w:tblGrid>
            <w:tr w:rsidR="00D12468" w:rsidRPr="00FA7D23" w14:paraId="1C0AE32C" w14:textId="77777777" w:rsidTr="001E785F">
              <w:tc>
                <w:tcPr>
                  <w:tcW w:w="351" w:type="dxa"/>
                  <w:shd w:val="clear" w:color="auto" w:fill="FFFFFF"/>
                  <w:hideMark/>
                </w:tcPr>
                <w:p w14:paraId="1EF1253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γ</w:t>
                  </w:r>
                  <w:r w:rsidRPr="00C011B2">
                    <w:rPr>
                      <w:rFonts w:ascii="Times New Roman" w:hAnsi="Times New Roman" w:cs="Times New Roman"/>
                      <w:i/>
                      <w:iCs/>
                      <w:color w:val="000000" w:themeColor="text1"/>
                      <w:vertAlign w:val="subscript"/>
                      <w:lang w:val="ro-MD"/>
                    </w:rPr>
                    <w:t>bc</w:t>
                  </w:r>
                </w:p>
              </w:tc>
              <w:tc>
                <w:tcPr>
                  <w:tcW w:w="212" w:type="dxa"/>
                  <w:shd w:val="clear" w:color="auto" w:fill="FFFFFF"/>
                  <w:hideMark/>
                </w:tcPr>
                <w:p w14:paraId="242E111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26" w:type="dxa"/>
                  <w:shd w:val="clear" w:color="auto" w:fill="FFFFFF"/>
                  <w:hideMark/>
                </w:tcPr>
                <w:p w14:paraId="16537DB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corelațiile dintre benzile b și c, prevăzute în secțiunea 6.</w:t>
                  </w:r>
                </w:p>
              </w:tc>
            </w:tr>
          </w:tbl>
          <w:p w14:paraId="03F6DA6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3025EA9A" w14:textId="319E9E4B"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9A5E47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35CEF5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60A6B8D" w14:textId="6D2895A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Cerința de fonduri proprii pentru riscul de curbură este suma dintre cerințele de fonduri proprii aferente clasei de risc pentru riscul de curbură, calculată în conformitate cu alineatul (6) pentru toate clasele de risc cărora le aparține cel puțin un factor de risc al instrumentelor menționate la alineatul (1).</w:t>
            </w:r>
          </w:p>
        </w:tc>
        <w:tc>
          <w:tcPr>
            <w:tcW w:w="1692" w:type="pct"/>
            <w:shd w:val="clear" w:color="auto" w:fill="auto"/>
          </w:tcPr>
          <w:p w14:paraId="18CCE082" w14:textId="008FDD04" w:rsidR="00D12468" w:rsidRPr="00C011B2" w:rsidRDefault="0005452F"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128.</w:t>
            </w:r>
            <w:r w:rsidR="00D12468" w:rsidRPr="00C011B2">
              <w:rPr>
                <w:rFonts w:ascii="Times New Roman" w:hAnsi="Times New Roman" w:cs="Times New Roman"/>
                <w:color w:val="000000" w:themeColor="text1"/>
                <w:lang w:val="ro-MD"/>
              </w:rPr>
              <w:t xml:space="preserve">   Cerința de fonduri proprii pentru riscul de curbură este suma dintre cerințele de fonduri proprii aferente clasei de risc pentru riscul de curbură, calculată în conformitate cu </w:t>
            </w:r>
            <w:r w:rsidRPr="00C011B2">
              <w:rPr>
                <w:rFonts w:ascii="Times New Roman" w:hAnsi="Times New Roman" w:cs="Times New Roman"/>
                <w:color w:val="000000" w:themeColor="text1"/>
                <w:lang w:val="ro-MD"/>
              </w:rPr>
              <w:t>pct.127</w:t>
            </w:r>
            <w:r w:rsidR="00D12468" w:rsidRPr="00C011B2">
              <w:rPr>
                <w:rFonts w:ascii="Times New Roman" w:hAnsi="Times New Roman" w:cs="Times New Roman"/>
                <w:color w:val="000000" w:themeColor="text1"/>
                <w:lang w:val="ro-MD"/>
              </w:rPr>
              <w:t xml:space="preserve"> pentru toate clasele de risc cărora le aparține cel puțin un factor de risc al instrumentelor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pct.120</w:t>
            </w:r>
            <w:r w:rsidR="00D12468" w:rsidRPr="00C011B2">
              <w:rPr>
                <w:rFonts w:ascii="Times New Roman" w:hAnsi="Times New Roman" w:cs="Times New Roman"/>
                <w:color w:val="000000" w:themeColor="text1"/>
                <w:lang w:val="ro-MD"/>
              </w:rPr>
              <w:t>.</w:t>
            </w:r>
          </w:p>
        </w:tc>
        <w:tc>
          <w:tcPr>
            <w:tcW w:w="450" w:type="pct"/>
          </w:tcPr>
          <w:p w14:paraId="06CD9E5E" w14:textId="42637987" w:rsidR="00D12468" w:rsidRPr="00C011B2" w:rsidRDefault="00E039C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941260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79B96D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586AD5"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37" w:tooltip="32019R0876: INSERTED" w:history="1">
              <w:r w:rsidR="00D12468" w:rsidRPr="00C011B2">
                <w:rPr>
                  <w:rStyle w:val="Hyperlink"/>
                  <w:rFonts w:ascii="Times New Roman" w:hAnsi="Times New Roman" w:cs="Times New Roman"/>
                  <w:b/>
                  <w:bCs/>
                  <w:lang w:val="ro-MD"/>
                </w:rPr>
                <w:t>▼M8</w:t>
              </w:r>
            </w:hyperlink>
          </w:p>
          <w:p w14:paraId="3B076005"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325h</w:t>
            </w:r>
          </w:p>
          <w:p w14:paraId="50EEEB61" w14:textId="209C347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Agregarea cerințelor de fonduri proprii specifice unei clase de risc pentru riscurile delta, vega și de curbură</w:t>
            </w:r>
          </w:p>
        </w:tc>
        <w:tc>
          <w:tcPr>
            <w:tcW w:w="1692" w:type="pct"/>
            <w:shd w:val="clear" w:color="auto" w:fill="auto"/>
          </w:tcPr>
          <w:p w14:paraId="78C8B69C" w14:textId="6D2C7EBF" w:rsidR="00D12468" w:rsidRPr="00C011B2" w:rsidRDefault="00634D9A" w:rsidP="00D12468">
            <w:pPr>
              <w:spacing w:after="0" w:line="276" w:lineRule="auto"/>
              <w:jc w:val="both"/>
              <w:rPr>
                <w:rFonts w:ascii="Times New Roman" w:hAnsi="Times New Roman" w:cs="Times New Roman"/>
                <w:color w:val="000000" w:themeColor="text1"/>
                <w:lang w:val="ro-MD"/>
              </w:rPr>
            </w:pPr>
            <w:bookmarkStart w:id="145" w:name="_Hlk195090847"/>
            <w:r w:rsidRPr="00C011B2">
              <w:rPr>
                <w:rFonts w:ascii="Times New Roman" w:hAnsi="Times New Roman" w:cs="Times New Roman"/>
                <w:b/>
                <w:bCs/>
                <w:i/>
                <w:iCs/>
                <w:color w:val="000000" w:themeColor="text1"/>
                <w:lang w:val="ro-MD"/>
              </w:rPr>
              <w:t>Subsecţiunea</w:t>
            </w:r>
            <w:r w:rsidRPr="00C011B2" w:rsidDel="004B5222">
              <w:rPr>
                <w:rFonts w:ascii="Times New Roman" w:hAnsi="Times New Roman" w:cs="Times New Roman"/>
                <w:b/>
                <w:bCs/>
                <w:i/>
                <w:iCs/>
                <w:color w:val="000000" w:themeColor="text1"/>
                <w:lang w:val="ro-MD"/>
              </w:rPr>
              <w:t xml:space="preserve"> </w:t>
            </w:r>
            <w:r w:rsidRPr="00C011B2">
              <w:rPr>
                <w:rFonts w:ascii="Times New Roman" w:hAnsi="Times New Roman" w:cs="Times New Roman"/>
                <w:b/>
                <w:bCs/>
                <w:i/>
                <w:iCs/>
                <w:color w:val="000000" w:themeColor="text1"/>
                <w:lang w:val="ro-MD"/>
              </w:rPr>
              <w:t>5.</w:t>
            </w:r>
            <w:r w:rsidR="00D12468" w:rsidRPr="00C011B2">
              <w:rPr>
                <w:rFonts w:ascii="Times New Roman" w:hAnsi="Times New Roman" w:cs="Times New Roman"/>
                <w:b/>
                <w:bCs/>
                <w:color w:val="000000" w:themeColor="text1"/>
                <w:lang w:val="ro-MD"/>
              </w:rPr>
              <w:t>Agregarea cerințelor de fonduri proprii specifice unei clase de risc pentru riscurile delta, vega și de curbură</w:t>
            </w:r>
            <w:bookmarkEnd w:id="145"/>
          </w:p>
        </w:tc>
        <w:tc>
          <w:tcPr>
            <w:tcW w:w="450" w:type="pct"/>
          </w:tcPr>
          <w:p w14:paraId="47127EB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2B94696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2CEBAD1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DD6C4B" w14:textId="28A1C31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agregă cerințele de fonduri proprii specifice unei clase de risc pentru riscurile delta, vega și de curbură în conformitate cu procesul prevăzut la alineatele (2), (3) și (4).</w:t>
            </w:r>
          </w:p>
        </w:tc>
        <w:tc>
          <w:tcPr>
            <w:tcW w:w="1692" w:type="pct"/>
            <w:shd w:val="clear" w:color="auto" w:fill="auto"/>
          </w:tcPr>
          <w:p w14:paraId="18904800" w14:textId="2FA5EA34" w:rsidR="00D12468" w:rsidRPr="00C011B2" w:rsidRDefault="00634D9A" w:rsidP="00D12468">
            <w:pPr>
              <w:spacing w:after="0" w:line="276" w:lineRule="auto"/>
              <w:jc w:val="both"/>
              <w:rPr>
                <w:rFonts w:ascii="Times New Roman" w:hAnsi="Times New Roman" w:cs="Times New Roman"/>
                <w:color w:val="000000" w:themeColor="text1"/>
                <w:lang w:val="ro-MD"/>
              </w:rPr>
            </w:pPr>
            <w:bookmarkStart w:id="146" w:name="_Hlk222913923"/>
            <w:r w:rsidRPr="00C011B2">
              <w:rPr>
                <w:rFonts w:ascii="Times New Roman" w:hAnsi="Times New Roman" w:cs="Times New Roman"/>
                <w:color w:val="000000" w:themeColor="text1"/>
                <w:lang w:val="ro-MD"/>
              </w:rPr>
              <w:t>129.</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agregă cerințele de fonduri proprii specifice unei clase de risc pentru riscurile delta, vega și de curbură în conformitate cu procesul prevăzut la</w:t>
            </w:r>
            <w:r w:rsidRPr="00C011B2">
              <w:rPr>
                <w:rFonts w:ascii="Times New Roman" w:hAnsi="Times New Roman" w:cs="Times New Roman"/>
                <w:color w:val="000000" w:themeColor="text1"/>
                <w:lang w:val="ro-MD"/>
              </w:rPr>
              <w:t xml:space="preserve"> pct.130, 131 și 132</w:t>
            </w:r>
            <w:r w:rsidR="00D12468" w:rsidRPr="00C011B2">
              <w:rPr>
                <w:rFonts w:ascii="Times New Roman" w:hAnsi="Times New Roman" w:cs="Times New Roman"/>
                <w:color w:val="000000" w:themeColor="text1"/>
                <w:lang w:val="ro-MD"/>
              </w:rPr>
              <w:t>.</w:t>
            </w:r>
            <w:bookmarkEnd w:id="146"/>
          </w:p>
        </w:tc>
        <w:tc>
          <w:tcPr>
            <w:tcW w:w="450" w:type="pct"/>
          </w:tcPr>
          <w:p w14:paraId="7226D7C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5731CF5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07F1F5E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CB9264A" w14:textId="240FD86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Procesul de calculare a cerințelor de fonduri proprii specifice unei clase de risc pentru riscurile delta, vega și de curbură descris la articolele 325f și 325g se efectuează de trei ori pentru fiecare clasă de risc, utilizându-se de fiecare dată un alt set de parametri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(corelația dintre factorii de risc dintr-o bandă)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(corelația dintre benzile dintr-o clasă de risc). Fiecare dintre aceste trei seturi corespunde unui alt scenariu, după cum urmează:</w:t>
            </w:r>
          </w:p>
          <w:p w14:paraId="000E9E81" w14:textId="0EEDE6A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scenariul „corelațiilor moderate”, în care parametrii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rămân neschimbați față de cei specificați în secțiunea 6;</w:t>
            </w:r>
          </w:p>
          <w:p w14:paraId="6C860E60" w14:textId="57B6321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scenariul „corelațiilor puternice”, în care parametrii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care sunt specificați în secțiunea 6 se înmulțesc în mod uniform cu 1,25, în timp ce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fac obiectul unui plafon de 100 %.</w:t>
            </w:r>
          </w:p>
          <w:p w14:paraId="6DE2666B"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38" w:tooltip="32021R0424: REPLACED" w:history="1">
              <w:r w:rsidR="00D12468" w:rsidRPr="00C011B2">
                <w:rPr>
                  <w:rStyle w:val="Hyperlink"/>
                  <w:rFonts w:ascii="Times New Roman" w:hAnsi="Times New Roman" w:cs="Times New Roman"/>
                  <w:b/>
                  <w:bCs/>
                  <w:lang w:val="ro-MD"/>
                </w:rPr>
                <w:t>▼M12</w:t>
              </w:r>
            </w:hyperlink>
          </w:p>
          <w:p w14:paraId="6640FE16" w14:textId="2EF3E71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scenariul „corelațiilor slabe”, în care parametrii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specificați în secțiunea 6 se înlocuiesc cu </w:t>
            </w:r>
            <w:r w:rsidRPr="00C011B2">
              <w:rPr>
                <w:rFonts w:ascii="Times New Roman" w:hAnsi="Times New Roman" w:cs="Times New Roman"/>
                <w:noProof/>
                <w:color w:val="000000" w:themeColor="text1"/>
                <w:lang w:val="ro-MD"/>
              </w:rPr>
              <w:drawing>
                <wp:inline distT="0" distB="0" distL="0" distR="0" wp14:anchorId="106E1B17" wp14:editId="4E372E40">
                  <wp:extent cx="2120900" cy="139700"/>
                  <wp:effectExtent l="0" t="0" r="0" b="0"/>
                  <wp:docPr id="32" name="Picture 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2090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și, respectiv, cu </w:t>
            </w:r>
            <w:r w:rsidRPr="00C011B2">
              <w:rPr>
                <w:rFonts w:ascii="Times New Roman" w:hAnsi="Times New Roman" w:cs="Times New Roman"/>
                <w:noProof/>
                <w:color w:val="000000" w:themeColor="text1"/>
                <w:lang w:val="ro-MD"/>
              </w:rPr>
              <w:drawing>
                <wp:inline distT="0" distB="0" distL="0" distR="0" wp14:anchorId="6B11EFF5" wp14:editId="2CAB99C7">
                  <wp:extent cx="2114550" cy="139700"/>
                  <wp:effectExtent l="0" t="0" r="0" b="0"/>
                  <wp:docPr id="31" name="Picture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1455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c>
        <w:tc>
          <w:tcPr>
            <w:tcW w:w="1692" w:type="pct"/>
            <w:shd w:val="clear" w:color="auto" w:fill="auto"/>
          </w:tcPr>
          <w:p w14:paraId="724D6DA3" w14:textId="7A5B5B67" w:rsidR="00D12468" w:rsidRPr="00C011B2" w:rsidRDefault="00634D9A" w:rsidP="00D12468">
            <w:pPr>
              <w:spacing w:after="0" w:line="276" w:lineRule="auto"/>
              <w:jc w:val="both"/>
              <w:rPr>
                <w:rFonts w:ascii="Times New Roman" w:hAnsi="Times New Roman" w:cs="Times New Roman"/>
                <w:color w:val="000000" w:themeColor="text1"/>
                <w:lang w:val="ro-MD"/>
              </w:rPr>
            </w:pPr>
            <w:bookmarkStart w:id="147" w:name="_Hlk222914038"/>
            <w:r w:rsidRPr="00C011B2">
              <w:rPr>
                <w:rFonts w:ascii="Times New Roman" w:hAnsi="Times New Roman" w:cs="Times New Roman"/>
                <w:color w:val="000000" w:themeColor="text1"/>
                <w:lang w:val="ro-MD"/>
              </w:rPr>
              <w:t>130.</w:t>
            </w:r>
            <w:r w:rsidR="00D12468" w:rsidRPr="00C011B2">
              <w:rPr>
                <w:rFonts w:ascii="Times New Roman" w:hAnsi="Times New Roman" w:cs="Times New Roman"/>
                <w:color w:val="000000" w:themeColor="text1"/>
                <w:lang w:val="ro-MD"/>
              </w:rPr>
              <w:t>   Procesul de calculare a cerințelor de fonduri proprii specifice unei clase de risc pentru riscurile delta, vega și de curbură descris la</w:t>
            </w:r>
            <w:r w:rsidRPr="00C011B2">
              <w:rPr>
                <w:rFonts w:ascii="Times New Roman" w:hAnsi="Times New Roman" w:cs="Times New Roman"/>
                <w:color w:val="000000" w:themeColor="text1"/>
                <w:lang w:val="ro-MD"/>
              </w:rPr>
              <w:t xml:space="preserve"> secțiunea 2,</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subsecțiunile 3 și  </w:t>
            </w:r>
            <w:r w:rsidR="00D12468" w:rsidRPr="00C011B2">
              <w:rPr>
                <w:rFonts w:ascii="Times New Roman" w:hAnsi="Times New Roman" w:cs="Times New Roman"/>
                <w:color w:val="000000" w:themeColor="text1"/>
                <w:lang w:val="ro-MD"/>
              </w:rPr>
              <w:t>se efectuează de trei ori pentru fiecare clasă de risc, utilizându-se de fiecare dată un alt set de parametri de corelație ρ</w:t>
            </w:r>
            <w:r w:rsidR="00D12468" w:rsidRPr="00C011B2">
              <w:rPr>
                <w:rFonts w:ascii="Times New Roman" w:hAnsi="Times New Roman" w:cs="Times New Roman"/>
                <w:color w:val="000000" w:themeColor="text1"/>
                <w:vertAlign w:val="subscript"/>
                <w:lang w:val="ro-MD"/>
              </w:rPr>
              <w:t>kl</w:t>
            </w:r>
            <w:r w:rsidR="00D12468" w:rsidRPr="00C011B2">
              <w:rPr>
                <w:rFonts w:ascii="Times New Roman" w:hAnsi="Times New Roman" w:cs="Times New Roman"/>
                <w:color w:val="000000" w:themeColor="text1"/>
                <w:lang w:val="ro-MD"/>
              </w:rPr>
              <w:t> (corelația dintre factorii de risc dintr-o bandă) și γ</w:t>
            </w:r>
            <w:r w:rsidR="00D12468" w:rsidRPr="00C011B2">
              <w:rPr>
                <w:rFonts w:ascii="Times New Roman" w:hAnsi="Times New Roman" w:cs="Times New Roman"/>
                <w:color w:val="000000" w:themeColor="text1"/>
                <w:vertAlign w:val="subscript"/>
                <w:lang w:val="ro-MD"/>
              </w:rPr>
              <w:t>bc</w:t>
            </w:r>
            <w:r w:rsidR="00D12468" w:rsidRPr="00C011B2">
              <w:rPr>
                <w:rFonts w:ascii="Times New Roman" w:hAnsi="Times New Roman" w:cs="Times New Roman"/>
                <w:color w:val="000000" w:themeColor="text1"/>
                <w:lang w:val="ro-MD"/>
              </w:rPr>
              <w:t> (corelația dintre benzile dintr-o clasă de risc). Fiecare dintre aceste trei seturi corespunde unui alt scenariu, după cum urmează:</w:t>
            </w:r>
          </w:p>
          <w:p w14:paraId="1F740AC4" w14:textId="1DCE722F" w:rsidR="00D12468" w:rsidRPr="00C011B2" w:rsidRDefault="00634D9A"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130.1.</w:t>
            </w:r>
            <w:r w:rsidR="00D12468" w:rsidRPr="00C011B2">
              <w:rPr>
                <w:rFonts w:ascii="Times New Roman" w:hAnsi="Times New Roman" w:cs="Times New Roman"/>
                <w:color w:val="000000" w:themeColor="text1"/>
                <w:lang w:val="ro-MD"/>
              </w:rPr>
              <w:t> scenariul „corelațiilor moderate”, în care parametrii de corelație ρ</w:t>
            </w:r>
            <w:r w:rsidR="00D12468" w:rsidRPr="00C011B2">
              <w:rPr>
                <w:rFonts w:ascii="Times New Roman" w:hAnsi="Times New Roman" w:cs="Times New Roman"/>
                <w:color w:val="000000" w:themeColor="text1"/>
                <w:vertAlign w:val="subscript"/>
                <w:lang w:val="ro-MD"/>
              </w:rPr>
              <w:t>kl</w:t>
            </w:r>
            <w:r w:rsidR="00D12468" w:rsidRPr="00C011B2">
              <w:rPr>
                <w:rFonts w:ascii="Times New Roman" w:hAnsi="Times New Roman" w:cs="Times New Roman"/>
                <w:color w:val="000000" w:themeColor="text1"/>
                <w:lang w:val="ro-MD"/>
              </w:rPr>
              <w:t> și γ</w:t>
            </w:r>
            <w:r w:rsidR="00D12468" w:rsidRPr="00C011B2">
              <w:rPr>
                <w:rFonts w:ascii="Times New Roman" w:hAnsi="Times New Roman" w:cs="Times New Roman"/>
                <w:color w:val="000000" w:themeColor="text1"/>
                <w:vertAlign w:val="subscript"/>
                <w:lang w:val="ro-MD"/>
              </w:rPr>
              <w:t>bc</w:t>
            </w:r>
            <w:r w:rsidR="00D12468" w:rsidRPr="00C011B2">
              <w:rPr>
                <w:rFonts w:ascii="Times New Roman" w:hAnsi="Times New Roman" w:cs="Times New Roman"/>
                <w:color w:val="000000" w:themeColor="text1"/>
                <w:lang w:val="ro-MD"/>
              </w:rPr>
              <w:t> rămân neschimbați față de cei specificați în secțiunea 6;</w:t>
            </w:r>
          </w:p>
          <w:p w14:paraId="41CDC11E" w14:textId="13FF40FB" w:rsidR="00D12468" w:rsidRPr="00C011B2" w:rsidRDefault="00634D9A"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130.2.</w:t>
            </w:r>
            <w:r w:rsidR="00D12468" w:rsidRPr="00C011B2">
              <w:rPr>
                <w:rFonts w:ascii="Times New Roman" w:hAnsi="Times New Roman" w:cs="Times New Roman"/>
                <w:color w:val="000000" w:themeColor="text1"/>
                <w:lang w:val="ro-MD"/>
              </w:rPr>
              <w:t> scenariul „corelațiilor puternice”, în care parametrii de corelație ρ</w:t>
            </w:r>
            <w:r w:rsidR="00D12468" w:rsidRPr="00C011B2">
              <w:rPr>
                <w:rFonts w:ascii="Times New Roman" w:hAnsi="Times New Roman" w:cs="Times New Roman"/>
                <w:color w:val="000000" w:themeColor="text1"/>
                <w:vertAlign w:val="subscript"/>
                <w:lang w:val="ro-MD"/>
              </w:rPr>
              <w:t>kl</w:t>
            </w:r>
            <w:r w:rsidR="00D12468" w:rsidRPr="00C011B2">
              <w:rPr>
                <w:rFonts w:ascii="Times New Roman" w:hAnsi="Times New Roman" w:cs="Times New Roman"/>
                <w:color w:val="000000" w:themeColor="text1"/>
                <w:lang w:val="ro-MD"/>
              </w:rPr>
              <w:t> și γ</w:t>
            </w:r>
            <w:r w:rsidR="00D12468" w:rsidRPr="00C011B2">
              <w:rPr>
                <w:rFonts w:ascii="Times New Roman" w:hAnsi="Times New Roman" w:cs="Times New Roman"/>
                <w:color w:val="000000" w:themeColor="text1"/>
                <w:vertAlign w:val="subscript"/>
                <w:lang w:val="ro-MD"/>
              </w:rPr>
              <w:t>bc</w:t>
            </w:r>
            <w:r w:rsidR="00D12468" w:rsidRPr="00C011B2">
              <w:rPr>
                <w:rFonts w:ascii="Times New Roman" w:hAnsi="Times New Roman" w:cs="Times New Roman"/>
                <w:color w:val="000000" w:themeColor="text1"/>
                <w:lang w:val="ro-MD"/>
              </w:rPr>
              <w:t> care sunt specificați în secțiunea 6 se înmulțesc în mod uniform cu 1,25, în timp ce ρ</w:t>
            </w:r>
            <w:r w:rsidR="00D12468" w:rsidRPr="00C011B2">
              <w:rPr>
                <w:rFonts w:ascii="Times New Roman" w:hAnsi="Times New Roman" w:cs="Times New Roman"/>
                <w:color w:val="000000" w:themeColor="text1"/>
                <w:vertAlign w:val="subscript"/>
                <w:lang w:val="ro-MD"/>
              </w:rPr>
              <w:t>kl</w:t>
            </w:r>
            <w:r w:rsidR="00D12468" w:rsidRPr="00C011B2">
              <w:rPr>
                <w:rFonts w:ascii="Times New Roman" w:hAnsi="Times New Roman" w:cs="Times New Roman"/>
                <w:color w:val="000000" w:themeColor="text1"/>
                <w:lang w:val="ro-MD"/>
              </w:rPr>
              <w:t> și γ</w:t>
            </w:r>
            <w:r w:rsidR="00D12468" w:rsidRPr="00C011B2">
              <w:rPr>
                <w:rFonts w:ascii="Times New Roman" w:hAnsi="Times New Roman" w:cs="Times New Roman"/>
                <w:color w:val="000000" w:themeColor="text1"/>
                <w:vertAlign w:val="subscript"/>
                <w:lang w:val="ro-MD"/>
              </w:rPr>
              <w:t>bc</w:t>
            </w:r>
            <w:r w:rsidR="00D12468" w:rsidRPr="00C011B2">
              <w:rPr>
                <w:rFonts w:ascii="Times New Roman" w:hAnsi="Times New Roman" w:cs="Times New Roman"/>
                <w:color w:val="000000" w:themeColor="text1"/>
                <w:lang w:val="ro-MD"/>
              </w:rPr>
              <w:t> fac obiectul unui plafon de 100 %.</w:t>
            </w:r>
          </w:p>
          <w:p w14:paraId="66608036" w14:textId="59F954F0" w:rsidR="00D12468" w:rsidRPr="00C011B2" w:rsidRDefault="00634D9A"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130.3.</w:t>
            </w:r>
            <w:r w:rsidR="00D12468" w:rsidRPr="00C011B2">
              <w:rPr>
                <w:rFonts w:ascii="Times New Roman" w:hAnsi="Times New Roman" w:cs="Times New Roman"/>
                <w:color w:val="000000" w:themeColor="text1"/>
                <w:lang w:val="ro-MD"/>
              </w:rPr>
              <w:t> scenariul „corelațiilor slabe”, în care parametrii de corelație ρ</w:t>
            </w:r>
            <w:r w:rsidR="00D12468" w:rsidRPr="00C011B2">
              <w:rPr>
                <w:rFonts w:ascii="Times New Roman" w:hAnsi="Times New Roman" w:cs="Times New Roman"/>
                <w:color w:val="000000" w:themeColor="text1"/>
                <w:vertAlign w:val="subscript"/>
                <w:lang w:val="ro-MD"/>
              </w:rPr>
              <w:t>kl</w:t>
            </w:r>
            <w:r w:rsidR="00D12468" w:rsidRPr="00C011B2">
              <w:rPr>
                <w:rFonts w:ascii="Times New Roman" w:hAnsi="Times New Roman" w:cs="Times New Roman"/>
                <w:color w:val="000000" w:themeColor="text1"/>
                <w:lang w:val="ro-MD"/>
              </w:rPr>
              <w:t> și γ</w:t>
            </w:r>
            <w:r w:rsidR="00D12468" w:rsidRPr="00C011B2">
              <w:rPr>
                <w:rFonts w:ascii="Times New Roman" w:hAnsi="Times New Roman" w:cs="Times New Roman"/>
                <w:color w:val="000000" w:themeColor="text1"/>
                <w:vertAlign w:val="subscript"/>
                <w:lang w:val="ro-MD"/>
              </w:rPr>
              <w:t>bc</w:t>
            </w:r>
            <w:r w:rsidR="00D12468" w:rsidRPr="00C011B2">
              <w:rPr>
                <w:rFonts w:ascii="Times New Roman" w:hAnsi="Times New Roman" w:cs="Times New Roman"/>
                <w:color w:val="000000" w:themeColor="text1"/>
                <w:lang w:val="ro-MD"/>
              </w:rPr>
              <w:t> specificați în secțiunea 6 se înlocuiesc cu </w:t>
            </w:r>
            <w:r w:rsidR="00D12468" w:rsidRPr="00C011B2">
              <w:rPr>
                <w:rFonts w:ascii="Times New Roman" w:hAnsi="Times New Roman" w:cs="Times New Roman"/>
                <w:noProof/>
                <w:color w:val="000000" w:themeColor="text1"/>
                <w:lang w:val="ro-MD"/>
              </w:rPr>
              <w:drawing>
                <wp:inline distT="0" distB="0" distL="0" distR="0" wp14:anchorId="0B3FB4A9" wp14:editId="7FCE6953">
                  <wp:extent cx="2120900" cy="139700"/>
                  <wp:effectExtent l="0" t="0" r="0" b="0"/>
                  <wp:docPr id="132" name="Picture 1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20900" cy="1397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 și, respectiv, cu </w:t>
            </w:r>
            <w:r w:rsidR="00D12468" w:rsidRPr="00C011B2">
              <w:rPr>
                <w:rFonts w:ascii="Times New Roman" w:hAnsi="Times New Roman" w:cs="Times New Roman"/>
                <w:noProof/>
                <w:color w:val="000000" w:themeColor="text1"/>
                <w:lang w:val="ro-MD"/>
              </w:rPr>
              <w:drawing>
                <wp:inline distT="0" distB="0" distL="0" distR="0" wp14:anchorId="480F648F" wp14:editId="3D805876">
                  <wp:extent cx="2114550" cy="139700"/>
                  <wp:effectExtent l="0" t="0" r="0" b="0"/>
                  <wp:docPr id="133" name="Picture 1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14550" cy="1397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w:t>
            </w:r>
            <w:bookmarkEnd w:id="147"/>
          </w:p>
        </w:tc>
        <w:tc>
          <w:tcPr>
            <w:tcW w:w="450" w:type="pct"/>
          </w:tcPr>
          <w:p w14:paraId="1F2378E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2EE0FA6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54FAAA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2134FE"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1" w:tooltip="32019R0876: INSERTED" w:history="1">
              <w:r w:rsidR="00D12468" w:rsidRPr="00C011B2">
                <w:rPr>
                  <w:rStyle w:val="Hyperlink"/>
                  <w:rFonts w:ascii="Times New Roman" w:hAnsi="Times New Roman" w:cs="Times New Roman"/>
                  <w:b/>
                  <w:bCs/>
                  <w:lang w:val="ro-MD"/>
                </w:rPr>
                <w:t>▼M8</w:t>
              </w:r>
            </w:hyperlink>
          </w:p>
          <w:p w14:paraId="566B7664" w14:textId="42DB16E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Instituțiile calculează suma cerințelor de fonduri proprii specifice unei clase de risc delta, vega și de curbură pentru fiecare scenariu pentru a stabili trei </w:t>
            </w:r>
            <w:r w:rsidRPr="00C011B2">
              <w:rPr>
                <w:rFonts w:ascii="Times New Roman" w:hAnsi="Times New Roman" w:cs="Times New Roman"/>
                <w:color w:val="000000" w:themeColor="text1"/>
                <w:lang w:val="ro-MD"/>
              </w:rPr>
              <w:lastRenderedPageBreak/>
              <w:t>cerințe de fonduri proprii specifice unui anumit scenariu.</w:t>
            </w:r>
          </w:p>
        </w:tc>
        <w:tc>
          <w:tcPr>
            <w:tcW w:w="1692" w:type="pct"/>
            <w:shd w:val="clear" w:color="auto" w:fill="auto"/>
          </w:tcPr>
          <w:p w14:paraId="73A9B4FD" w14:textId="516B3F0A" w:rsidR="00D12468" w:rsidRPr="00C011B2" w:rsidRDefault="00634D9A" w:rsidP="00D12468">
            <w:pPr>
              <w:spacing w:after="0" w:line="276" w:lineRule="auto"/>
              <w:jc w:val="both"/>
              <w:rPr>
                <w:rFonts w:ascii="Times New Roman" w:hAnsi="Times New Roman" w:cs="Times New Roman"/>
                <w:color w:val="000000" w:themeColor="text1"/>
                <w:lang w:val="ro-MD"/>
              </w:rPr>
            </w:pPr>
            <w:bookmarkStart w:id="148" w:name="_Hlk222914090"/>
            <w:r w:rsidRPr="00C011B2">
              <w:rPr>
                <w:rFonts w:ascii="Times New Roman" w:hAnsi="Times New Roman" w:cs="Times New Roman"/>
                <w:color w:val="000000" w:themeColor="text1"/>
                <w:lang w:val="ro-MD"/>
              </w:rPr>
              <w:lastRenderedPageBreak/>
              <w:t>131.</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suma cerințelor de fonduri proprii specifice unei clase de risc delta, vega și de curbură pentru fiecare scenariu pentru a stabili trei cerințe de fonduri proprii specifice unui anumit scenariu.</w:t>
            </w:r>
            <w:bookmarkEnd w:id="148"/>
          </w:p>
        </w:tc>
        <w:tc>
          <w:tcPr>
            <w:tcW w:w="450" w:type="pct"/>
          </w:tcPr>
          <w:p w14:paraId="509145DF"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70324E8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768E5CA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ACEFB66" w14:textId="39290FB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Cerința de fonduri proprii calculată prin metoda bazată pe sensibilități este valoarea cea mai mare dintre cele trei cerințe de fonduri proprii specifice unui anumit scenariu menționate la alineatul (3).</w:t>
            </w:r>
          </w:p>
        </w:tc>
        <w:tc>
          <w:tcPr>
            <w:tcW w:w="1692" w:type="pct"/>
            <w:shd w:val="clear" w:color="auto" w:fill="auto"/>
          </w:tcPr>
          <w:p w14:paraId="318F4BD3" w14:textId="2CD838E8" w:rsidR="00D12468" w:rsidRPr="00C011B2" w:rsidRDefault="00634D9A" w:rsidP="00D12468">
            <w:pPr>
              <w:spacing w:after="0" w:line="276" w:lineRule="auto"/>
              <w:jc w:val="both"/>
              <w:rPr>
                <w:rFonts w:ascii="Times New Roman" w:hAnsi="Times New Roman" w:cs="Times New Roman"/>
                <w:color w:val="000000" w:themeColor="text1"/>
                <w:lang w:val="ro-MD"/>
              </w:rPr>
            </w:pPr>
            <w:bookmarkStart w:id="149" w:name="_Hlk222914113"/>
            <w:r w:rsidRPr="00C011B2">
              <w:rPr>
                <w:rFonts w:ascii="Times New Roman" w:hAnsi="Times New Roman" w:cs="Times New Roman"/>
                <w:color w:val="000000" w:themeColor="text1"/>
                <w:lang w:val="ro-MD"/>
              </w:rPr>
              <w:t>132.</w:t>
            </w:r>
            <w:r w:rsidR="00D12468" w:rsidRPr="00C011B2">
              <w:rPr>
                <w:rFonts w:ascii="Times New Roman" w:hAnsi="Times New Roman" w:cs="Times New Roman"/>
                <w:color w:val="000000" w:themeColor="text1"/>
                <w:lang w:val="ro-MD"/>
              </w:rPr>
              <w:t xml:space="preserve">   Cerința de fonduri proprii calculată prin metoda bazată pe sensibilități este valoarea cea mai mare dintre cele trei cerințe de fonduri proprii specifice unui anumit scenariu menționate la </w:t>
            </w:r>
            <w:r w:rsidRPr="00C011B2">
              <w:rPr>
                <w:rFonts w:ascii="Times New Roman" w:hAnsi="Times New Roman" w:cs="Times New Roman"/>
                <w:color w:val="000000" w:themeColor="text1"/>
                <w:lang w:val="ro-MD"/>
              </w:rPr>
              <w:t>pct.131</w:t>
            </w:r>
            <w:r w:rsidR="00D12468" w:rsidRPr="00C011B2">
              <w:rPr>
                <w:rFonts w:ascii="Times New Roman" w:hAnsi="Times New Roman" w:cs="Times New Roman"/>
                <w:color w:val="000000" w:themeColor="text1"/>
                <w:lang w:val="ro-MD"/>
              </w:rPr>
              <w:t>.</w:t>
            </w:r>
            <w:bookmarkEnd w:id="149"/>
          </w:p>
        </w:tc>
        <w:tc>
          <w:tcPr>
            <w:tcW w:w="450" w:type="pct"/>
          </w:tcPr>
          <w:p w14:paraId="615CBA56"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3D65698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0A6BE7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A70E69E" w14:textId="09C9B71B" w:rsidR="00D12468" w:rsidRPr="00C011B2" w:rsidRDefault="00FA7D23" w:rsidP="00D12468">
            <w:pPr>
              <w:spacing w:after="0" w:line="276" w:lineRule="auto"/>
              <w:jc w:val="both"/>
              <w:rPr>
                <w:rFonts w:ascii="Times New Roman" w:hAnsi="Times New Roman" w:cs="Times New Roman"/>
                <w:color w:val="000000" w:themeColor="text1"/>
                <w:lang w:val="ro-MD"/>
              </w:rPr>
            </w:pPr>
            <w:hyperlink r:id="rId42" w:tooltip="32021R0424: REPLACED" w:history="1">
              <w:r w:rsidR="00D12468" w:rsidRPr="00C011B2">
                <w:rPr>
                  <w:rStyle w:val="Hyperlink"/>
                  <w:rFonts w:ascii="Times New Roman" w:hAnsi="Times New Roman" w:cs="Times New Roman"/>
                  <w:b/>
                  <w:bCs/>
                  <w:lang w:val="it-IT"/>
                </w:rPr>
                <w:t>▼M12</w:t>
              </w:r>
            </w:hyperlink>
          </w:p>
          <w:p w14:paraId="757A15A4" w14:textId="17C7E38A"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325i</w:t>
            </w:r>
          </w:p>
          <w:p w14:paraId="0B17683B" w14:textId="65D8008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Tratamentul instrumentelor-indice și al altor instrumente cu mai multe elemente-suport</w:t>
            </w:r>
          </w:p>
        </w:tc>
        <w:tc>
          <w:tcPr>
            <w:tcW w:w="1692" w:type="pct"/>
            <w:shd w:val="clear" w:color="auto" w:fill="auto"/>
          </w:tcPr>
          <w:p w14:paraId="1C0645B9" w14:textId="0DE41BAD" w:rsidR="00D12468" w:rsidRPr="00C011B2" w:rsidRDefault="004923F7" w:rsidP="00D12468">
            <w:pPr>
              <w:spacing w:after="0" w:line="276" w:lineRule="auto"/>
              <w:jc w:val="both"/>
              <w:rPr>
                <w:rFonts w:ascii="Times New Roman" w:hAnsi="Times New Roman" w:cs="Times New Roman"/>
                <w:color w:val="000000" w:themeColor="text1"/>
                <w:lang w:val="ro-MD"/>
              </w:rPr>
            </w:pPr>
            <w:bookmarkStart w:id="150" w:name="_Hlk195090882"/>
            <w:r w:rsidRPr="00C011B2">
              <w:rPr>
                <w:rFonts w:ascii="Times New Roman" w:hAnsi="Times New Roman" w:cs="Times New Roman"/>
                <w:b/>
                <w:bCs/>
                <w:i/>
                <w:iCs/>
                <w:color w:val="000000" w:themeColor="text1"/>
                <w:lang w:val="ro-MD"/>
              </w:rPr>
              <w:t>Subsecţiunea</w:t>
            </w:r>
            <w:r w:rsidRPr="00C011B2" w:rsidDel="004B5222">
              <w:rPr>
                <w:rFonts w:ascii="Times New Roman" w:hAnsi="Times New Roman" w:cs="Times New Roman"/>
                <w:b/>
                <w:bCs/>
                <w:i/>
                <w:iCs/>
                <w:color w:val="000000" w:themeColor="text1"/>
                <w:lang w:val="ro-MD"/>
              </w:rPr>
              <w:t xml:space="preserve"> </w:t>
            </w:r>
            <w:r w:rsidRPr="00C011B2">
              <w:rPr>
                <w:rFonts w:ascii="Times New Roman" w:hAnsi="Times New Roman" w:cs="Times New Roman"/>
                <w:b/>
                <w:bCs/>
                <w:i/>
                <w:iCs/>
                <w:color w:val="000000" w:themeColor="text1"/>
                <w:lang w:val="ro-MD"/>
              </w:rPr>
              <w:t>6.</w:t>
            </w:r>
            <w:r w:rsidR="00D12468" w:rsidRPr="00C011B2">
              <w:rPr>
                <w:rFonts w:ascii="Times New Roman" w:hAnsi="Times New Roman" w:cs="Times New Roman"/>
                <w:b/>
                <w:bCs/>
                <w:color w:val="000000" w:themeColor="text1"/>
                <w:lang w:val="ro-MD"/>
              </w:rPr>
              <w:t>Tratamentul instrumentelor-indice și al altor instrumente cu mai multe elemente-suport</w:t>
            </w:r>
            <w:bookmarkEnd w:id="150"/>
          </w:p>
        </w:tc>
        <w:tc>
          <w:tcPr>
            <w:tcW w:w="450" w:type="pct"/>
          </w:tcPr>
          <w:p w14:paraId="37AD9D1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1A6FDE1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059E29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C92D462" w14:textId="1724D0C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Pentru instrumentele-indice și alte instrumente cu mai multe elemente-suport, instituțiile utilizează o abordare transparentă de tip „look-through” după cum urmează:</w:t>
            </w:r>
          </w:p>
          <w:p w14:paraId="2AA30C59" w14:textId="4675254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în scopul calculării cerințelor de fonduri proprii pentru riscul delta și riscul de curbură, instituțiile consideră că dețin poziții individuale direct pe componentele-suport ale indicelui sau ale altor instrumente cu mai multe elemente-suport, cu excepția poziției pe un indice inclus în ACTP, pentru care calculează o sensibilitate unică la indicele respectiv;</w:t>
            </w:r>
          </w:p>
          <w:p w14:paraId="2178299C" w14:textId="36ADD94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instituțiilor li se permite să compenseze sensibilitățile la un factor de risc al unei anumite componente a unui instrument-indice sau a unui alt instrument cu mai multe elemente-suport cu </w:t>
            </w:r>
            <w:r w:rsidRPr="00C011B2">
              <w:rPr>
                <w:rFonts w:ascii="Times New Roman" w:hAnsi="Times New Roman" w:cs="Times New Roman"/>
                <w:color w:val="000000" w:themeColor="text1"/>
                <w:lang w:val="ro-MD"/>
              </w:rPr>
              <w:lastRenderedPageBreak/>
              <w:t>sensibilitățile la același factor de risc al aceleiași componente a instrumentelor având la bază o singură semnătură, cu excepția pozițiilor incluse în ACTP;</w:t>
            </w:r>
          </w:p>
          <w:p w14:paraId="6BA84017" w14:textId="53C026C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în scopul calculării cerințelor de fonduri proprii pentru riscul vega, instituțiile pot fie să considere că dețin poziții individuale direct pe componentele-suport ale indicelui sau ale altor instrumente cu mai multe elemente-suport, fie să calculeze o sensibilitate unică la elementul-suport al instrumentului respectiv. În ultimul caz, instituțiile atribuie sensibilitatea unică benzii relevante prevăzute în subsecțiunea 1 din secțiunea 6 după cum urmează:</w:t>
            </w:r>
          </w:p>
          <w:p w14:paraId="5A8261D2" w14:textId="4CE3A1B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în cazul în care, ținând cont de ponderile atribuite indicelui, peste 75 % din componentele indicelui ar fi puse în corespondență cu aceeași bandă, instituțiile atribuie sensibilitatea benzii respective și o tratează ca o sensibilitate având la bază o singură semnătură în cadrul benzii respective;</w:t>
            </w:r>
          </w:p>
          <w:p w14:paraId="2E1C848B" w14:textId="283D25E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în toate celelalte cazuri, instituțiile atribuie sensibilitatea benzii relevante a indicelui.</w:t>
            </w:r>
          </w:p>
        </w:tc>
        <w:tc>
          <w:tcPr>
            <w:tcW w:w="1692" w:type="pct"/>
            <w:shd w:val="clear" w:color="auto" w:fill="auto"/>
          </w:tcPr>
          <w:p w14:paraId="5E054398" w14:textId="273D4818"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133.</w:t>
            </w:r>
            <w:r w:rsidR="00D12468" w:rsidRPr="00C011B2">
              <w:rPr>
                <w:rFonts w:ascii="Times New Roman" w:hAnsi="Times New Roman" w:cs="Times New Roman"/>
                <w:color w:val="000000" w:themeColor="text1"/>
                <w:lang w:val="ro-MD"/>
              </w:rPr>
              <w:t xml:space="preserve">   Pentru instrumentele-indice și alte instrumente cu mai multe elemente-suport,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utilizează o abordare transparentă de tip „look-through” după cum urmează:</w:t>
            </w:r>
          </w:p>
          <w:p w14:paraId="0AFF088C" w14:textId="2644A904"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133.1.</w:t>
            </w:r>
            <w:r w:rsidR="00D12468" w:rsidRPr="00C011B2">
              <w:rPr>
                <w:rFonts w:ascii="Times New Roman" w:hAnsi="Times New Roman" w:cs="Times New Roman"/>
                <w:color w:val="000000" w:themeColor="text1"/>
                <w:lang w:val="ro-MD"/>
              </w:rPr>
              <w:t xml:space="preserve"> în scopul calculării cerințelor de fonduri proprii pentru riscul delta și riscul de curbură,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consideră că dețin poziții individuale direct pe componentele-suport ale indicelui sau ale altor instrumente cu mai multe elemente-suport, cu excepția poziției pe un indice inclus în ACTP, pentru care calculează o sensibilitate unică la indicele respectiv;</w:t>
            </w:r>
          </w:p>
          <w:p w14:paraId="74F78CAB" w14:textId="3C6DC3F6"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133.2.</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băncilor </w:t>
            </w:r>
            <w:r w:rsidR="00D12468" w:rsidRPr="00C011B2">
              <w:rPr>
                <w:rFonts w:ascii="Times New Roman" w:hAnsi="Times New Roman" w:cs="Times New Roman"/>
                <w:color w:val="000000" w:themeColor="text1"/>
                <w:lang w:val="ro-MD"/>
              </w:rPr>
              <w:t xml:space="preserve">li se permite să compenseze sensibilitățile la un factor de risc al unei anumite componente a unui instrument-indice sau a unui alt instrument cu mai multe elemente-suport cu sensibilitățile la același factor de risc </w:t>
            </w:r>
            <w:r w:rsidR="00D12468" w:rsidRPr="00C011B2">
              <w:rPr>
                <w:rFonts w:ascii="Times New Roman" w:hAnsi="Times New Roman" w:cs="Times New Roman"/>
                <w:color w:val="000000" w:themeColor="text1"/>
                <w:lang w:val="ro-MD"/>
              </w:rPr>
              <w:lastRenderedPageBreak/>
              <w:t>al aceleiași componente a instrumentelor având la bază o singură semnătură, cu excepția pozițiilor incluse în ACTP;</w:t>
            </w:r>
          </w:p>
          <w:p w14:paraId="57DC6399" w14:textId="35B1FAC3"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133.3.</w:t>
            </w:r>
            <w:r w:rsidR="00D12468" w:rsidRPr="00C011B2">
              <w:rPr>
                <w:rFonts w:ascii="Times New Roman" w:hAnsi="Times New Roman" w:cs="Times New Roman"/>
                <w:color w:val="000000" w:themeColor="text1"/>
                <w:lang w:val="ro-MD"/>
              </w:rPr>
              <w:t xml:space="preserve"> în scopul calculării cerințelor de fonduri proprii pentru riscul vega,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pot fie să considere că dețin poziții individuale direct pe componentele-suport ale indicelui sau ale altor instrumente cu mai multe elemente-suport, fie să calculeze o sensibilitate unică la elementul-suport al instrumentului respectiv. În ultimul caz,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atribuie sensibilitatea unică benzii relevante prevăzute în subsecțiunea 1 din secțiunea 6 după cum urmează:</w:t>
            </w:r>
          </w:p>
          <w:p w14:paraId="3CE5B894" w14:textId="4D4DCEAA"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133.3.1.</w:t>
            </w:r>
            <w:r w:rsidR="00D12468" w:rsidRPr="00C011B2">
              <w:rPr>
                <w:rFonts w:ascii="Times New Roman" w:hAnsi="Times New Roman" w:cs="Times New Roman"/>
                <w:color w:val="000000" w:themeColor="text1"/>
                <w:lang w:val="ro-MD"/>
              </w:rPr>
              <w:t xml:space="preserve"> în cazul în care, ținând cont de ponderile atribuite indicelui, peste 75 % din componentele indicelui ar fi puse în corespondență cu aceeași bandă,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atribuie sensibilitatea benzii respective și o tratează ca o sensibilitate având la bază o singură semnătură în cadrul benzii respective;</w:t>
            </w:r>
          </w:p>
          <w:p w14:paraId="171594C7" w14:textId="00716305"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133.3.2.</w:t>
            </w:r>
            <w:r w:rsidR="00D12468" w:rsidRPr="00C011B2">
              <w:rPr>
                <w:rFonts w:ascii="Times New Roman" w:hAnsi="Times New Roman" w:cs="Times New Roman"/>
                <w:color w:val="000000" w:themeColor="text1"/>
                <w:lang w:val="ro-MD"/>
              </w:rPr>
              <w:t xml:space="preserve"> în toate celelalte cazuri, </w:t>
            </w:r>
            <w:r w:rsidR="00880EF6"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atribuie sensibilitatea benzii relevante a indicelui.</w:t>
            </w:r>
          </w:p>
        </w:tc>
        <w:tc>
          <w:tcPr>
            <w:tcW w:w="450" w:type="pct"/>
          </w:tcPr>
          <w:p w14:paraId="31F94653"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430BA23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D89AF3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23ECB62" w14:textId="329E69B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Prin derogare de la alineatul (1) litera (a), instituțiile pot calcula o sensibilitate unică la o poziție pe un indice pe acțiuni cotat sau pe un indice de credit cotat în scopul calculării cerințelor de fonduri proprii pentru riscurile delta și de curbură, cu condiția ca </w:t>
            </w:r>
            <w:r w:rsidRPr="00C011B2">
              <w:rPr>
                <w:rFonts w:ascii="Times New Roman" w:hAnsi="Times New Roman" w:cs="Times New Roman"/>
                <w:color w:val="000000" w:themeColor="text1"/>
                <w:lang w:val="ro-MD"/>
              </w:rPr>
              <w:lastRenderedPageBreak/>
              <w:t>indicele pe acțiuni cotat sau indicele de credit cotat să respecte condițiile prevăzute la alineatul (3). În acest caz, instituțiile atribuie sensibilitatea unică benzii relevante prevăzute în subsecțiunea 1 din secțiunea 6 după cum urmează:</w:t>
            </w:r>
          </w:p>
          <w:p w14:paraId="1879AF99" w14:textId="1906BD7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în cazul în care, ținând cont de ponderile atribuite indicelui cotat, peste 75 % din componentele indicelui cotat respectiv ar fi puse în corespondență cu aceeași bandă, sensibilitatea unică este atribuită benzii respective și este tratată ca o sensibilitate având la bază o singură semnătură în cadrul benzii în cauză;</w:t>
            </w:r>
          </w:p>
          <w:p w14:paraId="53D5F31A" w14:textId="024AB79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în toate celelalte cazuri, instituțiile atribuie sensibilitatea unică benzii relevante a indicelui cotat.</w:t>
            </w:r>
          </w:p>
        </w:tc>
        <w:tc>
          <w:tcPr>
            <w:tcW w:w="1692" w:type="pct"/>
            <w:shd w:val="clear" w:color="auto" w:fill="auto"/>
          </w:tcPr>
          <w:p w14:paraId="58EC8833" w14:textId="27DFB005"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134.</w:t>
            </w:r>
            <w:r w:rsidR="00D12468" w:rsidRPr="00C011B2">
              <w:rPr>
                <w:rFonts w:ascii="Times New Roman" w:hAnsi="Times New Roman" w:cs="Times New Roman"/>
                <w:color w:val="000000" w:themeColor="text1"/>
                <w:lang w:val="ro-MD"/>
              </w:rPr>
              <w:t xml:space="preserve">   Prin derogare de la </w:t>
            </w:r>
            <w:r w:rsidRPr="00C011B2">
              <w:rPr>
                <w:rFonts w:ascii="Times New Roman" w:hAnsi="Times New Roman" w:cs="Times New Roman"/>
                <w:color w:val="000000" w:themeColor="text1"/>
                <w:lang w:val="ro-MD"/>
              </w:rPr>
              <w:t>subpct.133.1</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pot calcula o sensibilitate unică la o poziție pe un indice pe acțiuni cotat sau pe un indice de credit cotat în scopul calculării cerințelor de fonduri proprii pentru riscurile delta și de curbură, cu condiția ca indicele pe acțiuni cotat sau </w:t>
            </w:r>
            <w:r w:rsidR="00D12468" w:rsidRPr="00C011B2">
              <w:rPr>
                <w:rFonts w:ascii="Times New Roman" w:hAnsi="Times New Roman" w:cs="Times New Roman"/>
                <w:color w:val="000000" w:themeColor="text1"/>
                <w:lang w:val="ro-MD"/>
              </w:rPr>
              <w:lastRenderedPageBreak/>
              <w:t>indicele de credit cotat să respecte condițiile prevăzute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pct.135</w:t>
            </w:r>
            <w:r w:rsidR="00D12468" w:rsidRPr="00C011B2">
              <w:rPr>
                <w:rFonts w:ascii="Times New Roman" w:hAnsi="Times New Roman" w:cs="Times New Roman"/>
                <w:color w:val="000000" w:themeColor="text1"/>
                <w:lang w:val="ro-MD"/>
              </w:rPr>
              <w:t xml:space="preserve">. În acest caz,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atribuie sensibilitatea unică benzii relevante prevăzute în subsecțiunea 1 din secțiunea 6 după cum urmează:</w:t>
            </w:r>
          </w:p>
          <w:p w14:paraId="0531E3E6" w14:textId="74FB495F"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134.1.</w:t>
            </w:r>
            <w:r w:rsidR="00D12468" w:rsidRPr="00C011B2">
              <w:rPr>
                <w:rFonts w:ascii="Times New Roman" w:hAnsi="Times New Roman" w:cs="Times New Roman"/>
                <w:color w:val="000000" w:themeColor="text1"/>
                <w:lang w:val="ro-MD"/>
              </w:rPr>
              <w:t> în cazul în care, ținând cont de ponderile atribuite indicelui cotat, peste 75 % din componentele indicelui cotat respectiv ar fi puse în corespondență cu aceeași bandă, sensibilitatea unică este atribuită benzii respective și este tratată ca o sensibilitate având la bază o singură semnătură în cadrul benzii în cauză;</w:t>
            </w:r>
          </w:p>
          <w:p w14:paraId="51DC169E" w14:textId="51E77517"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134.2.</w:t>
            </w:r>
            <w:r w:rsidR="00D12468" w:rsidRPr="00C011B2">
              <w:rPr>
                <w:rFonts w:ascii="Times New Roman" w:hAnsi="Times New Roman" w:cs="Times New Roman"/>
                <w:color w:val="000000" w:themeColor="text1"/>
                <w:lang w:val="ro-MD"/>
              </w:rPr>
              <w:t xml:space="preserve"> în toate celelalte cazuri,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atribuie sensibilitatea unică benzii relevante a indicelui cotat.</w:t>
            </w:r>
          </w:p>
        </w:tc>
        <w:tc>
          <w:tcPr>
            <w:tcW w:w="450" w:type="pct"/>
          </w:tcPr>
          <w:p w14:paraId="035C940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11A68D5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7A549FA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37ED72" w14:textId="49FDE3A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Instituțiile pot utiliza abordarea prevăzută la alineatul (2) pentru instrumentele care se raportează la un indice pe acțiuni cotat sau la un indice de credit cotat în cazul în care sunt îndeplinite toate condițiile următoare:</w:t>
            </w:r>
          </w:p>
          <w:p w14:paraId="49982239" w14:textId="21580D2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se cunosc componentele indicelui cotat și ponderile fiecărei componente în cadrul indicelui;</w:t>
            </w:r>
          </w:p>
          <w:p w14:paraId="144C298E" w14:textId="1935004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indicele cotat are cel puțin 20 de componente;</w:t>
            </w:r>
          </w:p>
          <w:p w14:paraId="435B903E" w14:textId="49FD65B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nicio componentă a indicelui cotat nu reprezintă mai mult de 25 % din capitalizarea de piață totală a indicelui respectiv;</w:t>
            </w:r>
          </w:p>
          <w:p w14:paraId="2789A745" w14:textId="5101B80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 niciun set cuprinzând o zecime din numărul total de componente ale indicelui cotat, rotunjit la cel mai apropiat număr întreg, nu reprezintă mai mult de 60 % din capitalizarea de piață totală a indicelui respectiv;</w:t>
            </w:r>
          </w:p>
          <w:p w14:paraId="54350043" w14:textId="5963495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capitalizarea de piață totală a tuturor componentelor indicelui cotat este de cel puțin 40 de miliarde EUR.</w:t>
            </w:r>
          </w:p>
        </w:tc>
        <w:tc>
          <w:tcPr>
            <w:tcW w:w="1692" w:type="pct"/>
            <w:shd w:val="clear" w:color="auto" w:fill="auto"/>
          </w:tcPr>
          <w:p w14:paraId="40242C49" w14:textId="1B412482"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135.</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pot utiliza abordarea prevăzută la </w:t>
            </w:r>
            <w:r w:rsidRPr="00C011B2">
              <w:rPr>
                <w:rFonts w:ascii="Times New Roman" w:hAnsi="Times New Roman" w:cs="Times New Roman"/>
                <w:color w:val="000000" w:themeColor="text1"/>
                <w:lang w:val="ro-MD"/>
              </w:rPr>
              <w:t>pct.134</w:t>
            </w:r>
            <w:r w:rsidR="00D12468" w:rsidRPr="00C011B2">
              <w:rPr>
                <w:rFonts w:ascii="Times New Roman" w:hAnsi="Times New Roman" w:cs="Times New Roman"/>
                <w:color w:val="000000" w:themeColor="text1"/>
                <w:lang w:val="ro-MD"/>
              </w:rPr>
              <w:t xml:space="preserve"> pentru instrumentele care se raportează la un indice pe acțiuni cotat sau la un indice de credit cotat în cazul în care sunt îndeplinite toate condițiile următoare:</w:t>
            </w:r>
          </w:p>
          <w:p w14:paraId="46C3D4BF" w14:textId="2D224181"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135.1.</w:t>
            </w:r>
            <w:r w:rsidR="00D12468" w:rsidRPr="00C011B2">
              <w:rPr>
                <w:rFonts w:ascii="Times New Roman" w:hAnsi="Times New Roman" w:cs="Times New Roman"/>
                <w:color w:val="000000" w:themeColor="text1"/>
                <w:lang w:val="ro-MD"/>
              </w:rPr>
              <w:t> se cunosc componentele indicelui cotat și ponderile fiecărei componente în cadrul indicelui;</w:t>
            </w:r>
          </w:p>
          <w:p w14:paraId="61C57043" w14:textId="1637C722"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135.2.</w:t>
            </w:r>
            <w:r w:rsidR="00D12468" w:rsidRPr="00C011B2">
              <w:rPr>
                <w:rFonts w:ascii="Times New Roman" w:hAnsi="Times New Roman" w:cs="Times New Roman"/>
                <w:color w:val="000000" w:themeColor="text1"/>
                <w:lang w:val="ro-MD"/>
              </w:rPr>
              <w:t> indicele cotat are cel puțin 20 de componente;</w:t>
            </w:r>
          </w:p>
          <w:p w14:paraId="6E70A21D" w14:textId="74DF31F3"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135.3.</w:t>
            </w:r>
            <w:r w:rsidR="00D12468" w:rsidRPr="00C011B2">
              <w:rPr>
                <w:rFonts w:ascii="Times New Roman" w:hAnsi="Times New Roman" w:cs="Times New Roman"/>
                <w:color w:val="000000" w:themeColor="text1"/>
                <w:lang w:val="ro-MD"/>
              </w:rPr>
              <w:t> nicio componentă a indicelui cotat nu reprezintă mai mult de 25 % din capitalizarea de piață totală a indicelui respectiv;</w:t>
            </w:r>
          </w:p>
          <w:p w14:paraId="72082253" w14:textId="318C25DF"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135.4.</w:t>
            </w:r>
            <w:r w:rsidR="00D12468" w:rsidRPr="00C011B2">
              <w:rPr>
                <w:rFonts w:ascii="Times New Roman" w:hAnsi="Times New Roman" w:cs="Times New Roman"/>
                <w:color w:val="000000" w:themeColor="text1"/>
                <w:lang w:val="ro-MD"/>
              </w:rPr>
              <w:t xml:space="preserve"> niciun set cuprinzând o zecime din numărul total de componente ale indicelui cotat, rotunjit la cel mai apropiat </w:t>
            </w:r>
            <w:r w:rsidR="00D12468" w:rsidRPr="00C011B2">
              <w:rPr>
                <w:rFonts w:ascii="Times New Roman" w:hAnsi="Times New Roman" w:cs="Times New Roman"/>
                <w:color w:val="000000" w:themeColor="text1"/>
                <w:lang w:val="ro-MD"/>
              </w:rPr>
              <w:lastRenderedPageBreak/>
              <w:t>număr întreg, nu reprezintă mai mult de 60 % din capitalizarea de piață totală a indicelui respectiv;</w:t>
            </w:r>
          </w:p>
          <w:p w14:paraId="1057DDF7" w14:textId="6895B9BF" w:rsidR="00D12468" w:rsidRPr="00C011B2" w:rsidRDefault="004923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135.5.</w:t>
            </w:r>
            <w:r w:rsidR="00D12468" w:rsidRPr="00C011B2">
              <w:rPr>
                <w:rFonts w:ascii="Times New Roman" w:hAnsi="Times New Roman" w:cs="Times New Roman"/>
                <w:color w:val="000000" w:themeColor="text1"/>
                <w:lang w:val="ro-MD"/>
              </w:rPr>
              <w:t> capitalizarea de piață totală a tuturor componentelor indicelui cotat este de cel puțin 40 de miliarde EUR.</w:t>
            </w:r>
          </w:p>
        </w:tc>
        <w:tc>
          <w:tcPr>
            <w:tcW w:w="450" w:type="pct"/>
          </w:tcPr>
          <w:p w14:paraId="15EAF51F"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71CA561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1A109C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A4BBB4" w14:textId="5123B06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O instituție utilizează, în mod constant de-a lungul timpului, doar abordarea prevăzută la alineatul (1) sau abordarea prevăzută la alineatul (2) pentru toate instrumentele care se raportează la un indice pe acțiuni cotat sau la un indice de credit cotat care îndeplinește condițiile prevăzute la alineatul (3). O instituție solicită permisiunea autorității competente înainte de a trece de la o abordare la alta.</w:t>
            </w:r>
          </w:p>
        </w:tc>
        <w:tc>
          <w:tcPr>
            <w:tcW w:w="1692" w:type="pct"/>
            <w:shd w:val="clear" w:color="auto" w:fill="auto"/>
          </w:tcPr>
          <w:p w14:paraId="35C1DDF4" w14:textId="37857E4A" w:rsidR="00D12468" w:rsidRPr="00C011B2" w:rsidRDefault="00F74DEF"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136.</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utilizează, în mod constant de-a lungul timpului, doar abordarea prevăzută la </w:t>
            </w:r>
            <w:r w:rsidRPr="00C011B2">
              <w:rPr>
                <w:rFonts w:ascii="Times New Roman" w:hAnsi="Times New Roman" w:cs="Times New Roman"/>
                <w:color w:val="000000" w:themeColor="text1"/>
                <w:lang w:val="ro-MD"/>
              </w:rPr>
              <w:t>pct.133</w:t>
            </w:r>
            <w:r w:rsidR="00D12468" w:rsidRPr="00C011B2">
              <w:rPr>
                <w:rFonts w:ascii="Times New Roman" w:hAnsi="Times New Roman" w:cs="Times New Roman"/>
                <w:color w:val="000000" w:themeColor="text1"/>
                <w:lang w:val="ro-MD"/>
              </w:rPr>
              <w:t xml:space="preserve"> sau abordarea prevăzută la </w:t>
            </w:r>
            <w:r w:rsidRPr="00C011B2">
              <w:rPr>
                <w:rFonts w:ascii="Times New Roman" w:hAnsi="Times New Roman" w:cs="Times New Roman"/>
                <w:color w:val="000000" w:themeColor="text1"/>
                <w:lang w:val="ro-MD"/>
              </w:rPr>
              <w:t>pct.134</w:t>
            </w:r>
            <w:r w:rsidR="00D12468" w:rsidRPr="00C011B2">
              <w:rPr>
                <w:rFonts w:ascii="Times New Roman" w:hAnsi="Times New Roman" w:cs="Times New Roman"/>
                <w:color w:val="000000" w:themeColor="text1"/>
                <w:lang w:val="ro-MD"/>
              </w:rPr>
              <w:t xml:space="preserve"> pentru toate instrumentele care se raportează la un indice pe acțiuni cotat sau la un indice de credit cotat care îndeplinește condițiile prevăzute la </w:t>
            </w:r>
            <w:r w:rsidRPr="00C011B2">
              <w:rPr>
                <w:rFonts w:ascii="Times New Roman" w:hAnsi="Times New Roman" w:cs="Times New Roman"/>
                <w:color w:val="000000" w:themeColor="text1"/>
                <w:lang w:val="ro-MD"/>
              </w:rPr>
              <w:t>pct.135</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solicită permisiunea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înainte de a trece de la o abordare la alta.</w:t>
            </w:r>
          </w:p>
        </w:tc>
        <w:tc>
          <w:tcPr>
            <w:tcW w:w="450" w:type="pct"/>
          </w:tcPr>
          <w:p w14:paraId="696CB34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0A25A7BF"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93B611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8ED4BB" w14:textId="640CA12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Pentru un instrument-indice sau un alt instrument cu mai multe elemente-suport, datele privind sensibilitatea utilizate la calculul riscurilor delta și de curbură trebuie să fie consecvente, indiferent de abordările utilizate pentru instrumentul respectiv.</w:t>
            </w:r>
          </w:p>
        </w:tc>
        <w:tc>
          <w:tcPr>
            <w:tcW w:w="1692" w:type="pct"/>
            <w:shd w:val="clear" w:color="auto" w:fill="auto"/>
          </w:tcPr>
          <w:p w14:paraId="7483BB62" w14:textId="174AC004" w:rsidR="00D12468" w:rsidRPr="00C011B2" w:rsidRDefault="00F74DEF"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137.</w:t>
            </w:r>
            <w:r w:rsidR="00D12468" w:rsidRPr="00C011B2">
              <w:rPr>
                <w:rFonts w:ascii="Times New Roman" w:hAnsi="Times New Roman" w:cs="Times New Roman"/>
                <w:color w:val="000000" w:themeColor="text1"/>
                <w:lang w:val="ro-MD"/>
              </w:rPr>
              <w:t>   Pentru un instrument-indice sau un alt instrument cu mai multe elemente-suport, datele privind sensibilitatea utilizate la calculul riscurilor delta și de curbură trebuie să fie consecvente, indiferent de abordările utilizate pentru instrumentul respectiv.</w:t>
            </w:r>
          </w:p>
        </w:tc>
        <w:tc>
          <w:tcPr>
            <w:tcW w:w="450" w:type="pct"/>
          </w:tcPr>
          <w:p w14:paraId="7CB89A4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51049E5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CFBE80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EE541FB" w14:textId="4A2E4FE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Instrumentele-indice sau instrumentele cu mai multe elemente-suport care prezintă alte riscuri reziduale menționate la articolul 325u alineatul (5) fac obiectul majorării pentru riscul rezidual menționate în secțiunea 4.</w:t>
            </w:r>
          </w:p>
        </w:tc>
        <w:tc>
          <w:tcPr>
            <w:tcW w:w="1692" w:type="pct"/>
            <w:shd w:val="clear" w:color="auto" w:fill="auto"/>
          </w:tcPr>
          <w:p w14:paraId="5C210556" w14:textId="2386E392" w:rsidR="00D12468" w:rsidRPr="00C011B2" w:rsidRDefault="00F74DEF"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138.</w:t>
            </w:r>
            <w:r w:rsidR="00D12468" w:rsidRPr="00C011B2">
              <w:rPr>
                <w:rFonts w:ascii="Times New Roman" w:hAnsi="Times New Roman" w:cs="Times New Roman"/>
                <w:color w:val="000000" w:themeColor="text1"/>
                <w:lang w:val="ro-MD"/>
              </w:rPr>
              <w:t xml:space="preserve">  Instrumentele-indice sau instrumentele cu mai multe elemente-suport care prezintă alte riscuri reziduale menționate la </w:t>
            </w:r>
            <w:r w:rsidR="00196B19" w:rsidRPr="00C011B2">
              <w:rPr>
                <w:rFonts w:ascii="Times New Roman" w:hAnsi="Times New Roman" w:cs="Times New Roman"/>
                <w:color w:val="000000" w:themeColor="text1"/>
                <w:lang w:val="ro-MD"/>
              </w:rPr>
              <w:t>pct.218</w:t>
            </w:r>
            <w:r w:rsidR="00D12468" w:rsidRPr="00C011B2">
              <w:rPr>
                <w:rFonts w:ascii="Times New Roman" w:hAnsi="Times New Roman" w:cs="Times New Roman"/>
                <w:color w:val="000000" w:themeColor="text1"/>
                <w:lang w:val="ro-MD"/>
              </w:rPr>
              <w:t xml:space="preserve"> fac obiectul majorării pentru riscul rezidual menționate în secțiunea 4.</w:t>
            </w:r>
          </w:p>
        </w:tc>
        <w:tc>
          <w:tcPr>
            <w:tcW w:w="450" w:type="pct"/>
          </w:tcPr>
          <w:p w14:paraId="79D6953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3826A10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565A834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23D64A7"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325j</w:t>
            </w:r>
          </w:p>
          <w:p w14:paraId="1919BEBC" w14:textId="09621AC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Tratamentul organismelor de plasament colectiv</w:t>
            </w:r>
          </w:p>
        </w:tc>
        <w:tc>
          <w:tcPr>
            <w:tcW w:w="1692" w:type="pct"/>
            <w:shd w:val="clear" w:color="auto" w:fill="auto"/>
          </w:tcPr>
          <w:p w14:paraId="0BB6F596" w14:textId="75603C7C" w:rsidR="00D12468" w:rsidRPr="00C011B2" w:rsidRDefault="005D2204" w:rsidP="00D12468">
            <w:pPr>
              <w:spacing w:after="0" w:line="276" w:lineRule="auto"/>
              <w:jc w:val="both"/>
              <w:rPr>
                <w:rFonts w:ascii="Times New Roman" w:hAnsi="Times New Roman" w:cs="Times New Roman"/>
                <w:color w:val="000000" w:themeColor="text1"/>
                <w:lang w:val="ro-MD"/>
              </w:rPr>
            </w:pPr>
            <w:bookmarkStart w:id="151" w:name="_Hlk195090915"/>
            <w:r w:rsidRPr="00C011B2">
              <w:rPr>
                <w:rFonts w:ascii="Times New Roman" w:hAnsi="Times New Roman" w:cs="Times New Roman"/>
                <w:b/>
                <w:bCs/>
                <w:i/>
                <w:iCs/>
                <w:color w:val="000000" w:themeColor="text1"/>
                <w:lang w:val="ro-MD"/>
              </w:rPr>
              <w:t>Subsecţiunea</w:t>
            </w:r>
            <w:r w:rsidRPr="00C011B2" w:rsidDel="004B5222">
              <w:rPr>
                <w:rFonts w:ascii="Times New Roman" w:hAnsi="Times New Roman" w:cs="Times New Roman"/>
                <w:b/>
                <w:bCs/>
                <w:i/>
                <w:iCs/>
                <w:color w:val="000000" w:themeColor="text1"/>
                <w:lang w:val="ro-MD"/>
              </w:rPr>
              <w:t xml:space="preserve"> </w:t>
            </w:r>
            <w:r w:rsidRPr="00C011B2">
              <w:rPr>
                <w:rFonts w:ascii="Times New Roman" w:hAnsi="Times New Roman" w:cs="Times New Roman"/>
                <w:b/>
                <w:bCs/>
                <w:i/>
                <w:iCs/>
                <w:color w:val="000000" w:themeColor="text1"/>
                <w:lang w:val="ro-MD"/>
              </w:rPr>
              <w:t xml:space="preserve">7. </w:t>
            </w:r>
            <w:r w:rsidR="00D12468" w:rsidRPr="00C011B2">
              <w:rPr>
                <w:rFonts w:ascii="Times New Roman" w:hAnsi="Times New Roman" w:cs="Times New Roman"/>
                <w:b/>
                <w:bCs/>
                <w:color w:val="000000" w:themeColor="text1"/>
                <w:lang w:val="ro-MD"/>
              </w:rPr>
              <w:t>Tratamentul organismelor de plasament colectiv</w:t>
            </w:r>
            <w:bookmarkEnd w:id="151"/>
          </w:p>
        </w:tc>
        <w:tc>
          <w:tcPr>
            <w:tcW w:w="450" w:type="pct"/>
          </w:tcPr>
          <w:p w14:paraId="04F8335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40D56A4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289719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97AED6C"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3" w:tooltip="32024R1623: REPLACED" w:history="1">
              <w:r w:rsidR="00D12468" w:rsidRPr="00C011B2">
                <w:rPr>
                  <w:rStyle w:val="Hyperlink"/>
                  <w:rFonts w:ascii="Times New Roman" w:hAnsi="Times New Roman" w:cs="Times New Roman"/>
                  <w:b/>
                  <w:bCs/>
                  <w:lang w:val="ro-MD"/>
                </w:rPr>
                <w:t>▼M17</w:t>
              </w:r>
            </w:hyperlink>
          </w:p>
          <w:p w14:paraId="6801F4FF" w14:textId="5F85D6F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O instituție calculează cerințele de fonduri proprii pentru riscul de piață aferente unei poziții pe un OPC utilizând una dintre următoarele abordări:</w:t>
            </w:r>
          </w:p>
          <w:p w14:paraId="3B5BD417" w14:textId="7DAC8C0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o instituție care îndeplinește condiția prevăzută la articolul 104 alineatul (8) litera (a) calculează lunar cerințele de fonduri proprii pentru riscul de piață aferente poziției respective prin aplicarea abordării de tip </w:t>
            </w:r>
            <w:r w:rsidRPr="00C011B2">
              <w:rPr>
                <w:rFonts w:ascii="Times New Roman" w:hAnsi="Times New Roman" w:cs="Times New Roman"/>
                <w:i/>
                <w:iCs/>
                <w:color w:val="000000" w:themeColor="text1"/>
                <w:lang w:val="ro-MD"/>
              </w:rPr>
              <w:t>look-through</w:t>
            </w:r>
            <w:r w:rsidRPr="00C011B2">
              <w:rPr>
                <w:rFonts w:ascii="Times New Roman" w:hAnsi="Times New Roman" w:cs="Times New Roman"/>
                <w:color w:val="000000" w:themeColor="text1"/>
                <w:lang w:val="ro-MD"/>
              </w:rPr>
              <w:t> pozițiilor-suport ale OPC-ului, ca și cum pozițiile respective ar fi deținute direct de instituție;</w:t>
            </w:r>
          </w:p>
          <w:p w14:paraId="6EF393AD" w14:textId="6269534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o instituție care îndeplinește condiția prevăzută la articolul 104 alineatul (8) litera (b) calculează cerințele de fonduri proprii pentru riscul de piață aferente poziției respective utilizând una dintre următoarele abordări:</w:t>
            </w:r>
          </w:p>
          <w:p w14:paraId="5C854FB6" w14:textId="73BADAD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consideră că poziția pe OPC-ul respectiv este o poziție pe un singur titlu de capital atribuită benzii „Alt sector” din tabelul 8 de la articolul 325ap alineatul (1);</w:t>
            </w:r>
          </w:p>
          <w:p w14:paraId="6F6DE663" w14:textId="3D04945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ține seama de limitele stabilite în mandatul OPC-ului și în legislația relevantă.</w:t>
            </w:r>
          </w:p>
          <w:p w14:paraId="0E57BD4B" w14:textId="689CBBE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În scopul calculului menționat la primul paragraf litera (b) punctul (ii) de la prezentul alineat, instituția poate calcula cerințele de fonduri proprii pentru riscul de credit al contrapărții și cerințele de fonduri proprii pentru riscul de ajustare a evaluării creditului aferente pozițiilor pe instrumente financiare derivate ale OPC-ului utilizând abordarea simplificată prevăzută la articolul 132a alineatul (3).</w:t>
            </w:r>
          </w:p>
        </w:tc>
        <w:tc>
          <w:tcPr>
            <w:tcW w:w="1692" w:type="pct"/>
            <w:shd w:val="clear" w:color="auto" w:fill="auto"/>
          </w:tcPr>
          <w:p w14:paraId="3A535B38" w14:textId="2A91C3CA" w:rsidR="00D12468" w:rsidRPr="00C011B2" w:rsidRDefault="005D2204" w:rsidP="00D12468">
            <w:pPr>
              <w:spacing w:after="0" w:line="276" w:lineRule="auto"/>
              <w:jc w:val="both"/>
              <w:rPr>
                <w:rFonts w:ascii="Times New Roman" w:hAnsi="Times New Roman" w:cs="Times New Roman"/>
                <w:color w:val="000000" w:themeColor="text1"/>
                <w:lang w:val="ro-MD"/>
              </w:rPr>
            </w:pPr>
            <w:bookmarkStart w:id="152" w:name="_Hlk222923122"/>
            <w:r w:rsidRPr="00C011B2">
              <w:rPr>
                <w:rFonts w:ascii="Times New Roman" w:hAnsi="Times New Roman" w:cs="Times New Roman"/>
                <w:color w:val="000000" w:themeColor="text1"/>
                <w:lang w:val="ro-MD"/>
              </w:rPr>
              <w:lastRenderedPageBreak/>
              <w:t>139.</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calculează cerințele de fonduri proprii pentru riscul de piață aferente unei poziții pe un OPC utilizând una dintre următoarele abordări:</w:t>
            </w:r>
          </w:p>
          <w:p w14:paraId="2ADF5008" w14:textId="0C2C503F" w:rsidR="00D12468" w:rsidRPr="00C011B2" w:rsidRDefault="005D220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139.1.</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care îndeplinește condiția prevăzută la </w:t>
            </w:r>
            <w:r w:rsidR="00196B19" w:rsidRPr="00C011B2">
              <w:rPr>
                <w:rFonts w:ascii="Times New Roman" w:hAnsi="Times New Roman" w:cs="Times New Roman"/>
                <w:color w:val="000000" w:themeColor="text1"/>
                <w:lang w:val="ro-RO"/>
              </w:rPr>
              <w:t xml:space="preserve">subpct.24.1 </w:t>
            </w:r>
            <w:r w:rsidR="00D12468" w:rsidRPr="00C011B2">
              <w:rPr>
                <w:rFonts w:ascii="Times New Roman" w:hAnsi="Times New Roman" w:cs="Times New Roman"/>
                <w:color w:val="000000" w:themeColor="text1"/>
                <w:lang w:val="ro-MD"/>
              </w:rPr>
              <w:t>calculează lunar cerințele de fonduri proprii pentru riscul de piață aferente poziției respective prin aplicarea abordării de tip </w:t>
            </w:r>
            <w:r w:rsidR="00D12468" w:rsidRPr="00C011B2">
              <w:rPr>
                <w:rFonts w:ascii="Times New Roman" w:hAnsi="Times New Roman" w:cs="Times New Roman"/>
                <w:i/>
                <w:iCs/>
                <w:color w:val="000000" w:themeColor="text1"/>
                <w:lang w:val="ro-MD"/>
              </w:rPr>
              <w:t>look-through</w:t>
            </w:r>
            <w:r w:rsidR="00D12468" w:rsidRPr="00C011B2">
              <w:rPr>
                <w:rFonts w:ascii="Times New Roman" w:hAnsi="Times New Roman" w:cs="Times New Roman"/>
                <w:color w:val="000000" w:themeColor="text1"/>
                <w:lang w:val="ro-MD"/>
              </w:rPr>
              <w:t xml:space="preserve"> pozițiilor-suport ale OPC-ului, ca și cum pozițiile respective ar fi deținute direct de </w:t>
            </w:r>
            <w:r w:rsidR="00D33FE1" w:rsidRPr="00C011B2">
              <w:rPr>
                <w:rFonts w:ascii="Times New Roman" w:hAnsi="Times New Roman" w:cs="Times New Roman"/>
                <w:color w:val="000000" w:themeColor="text1"/>
                <w:lang w:val="ro-MD"/>
              </w:rPr>
              <w:t>bancă</w:t>
            </w:r>
            <w:r w:rsidR="00D12468" w:rsidRPr="00C011B2">
              <w:rPr>
                <w:rFonts w:ascii="Times New Roman" w:hAnsi="Times New Roman" w:cs="Times New Roman"/>
                <w:color w:val="000000" w:themeColor="text1"/>
                <w:lang w:val="ro-MD"/>
              </w:rPr>
              <w:t>;</w:t>
            </w:r>
          </w:p>
          <w:p w14:paraId="540E10D5" w14:textId="3E5EC98E" w:rsidR="00D12468" w:rsidRPr="00C011B2" w:rsidRDefault="00D33FE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139.2.</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care îndeplinește condiția prevăzută la </w:t>
            </w:r>
            <w:r w:rsidR="00196B19" w:rsidRPr="00C011B2">
              <w:rPr>
                <w:rFonts w:ascii="Times New Roman" w:hAnsi="Times New Roman" w:cs="Times New Roman"/>
                <w:color w:val="000000" w:themeColor="text1"/>
                <w:lang w:val="ro-RO"/>
              </w:rPr>
              <w:t xml:space="preserve">subpct.24.2 </w:t>
            </w:r>
            <w:r w:rsidR="00D12468" w:rsidRPr="00C011B2">
              <w:rPr>
                <w:rFonts w:ascii="Times New Roman" w:hAnsi="Times New Roman" w:cs="Times New Roman"/>
                <w:color w:val="000000" w:themeColor="text1"/>
                <w:lang w:val="ro-MD"/>
              </w:rPr>
              <w:t>calculează cerințele de fonduri proprii pentru riscul de piață aferente poziției respective utilizând una dintre următoarele abordări:</w:t>
            </w:r>
          </w:p>
          <w:p w14:paraId="3AA8919F" w14:textId="49D59DB0" w:rsidR="00D12468" w:rsidRPr="00C011B2" w:rsidRDefault="00D33FE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139.2.1.</w:t>
            </w:r>
            <w:r w:rsidR="00D12468" w:rsidRPr="00C011B2">
              <w:rPr>
                <w:rFonts w:ascii="Times New Roman" w:hAnsi="Times New Roman" w:cs="Times New Roman"/>
                <w:color w:val="000000" w:themeColor="text1"/>
                <w:lang w:val="ro-MD"/>
              </w:rPr>
              <w:t> consideră că poziția pe OPC-ul respectiv este o poziție pe un singur titlu de capital atribuită benzii „Alt sector” din tabelul 8 de la</w:t>
            </w:r>
            <w:r w:rsidR="00C64C14" w:rsidRPr="00C011B2">
              <w:rPr>
                <w:rFonts w:ascii="Times New Roman" w:hAnsi="Times New Roman" w:cs="Times New Roman"/>
                <w:color w:val="000000" w:themeColor="text1"/>
                <w:lang w:val="ro-MD"/>
              </w:rPr>
              <w:t xml:space="preserve"> pct.298</w:t>
            </w:r>
            <w:r w:rsidR="00D12468" w:rsidRPr="00C011B2">
              <w:rPr>
                <w:rFonts w:ascii="Times New Roman" w:hAnsi="Times New Roman" w:cs="Times New Roman"/>
                <w:color w:val="000000" w:themeColor="text1"/>
                <w:lang w:val="ro-MD"/>
              </w:rPr>
              <w:t>;</w:t>
            </w:r>
          </w:p>
          <w:p w14:paraId="6FE75D38" w14:textId="230F482C" w:rsidR="00D12468" w:rsidRPr="00C011B2" w:rsidRDefault="00D33FE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139.2.2.</w:t>
            </w:r>
            <w:r w:rsidR="00D12468" w:rsidRPr="00C011B2">
              <w:rPr>
                <w:rFonts w:ascii="Times New Roman" w:hAnsi="Times New Roman" w:cs="Times New Roman"/>
                <w:color w:val="000000" w:themeColor="text1"/>
                <w:lang w:val="ro-MD"/>
              </w:rPr>
              <w:t> ține seama de limitele stabilite în mandatul OPC-ului și în legislația relevantă.</w:t>
            </w:r>
          </w:p>
          <w:p w14:paraId="57059EAB" w14:textId="3D209016" w:rsidR="00D12468" w:rsidRPr="00C011B2" w:rsidRDefault="00D33FE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140. </w:t>
            </w:r>
            <w:r w:rsidR="00D12468" w:rsidRPr="00C011B2">
              <w:rPr>
                <w:rFonts w:ascii="Times New Roman" w:hAnsi="Times New Roman" w:cs="Times New Roman"/>
                <w:color w:val="000000" w:themeColor="text1"/>
                <w:lang w:val="ro-MD"/>
              </w:rPr>
              <w:t xml:space="preserve">În scopul calculului menționat la </w:t>
            </w:r>
            <w:r w:rsidRPr="00C011B2">
              <w:rPr>
                <w:rFonts w:ascii="Times New Roman" w:hAnsi="Times New Roman" w:cs="Times New Roman"/>
                <w:color w:val="000000" w:themeColor="text1"/>
                <w:lang w:val="ro-MD"/>
              </w:rPr>
              <w:t>subpct.139.2.2</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poate calcula cerințele de fonduri proprii pentru riscul de credit al contrapărții și cerințele de fonduri proprii pentru riscul de ajustare a evaluării creditului aferente pozițiilor pe instrumente financiare derivate ale OPC-ului </w:t>
            </w:r>
            <w:r w:rsidR="00D12468" w:rsidRPr="00C011B2">
              <w:rPr>
                <w:rFonts w:ascii="Times New Roman" w:hAnsi="Times New Roman" w:cs="Times New Roman"/>
                <w:color w:val="000000" w:themeColor="text1"/>
                <w:lang w:val="ro-MD"/>
              </w:rPr>
              <w:lastRenderedPageBreak/>
              <w:t xml:space="preserve">utilizând abordarea simplificată prevăzută la </w:t>
            </w:r>
            <w:r w:rsidR="00A70D2E" w:rsidRPr="00C011B2">
              <w:rPr>
                <w:rFonts w:ascii="Times New Roman" w:hAnsi="Times New Roman" w:cs="Times New Roman"/>
                <w:color w:val="000000" w:themeColor="text1"/>
                <w:lang w:val="ro-RO"/>
              </w:rPr>
              <w:t>pct.182</w:t>
            </w:r>
            <w:r w:rsidR="00A70D2E" w:rsidRPr="00C011B2">
              <w:rPr>
                <w:rFonts w:ascii="Times New Roman" w:hAnsi="Times New Roman" w:cs="Times New Roman"/>
                <w:color w:val="000000" w:themeColor="text1"/>
                <w:vertAlign w:val="superscript"/>
                <w:lang w:val="ro-RO"/>
              </w:rPr>
              <w:t>18</w:t>
            </w:r>
            <w:r w:rsidR="00A70D2E" w:rsidRPr="00C011B2">
              <w:rPr>
                <w:rFonts w:ascii="Times New Roman" w:hAnsi="Times New Roman" w:cs="Times New Roman"/>
                <w:color w:val="000000" w:themeColor="text1"/>
                <w:lang w:val="ro-RO"/>
              </w:rPr>
              <w:t xml:space="preserve"> din Regulamentul nr.111/2018</w:t>
            </w:r>
            <w:r w:rsidR="00D12468" w:rsidRPr="00C011B2">
              <w:rPr>
                <w:rFonts w:ascii="Times New Roman" w:hAnsi="Times New Roman" w:cs="Times New Roman"/>
                <w:color w:val="000000" w:themeColor="text1"/>
                <w:lang w:val="ro-MD"/>
              </w:rPr>
              <w:t>.</w:t>
            </w:r>
            <w:bookmarkEnd w:id="152"/>
          </w:p>
        </w:tc>
        <w:tc>
          <w:tcPr>
            <w:tcW w:w="450" w:type="pct"/>
          </w:tcPr>
          <w:p w14:paraId="0DA4D759" w14:textId="229A3708" w:rsidR="00D12468" w:rsidRPr="00C011B2" w:rsidRDefault="0071405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7E620E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FE544C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B092A4"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4" w:tooltip="32024R1623: INSERTED" w:history="1">
              <w:r w:rsidR="00D12468" w:rsidRPr="00C011B2">
                <w:rPr>
                  <w:rStyle w:val="Hyperlink"/>
                  <w:rFonts w:ascii="Times New Roman" w:hAnsi="Times New Roman" w:cs="Times New Roman"/>
                  <w:b/>
                  <w:bCs/>
                  <w:lang w:val="ro-MD"/>
                </w:rPr>
                <w:t>▼M17</w:t>
              </w:r>
            </w:hyperlink>
          </w:p>
          <w:p w14:paraId="4B32FFE4" w14:textId="5FE0BCD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(1a)   În sensul abordărilor menționate la alineatul (1) litera (b) de la prezentul articol, instituția:</w:t>
            </w:r>
          </w:p>
          <w:p w14:paraId="68D534A5" w14:textId="4BB8977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aplică cerințele de fonduri proprii pentru riscul de nerambursare prevăzute în secțiunea 5 și majorarea pentru riscul rezidual prevăzută în secțiunea 4 unei poziții pe un OPC, în cazul în care mandatul OPC-ului îi permite să investească în expuneri care fac obiectul respectivelor cerințe de fonduri proprii; când utilizează metoda menționată la alineatul (1) litera (b) punctul (i) de la prezentul articol, instituția consideră că poziția pe OPC-ul respectiv este o poziție fără rating pe un singur titlu de capital atribuită benzii „Nu beneficiază de rating” din tabelul 2 de la articolul 325y alineatul (1); și</w:t>
            </w:r>
          </w:p>
          <w:p w14:paraId="0288C86F" w14:textId="5FAB418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pentru toate pozițiile pe același OPC, utilizează aceeași abordare, dintre abordările prevăzute la </w:t>
            </w:r>
            <w:r w:rsidRPr="00C011B2">
              <w:rPr>
                <w:rFonts w:ascii="Times New Roman" w:hAnsi="Times New Roman" w:cs="Times New Roman"/>
                <w:color w:val="000000" w:themeColor="text1"/>
                <w:lang w:val="ro-MD"/>
              </w:rPr>
              <w:lastRenderedPageBreak/>
              <w:t>alineatul (1) litera (b) de la prezentul articol, pentru a calcula cerințele de fonduri proprii pe o bază de sine stătătoare ca portofoliu separat.</w:t>
            </w:r>
          </w:p>
        </w:tc>
        <w:tc>
          <w:tcPr>
            <w:tcW w:w="1692" w:type="pct"/>
            <w:shd w:val="clear" w:color="auto" w:fill="auto"/>
          </w:tcPr>
          <w:p w14:paraId="1CDA2794" w14:textId="4EB4B331" w:rsidR="00D12468" w:rsidRPr="00C011B2" w:rsidRDefault="00D33FE1" w:rsidP="00D12468">
            <w:pPr>
              <w:spacing w:after="0" w:line="276" w:lineRule="auto"/>
              <w:jc w:val="both"/>
              <w:rPr>
                <w:rFonts w:ascii="Times New Roman" w:hAnsi="Times New Roman" w:cs="Times New Roman"/>
                <w:color w:val="000000" w:themeColor="text1"/>
                <w:lang w:val="ro-MD"/>
              </w:rPr>
            </w:pPr>
            <w:bookmarkStart w:id="153" w:name="_Hlk222923213"/>
            <w:r w:rsidRPr="00C011B2">
              <w:rPr>
                <w:rFonts w:ascii="Times New Roman" w:hAnsi="Times New Roman" w:cs="Times New Roman"/>
                <w:color w:val="000000" w:themeColor="text1"/>
                <w:lang w:val="ro-MD"/>
              </w:rPr>
              <w:lastRenderedPageBreak/>
              <w:t>141.</w:t>
            </w:r>
            <w:r w:rsidR="00D12468" w:rsidRPr="00C011B2">
              <w:rPr>
                <w:rFonts w:ascii="Times New Roman" w:hAnsi="Times New Roman" w:cs="Times New Roman"/>
                <w:color w:val="000000" w:themeColor="text1"/>
                <w:lang w:val="ro-MD"/>
              </w:rPr>
              <w:t xml:space="preserve">   În sensul abordărilor menționate la </w:t>
            </w:r>
            <w:r w:rsidRPr="00C011B2">
              <w:rPr>
                <w:rFonts w:ascii="Times New Roman" w:hAnsi="Times New Roman" w:cs="Times New Roman"/>
                <w:color w:val="000000" w:themeColor="text1"/>
                <w:lang w:val="ro-MD"/>
              </w:rPr>
              <w:t>subpct.139.2</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banca</w:t>
            </w:r>
            <w:r w:rsidR="00D12468" w:rsidRPr="00C011B2">
              <w:rPr>
                <w:rFonts w:ascii="Times New Roman" w:hAnsi="Times New Roman" w:cs="Times New Roman"/>
                <w:color w:val="000000" w:themeColor="text1"/>
                <w:lang w:val="ro-MD"/>
              </w:rPr>
              <w:t>:</w:t>
            </w:r>
          </w:p>
          <w:p w14:paraId="782D183A" w14:textId="07EC5CF6" w:rsidR="00D12468" w:rsidRPr="00C011B2" w:rsidRDefault="001D6A5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141.1.</w:t>
            </w:r>
            <w:r w:rsidR="00D12468" w:rsidRPr="00C011B2">
              <w:rPr>
                <w:rFonts w:ascii="Times New Roman" w:hAnsi="Times New Roman" w:cs="Times New Roman"/>
                <w:color w:val="000000" w:themeColor="text1"/>
                <w:lang w:val="ro-MD"/>
              </w:rPr>
              <w:t xml:space="preserve"> aplică cerințele de fonduri proprii pentru riscul de nerambursare prevăzute în secțiunea 5 și majorarea pentru riscul rezidual prevăzută în secțiunea 4 unei poziții pe un OPC, în cazul în care mandatul OPC-ului îi permite să investească în expuneri care fac obiectul respectivelor cerințe de fonduri proprii; când utilizează metoda menționată la </w:t>
            </w:r>
            <w:r w:rsidRPr="00C011B2">
              <w:rPr>
                <w:rFonts w:ascii="Times New Roman" w:hAnsi="Times New Roman" w:cs="Times New Roman"/>
                <w:color w:val="000000" w:themeColor="text1"/>
                <w:lang w:val="ro-MD"/>
              </w:rPr>
              <w:t>subpct.139.2.1</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consideră că poziția pe OPC-ul respectiv este o poziție fără rating pe un singur titlu de capital atribuită benzii „Nu beneficiază de rating” din tabelul 2 de la</w:t>
            </w:r>
            <w:r w:rsidR="00A953D1" w:rsidRPr="00C011B2">
              <w:rPr>
                <w:rFonts w:ascii="Times New Roman" w:hAnsi="Times New Roman" w:cs="Times New Roman"/>
                <w:color w:val="000000" w:themeColor="text1"/>
                <w:lang w:val="ro-MD"/>
              </w:rPr>
              <w:t xml:space="preserve"> pct.240</w:t>
            </w:r>
            <w:r w:rsidR="00D12468" w:rsidRPr="00C011B2">
              <w:rPr>
                <w:rFonts w:ascii="Times New Roman" w:hAnsi="Times New Roman" w:cs="Times New Roman"/>
                <w:color w:val="000000" w:themeColor="text1"/>
                <w:lang w:val="ro-MD"/>
              </w:rPr>
              <w:t>; și</w:t>
            </w:r>
          </w:p>
          <w:p w14:paraId="547DF362" w14:textId="3170FA46" w:rsidR="00D12468" w:rsidRPr="00C011B2" w:rsidRDefault="001D6A5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141.2.</w:t>
            </w:r>
            <w:r w:rsidR="00D12468" w:rsidRPr="00C011B2">
              <w:rPr>
                <w:rFonts w:ascii="Times New Roman" w:hAnsi="Times New Roman" w:cs="Times New Roman"/>
                <w:color w:val="000000" w:themeColor="text1"/>
                <w:lang w:val="ro-MD"/>
              </w:rPr>
              <w:t xml:space="preserve"> pentru toate pozițiile pe același OPC, utilizează aceeași abordare, dintre abordările prevăzute la </w:t>
            </w:r>
            <w:r w:rsidRPr="00C011B2">
              <w:rPr>
                <w:rFonts w:ascii="Times New Roman" w:hAnsi="Times New Roman" w:cs="Times New Roman"/>
                <w:color w:val="000000" w:themeColor="text1"/>
                <w:lang w:val="ro-MD"/>
              </w:rPr>
              <w:t>subpct.139.2.1</w:t>
            </w:r>
            <w:r w:rsidR="00D12468" w:rsidRPr="00C011B2">
              <w:rPr>
                <w:rFonts w:ascii="Times New Roman" w:hAnsi="Times New Roman" w:cs="Times New Roman"/>
                <w:color w:val="000000" w:themeColor="text1"/>
                <w:lang w:val="ro-MD"/>
              </w:rPr>
              <w:t>, pentru a calcula cerințele de fonduri proprii pe o bază de sine stătătoare ca portofoliu separat.</w:t>
            </w:r>
            <w:bookmarkEnd w:id="153"/>
          </w:p>
        </w:tc>
        <w:tc>
          <w:tcPr>
            <w:tcW w:w="450" w:type="pct"/>
          </w:tcPr>
          <w:p w14:paraId="7EEEE51F" w14:textId="2F81D2F9" w:rsidR="00D12468" w:rsidRPr="00C011B2" w:rsidRDefault="0071405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DD8C40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E527B9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0ED500"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5" w:tooltip="32021R0424: REPLACED" w:history="1">
              <w:r w:rsidR="00D12468" w:rsidRPr="00C011B2">
                <w:rPr>
                  <w:rStyle w:val="Hyperlink"/>
                  <w:rFonts w:ascii="Times New Roman" w:hAnsi="Times New Roman" w:cs="Times New Roman"/>
                  <w:b/>
                  <w:bCs/>
                  <w:lang w:val="ro-MD"/>
                </w:rPr>
                <w:t>▼M12</w:t>
              </w:r>
            </w:hyperlink>
          </w:p>
          <w:p w14:paraId="249771E1" w14:textId="25758F0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Prin derogare de la alineatul (1), în cazul în care o instituție are o poziție pe un OPC care se raportează la un indice de referință, iar diferența dintre rentabilitatea anualizată a OPC-ului și a indicelui de referință la care se raportează acesta din ultimele 12 luni este mai mică de 1 % în termeni absoluți, făcând abstracție de taxe și comisioane, instituția poate trata poziția respectivă ca pe o poziție pe indicele de referință la care se raportează OPC-ul. Instituția verifică respectarea acestei condiții atunci când își asumă poziția respectivă și, ulterior, cel puțin o dată pe an.</w:t>
            </w:r>
          </w:p>
          <w:p w14:paraId="168946C8" w14:textId="5EF96FF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 toate acestea, în cazul în care nu sunt disponibile toate datele pentru ultimele 12 luni, instituția poate utiliza, cu permisiunea autorității sale competente, diferența dintre rentabilitățile anualizate pe o perioadă mai scurtă de 12 luni.</w:t>
            </w:r>
          </w:p>
        </w:tc>
        <w:tc>
          <w:tcPr>
            <w:tcW w:w="1692" w:type="pct"/>
            <w:shd w:val="clear" w:color="auto" w:fill="auto"/>
          </w:tcPr>
          <w:p w14:paraId="6F70C911" w14:textId="02688B0C" w:rsidR="00D12468" w:rsidRPr="00C011B2" w:rsidRDefault="001D6A57" w:rsidP="00D12468">
            <w:pPr>
              <w:spacing w:after="0" w:line="276" w:lineRule="auto"/>
              <w:jc w:val="both"/>
              <w:rPr>
                <w:rFonts w:ascii="Times New Roman" w:hAnsi="Times New Roman" w:cs="Times New Roman"/>
                <w:color w:val="000000" w:themeColor="text1"/>
                <w:lang w:val="ro-MD"/>
              </w:rPr>
            </w:pPr>
            <w:bookmarkStart w:id="154" w:name="_Hlk222923313"/>
            <w:r w:rsidRPr="00C011B2">
              <w:rPr>
                <w:rFonts w:ascii="Times New Roman" w:hAnsi="Times New Roman" w:cs="Times New Roman"/>
                <w:color w:val="000000" w:themeColor="text1"/>
                <w:lang w:val="ro-MD"/>
              </w:rPr>
              <w:t>142.</w:t>
            </w:r>
            <w:r w:rsidR="00D12468" w:rsidRPr="00C011B2">
              <w:rPr>
                <w:rFonts w:ascii="Times New Roman" w:hAnsi="Times New Roman" w:cs="Times New Roman"/>
                <w:color w:val="000000" w:themeColor="text1"/>
                <w:lang w:val="ro-MD"/>
              </w:rPr>
              <w:t>   Prin derogare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pct.139</w:t>
            </w:r>
            <w:r w:rsidR="00D12468" w:rsidRPr="00C011B2">
              <w:rPr>
                <w:rFonts w:ascii="Times New Roman" w:hAnsi="Times New Roman" w:cs="Times New Roman"/>
                <w:color w:val="000000" w:themeColor="text1"/>
                <w:lang w:val="ro-MD"/>
              </w:rPr>
              <w:t xml:space="preserve">, în cazul în care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are o poziție pe un OPC care se raportează la un indice de referință, iar diferența dintre rentabilitatea anualizată a OPC-ului și a indicelui de referință la care se raportează acesta din ultimele 12 luni este mai mică de 1 % în termeni absoluți, făcând abstracție de taxe și comisioane,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poate trata poziția respectivă ca pe o poziție pe indicele de referință la care se raportează OPC-ul.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verifică respectarea acestei condiții atunci când își asumă poziția respectivă și, ulterior, cel puțin o dată pe an.</w:t>
            </w:r>
            <w:bookmarkEnd w:id="154"/>
          </w:p>
          <w:p w14:paraId="2B6D133D" w14:textId="6065A977" w:rsidR="00D12468" w:rsidRPr="00C011B2" w:rsidRDefault="001D6A57" w:rsidP="00D12468">
            <w:pPr>
              <w:spacing w:after="0" w:line="276" w:lineRule="auto"/>
              <w:jc w:val="both"/>
              <w:rPr>
                <w:rFonts w:ascii="Times New Roman" w:hAnsi="Times New Roman" w:cs="Times New Roman"/>
                <w:color w:val="000000" w:themeColor="text1"/>
                <w:lang w:val="ro-MD"/>
              </w:rPr>
            </w:pPr>
            <w:bookmarkStart w:id="155" w:name="_Hlk222923339"/>
            <w:r w:rsidRPr="00C011B2">
              <w:rPr>
                <w:rFonts w:ascii="Times New Roman" w:hAnsi="Times New Roman" w:cs="Times New Roman"/>
                <w:color w:val="000000" w:themeColor="text1"/>
                <w:lang w:val="ro-MD"/>
              </w:rPr>
              <w:t xml:space="preserve">143. </w:t>
            </w:r>
            <w:r w:rsidR="00D12468" w:rsidRPr="00C011B2">
              <w:rPr>
                <w:rFonts w:ascii="Times New Roman" w:hAnsi="Times New Roman" w:cs="Times New Roman"/>
                <w:color w:val="000000" w:themeColor="text1"/>
                <w:lang w:val="ro-MD"/>
              </w:rPr>
              <w:t xml:space="preserve">Cu toate acestea, în cazul în care nu sunt disponibile toate datele pentru ultimele 12 luni,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poate utiliza, cu permisiunea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diferența dintre rentabilitățile anualizate pe o perioadă mai scurtă de 12 luni.</w:t>
            </w:r>
            <w:bookmarkEnd w:id="155"/>
          </w:p>
        </w:tc>
        <w:tc>
          <w:tcPr>
            <w:tcW w:w="450" w:type="pct"/>
          </w:tcPr>
          <w:p w14:paraId="1287E7ED" w14:textId="52695F82" w:rsidR="00D12468" w:rsidRPr="00C011B2" w:rsidRDefault="0071405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2D91DA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CDF9D5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3AF02EE"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6" w:tooltip="32024R1623: REPLACED" w:history="1">
              <w:r w:rsidR="00D12468" w:rsidRPr="00C011B2">
                <w:rPr>
                  <w:rStyle w:val="Hyperlink"/>
                  <w:rFonts w:ascii="Times New Roman" w:hAnsi="Times New Roman" w:cs="Times New Roman"/>
                  <w:b/>
                  <w:bCs/>
                  <w:lang w:val="ro-MD"/>
                </w:rPr>
                <w:t>▼M17</w:t>
              </w:r>
            </w:hyperlink>
          </w:p>
          <w:p w14:paraId="32A87CA9" w14:textId="4EB31DF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Pentru pozițiile sale pe OPC-uri, o instituție poate utiliza o combinație între abordările menționate la alineatul (1) literele (a) și (b). Cu toate acestea, pentru </w:t>
            </w:r>
            <w:r w:rsidRPr="00C011B2">
              <w:rPr>
                <w:rFonts w:ascii="Times New Roman" w:hAnsi="Times New Roman" w:cs="Times New Roman"/>
                <w:color w:val="000000" w:themeColor="text1"/>
                <w:lang w:val="ro-MD"/>
              </w:rPr>
              <w:lastRenderedPageBreak/>
              <w:t>toate pozițiile pe același OPC, instituția trebuie să utilizeze doar una dintre aceste abordări.</w:t>
            </w:r>
          </w:p>
        </w:tc>
        <w:tc>
          <w:tcPr>
            <w:tcW w:w="1692" w:type="pct"/>
            <w:shd w:val="clear" w:color="auto" w:fill="auto"/>
          </w:tcPr>
          <w:p w14:paraId="04C328D4" w14:textId="5C6E3839" w:rsidR="00D12468" w:rsidRPr="00C011B2" w:rsidRDefault="001D6A57" w:rsidP="00D12468">
            <w:pPr>
              <w:spacing w:after="0" w:line="276" w:lineRule="auto"/>
              <w:jc w:val="both"/>
              <w:rPr>
                <w:rFonts w:ascii="Times New Roman" w:hAnsi="Times New Roman" w:cs="Times New Roman"/>
                <w:color w:val="000000" w:themeColor="text1"/>
                <w:lang w:val="ro-MD"/>
              </w:rPr>
            </w:pPr>
            <w:bookmarkStart w:id="156" w:name="_Hlk222923365"/>
            <w:r w:rsidRPr="00C011B2">
              <w:rPr>
                <w:rFonts w:ascii="Times New Roman" w:hAnsi="Times New Roman" w:cs="Times New Roman"/>
                <w:color w:val="000000" w:themeColor="text1"/>
                <w:lang w:val="ro-MD"/>
              </w:rPr>
              <w:lastRenderedPageBreak/>
              <w:t>144.</w:t>
            </w:r>
            <w:r w:rsidR="00D12468" w:rsidRPr="00C011B2">
              <w:rPr>
                <w:rFonts w:ascii="Times New Roman" w:hAnsi="Times New Roman" w:cs="Times New Roman"/>
                <w:color w:val="000000" w:themeColor="text1"/>
                <w:lang w:val="ro-MD"/>
              </w:rPr>
              <w:t>   Pentru pozițiile sale pe OPC-uri,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poate utiliza o combinație între abordările menționate la </w:t>
            </w:r>
            <w:r w:rsidRPr="00C011B2">
              <w:rPr>
                <w:rFonts w:ascii="Times New Roman" w:hAnsi="Times New Roman" w:cs="Times New Roman"/>
                <w:color w:val="000000" w:themeColor="text1"/>
                <w:lang w:val="ro-MD"/>
              </w:rPr>
              <w:t>subpct.139.1</w:t>
            </w:r>
            <w:r w:rsidR="00D12468"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139.2</w:t>
            </w:r>
            <w:r w:rsidR="00D12468" w:rsidRPr="00C011B2">
              <w:rPr>
                <w:rFonts w:ascii="Times New Roman" w:hAnsi="Times New Roman" w:cs="Times New Roman"/>
                <w:color w:val="000000" w:themeColor="text1"/>
                <w:lang w:val="ro-MD"/>
              </w:rPr>
              <w:t xml:space="preserve">. Cu toate acestea, pentru toate pozițiile pe același OPC,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trebuie să utilizeze doar una dintre aceste abordări.</w:t>
            </w:r>
            <w:bookmarkEnd w:id="156"/>
          </w:p>
        </w:tc>
        <w:tc>
          <w:tcPr>
            <w:tcW w:w="450" w:type="pct"/>
          </w:tcPr>
          <w:p w14:paraId="4E0200CA" w14:textId="68F321ED" w:rsidR="00D12468" w:rsidRPr="00C011B2" w:rsidRDefault="0071405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DE532E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72292A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A88A5F1" w14:textId="0D07EC1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sensul alineatului (1) litera (b) punctul (ii) de la prezentul articol, o instituție calculează cerințele de fonduri proprii pentru riscul de piață prin determinarea portofoliului ipotetic al OPC-ului care ar atrage cele mai ridicate cerințe de fonduri proprii în conformitate cu articolul 325c alineatul (2) litera (a), pe baza mandatului OPC-ului sau a legislației relevante, luând în considerare efectul de levier în limitele maxime permise, dacă este cazul.</w:t>
            </w:r>
          </w:p>
          <w:p w14:paraId="2752F4A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Instituția utilizează același portofoliu ipotetic ca cel menționat la primul paragraf pentru a calcula, după caz, cerințele de fonduri proprii pentru riscul de nerambursare prevăzute în secțiunea 5 și majorarea pentru riscul rezidual prevăzută în secțiunea 4 pentru o poziție pe un OPC.</w:t>
            </w:r>
          </w:p>
          <w:p w14:paraId="777FCD6F" w14:textId="03F98A5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Metodologia elaborată de instituție pentru a determina portofoliile ipotetice ale tuturor pozițiilor pe OPC-uri pentru care se utilizează calculele menționate la primul paragraf trebuie aprobată de autoritatea sa competentă.</w:t>
            </w:r>
          </w:p>
        </w:tc>
        <w:tc>
          <w:tcPr>
            <w:tcW w:w="1692" w:type="pct"/>
            <w:shd w:val="clear" w:color="auto" w:fill="auto"/>
          </w:tcPr>
          <w:p w14:paraId="072F954E" w14:textId="38BFFFDE" w:rsidR="00D12468" w:rsidRPr="00C011B2" w:rsidRDefault="001D6A57" w:rsidP="00D12468">
            <w:pPr>
              <w:spacing w:after="0" w:line="276" w:lineRule="auto"/>
              <w:jc w:val="both"/>
              <w:rPr>
                <w:rFonts w:ascii="Times New Roman" w:hAnsi="Times New Roman" w:cs="Times New Roman"/>
                <w:color w:val="000000" w:themeColor="text1"/>
                <w:lang w:val="ro-MD"/>
              </w:rPr>
            </w:pPr>
            <w:bookmarkStart w:id="157" w:name="_Hlk222923390"/>
            <w:r w:rsidRPr="00C011B2">
              <w:rPr>
                <w:rFonts w:ascii="Times New Roman" w:hAnsi="Times New Roman" w:cs="Times New Roman"/>
                <w:color w:val="000000" w:themeColor="text1"/>
                <w:lang w:val="ro-MD"/>
              </w:rPr>
              <w:t>145.</w:t>
            </w:r>
            <w:r w:rsidR="00D12468" w:rsidRPr="00C011B2">
              <w:rPr>
                <w:rFonts w:ascii="Times New Roman" w:hAnsi="Times New Roman" w:cs="Times New Roman"/>
                <w:color w:val="000000" w:themeColor="text1"/>
                <w:lang w:val="ro-MD"/>
              </w:rPr>
              <w:t xml:space="preserve">   În sensul </w:t>
            </w:r>
            <w:r w:rsidRPr="00C011B2">
              <w:rPr>
                <w:rFonts w:ascii="Times New Roman" w:hAnsi="Times New Roman" w:cs="Times New Roman"/>
                <w:color w:val="000000" w:themeColor="text1"/>
                <w:lang w:val="ro-MD"/>
              </w:rPr>
              <w:t>subpct.139.2.2</w:t>
            </w:r>
            <w:r w:rsidR="00D12468" w:rsidRPr="00C011B2">
              <w:rPr>
                <w:rFonts w:ascii="Times New Roman" w:hAnsi="Times New Roman" w:cs="Times New Roman"/>
                <w:color w:val="000000" w:themeColor="text1"/>
                <w:lang w:val="ro-MD"/>
              </w:rPr>
              <w:t>,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calculează cerințele de fonduri proprii pentru riscul de piață prin determinarea portofoliului ipotetic al OPC-ului care ar atrage cele mai ridicate cerințe de fonduri proprii în conformitate cu</w:t>
            </w:r>
            <w:r w:rsidR="00A953D1" w:rsidRPr="00C011B2">
              <w:rPr>
                <w:rFonts w:ascii="Times New Roman" w:hAnsi="Times New Roman" w:cs="Times New Roman"/>
                <w:color w:val="000000" w:themeColor="text1"/>
                <w:lang w:val="ro-MD"/>
              </w:rPr>
              <w:t xml:space="preserve"> subpct.95.1</w:t>
            </w:r>
            <w:r w:rsidR="00D12468" w:rsidRPr="00C011B2">
              <w:rPr>
                <w:rFonts w:ascii="Times New Roman" w:hAnsi="Times New Roman" w:cs="Times New Roman"/>
                <w:color w:val="000000" w:themeColor="text1"/>
                <w:lang w:val="ro-MD"/>
              </w:rPr>
              <w:t>, pe baza mandatului OPC-ului sau a legislației relevante, luând în considerare efectul de levier în limitele maxime permise, dacă este cazul.</w:t>
            </w:r>
          </w:p>
          <w:p w14:paraId="477F8A6E" w14:textId="5EE151EA" w:rsidR="00D12468" w:rsidRPr="00C011B2" w:rsidRDefault="001D6A5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146. Banca </w:t>
            </w:r>
            <w:r w:rsidR="00D12468" w:rsidRPr="00C011B2">
              <w:rPr>
                <w:rFonts w:ascii="Times New Roman" w:hAnsi="Times New Roman" w:cs="Times New Roman"/>
                <w:color w:val="000000" w:themeColor="text1"/>
                <w:lang w:val="ro-MD"/>
              </w:rPr>
              <w:t xml:space="preserve">utilizează același portofoliu ipotetic ca cel menționat la </w:t>
            </w:r>
            <w:r w:rsidRPr="00C011B2">
              <w:rPr>
                <w:rFonts w:ascii="Times New Roman" w:hAnsi="Times New Roman" w:cs="Times New Roman"/>
                <w:color w:val="000000" w:themeColor="text1"/>
                <w:lang w:val="ro-MD"/>
              </w:rPr>
              <w:t>pct.145</w:t>
            </w:r>
            <w:r w:rsidR="00D12468" w:rsidRPr="00C011B2">
              <w:rPr>
                <w:rFonts w:ascii="Times New Roman" w:hAnsi="Times New Roman" w:cs="Times New Roman"/>
                <w:color w:val="000000" w:themeColor="text1"/>
                <w:lang w:val="ro-MD"/>
              </w:rPr>
              <w:t xml:space="preserve"> pentru a calcula, după caz, cerințele de fonduri proprii pentru riscul de nerambursare prevăzute în secțiunea 5 și majorarea pentru riscul rezidual prevăzută în secțiunea 4 pentru o poziție pe un OPC.</w:t>
            </w:r>
          </w:p>
          <w:p w14:paraId="7CF911DA" w14:textId="0203859D" w:rsidR="00D12468" w:rsidRPr="00C011B2" w:rsidRDefault="001D6A5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147. </w:t>
            </w:r>
            <w:r w:rsidR="00D12468" w:rsidRPr="00C011B2">
              <w:rPr>
                <w:rFonts w:ascii="Times New Roman" w:hAnsi="Times New Roman" w:cs="Times New Roman"/>
                <w:color w:val="000000" w:themeColor="text1"/>
                <w:lang w:val="ro-MD"/>
              </w:rPr>
              <w:t xml:space="preserve">Metodologia elaborată de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pentru a determina portofoliile ipotetice ale tuturor pozițiilor pe OPC-uri pentru care se utilizează calculele menționate la </w:t>
            </w:r>
            <w:bookmarkStart w:id="158" w:name="_Hlk229748718"/>
            <w:r w:rsidR="006858EF" w:rsidRPr="00C011B2">
              <w:rPr>
                <w:rFonts w:ascii="Times New Roman" w:hAnsi="Times New Roman" w:cs="Times New Roman"/>
                <w:color w:val="000000" w:themeColor="text1"/>
                <w:lang w:val="ro-MD"/>
              </w:rPr>
              <w:t>pct.145</w:t>
            </w:r>
            <w:r w:rsidR="00D12468" w:rsidRPr="00C011B2">
              <w:rPr>
                <w:rFonts w:ascii="Times New Roman" w:hAnsi="Times New Roman" w:cs="Times New Roman"/>
                <w:color w:val="000000" w:themeColor="text1"/>
                <w:lang w:val="ro-MD"/>
              </w:rPr>
              <w:t xml:space="preserve"> </w:t>
            </w:r>
            <w:bookmarkEnd w:id="158"/>
            <w:r w:rsidR="00D12468" w:rsidRPr="00C011B2">
              <w:rPr>
                <w:rFonts w:ascii="Times New Roman" w:hAnsi="Times New Roman" w:cs="Times New Roman"/>
                <w:color w:val="000000" w:themeColor="text1"/>
                <w:lang w:val="ro-MD"/>
              </w:rPr>
              <w:t xml:space="preserve">trebuie aprobată de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w:t>
            </w:r>
            <w:bookmarkEnd w:id="157"/>
          </w:p>
        </w:tc>
        <w:tc>
          <w:tcPr>
            <w:tcW w:w="450" w:type="pct"/>
          </w:tcPr>
          <w:p w14:paraId="7A2ED5D9" w14:textId="2FCB9FD3" w:rsidR="00D12468" w:rsidRPr="00C011B2" w:rsidRDefault="0071405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1CED73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DB40A9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964AD2" w14:textId="244E1A8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O instituție poate utiliza abordările menționate la alineatul (1) numai în cazul în care OPC-ul îndeplinește toate condițiile prevăzute la articolul 132 alineatul (3). În cazul în care OPC-ul nu îndeplinește </w:t>
            </w:r>
            <w:r w:rsidRPr="00C011B2">
              <w:rPr>
                <w:rFonts w:ascii="Times New Roman" w:hAnsi="Times New Roman" w:cs="Times New Roman"/>
                <w:color w:val="000000" w:themeColor="text1"/>
                <w:lang w:val="ro-MD"/>
              </w:rPr>
              <w:lastRenderedPageBreak/>
              <w:t>toate condițiile prevăzute la articolul 132 alineatul (3), instituția atribuie pozițiile sale în acel OPC în afara portofoliului de tranzacționare.</w:t>
            </w:r>
          </w:p>
        </w:tc>
        <w:tc>
          <w:tcPr>
            <w:tcW w:w="1692" w:type="pct"/>
            <w:shd w:val="clear" w:color="auto" w:fill="auto"/>
          </w:tcPr>
          <w:p w14:paraId="33C1176E" w14:textId="21370449" w:rsidR="00D12468" w:rsidRPr="00C011B2" w:rsidRDefault="001D6A57" w:rsidP="00D12468">
            <w:pPr>
              <w:spacing w:after="0" w:line="276" w:lineRule="auto"/>
              <w:jc w:val="both"/>
              <w:rPr>
                <w:rFonts w:ascii="Times New Roman" w:hAnsi="Times New Roman" w:cs="Times New Roman"/>
                <w:color w:val="000000" w:themeColor="text1"/>
                <w:lang w:val="ro-MD"/>
              </w:rPr>
            </w:pPr>
            <w:bookmarkStart w:id="159" w:name="_Hlk222923427"/>
            <w:r w:rsidRPr="00C011B2">
              <w:rPr>
                <w:rFonts w:ascii="Times New Roman" w:hAnsi="Times New Roman" w:cs="Times New Roman"/>
                <w:color w:val="000000" w:themeColor="text1"/>
                <w:lang w:val="ro-MD"/>
              </w:rPr>
              <w:lastRenderedPageBreak/>
              <w:t>148.</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poate utiliza abordările menționate la</w:t>
            </w:r>
            <w:r w:rsidR="006F0212"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pct.139</w:t>
            </w:r>
            <w:r w:rsidR="00D12468" w:rsidRPr="00C011B2">
              <w:rPr>
                <w:rFonts w:ascii="Times New Roman" w:hAnsi="Times New Roman" w:cs="Times New Roman"/>
                <w:color w:val="000000" w:themeColor="text1"/>
                <w:lang w:val="ro-MD"/>
              </w:rPr>
              <w:t xml:space="preserve"> numai în cazul în care OPC-ul îndeplinește toate condițiile prevăzute la</w:t>
            </w:r>
            <w:r w:rsidR="00A70D2E" w:rsidRPr="00C011B2">
              <w:rPr>
                <w:rFonts w:ascii="Times New Roman" w:hAnsi="Times New Roman" w:cs="Times New Roman"/>
                <w:color w:val="000000" w:themeColor="text1"/>
                <w:lang w:val="ro-MD"/>
              </w:rPr>
              <w:t xml:space="preserve"> </w:t>
            </w:r>
            <w:r w:rsidR="00A70D2E" w:rsidRPr="00C011B2">
              <w:rPr>
                <w:rFonts w:ascii="Times New Roman" w:hAnsi="Times New Roman" w:cs="Times New Roman"/>
                <w:color w:val="000000" w:themeColor="text1"/>
                <w:lang w:val="ro-RO"/>
              </w:rPr>
              <w:t>pct.82</w:t>
            </w:r>
            <w:r w:rsidR="00A70D2E" w:rsidRPr="00C011B2">
              <w:rPr>
                <w:rFonts w:ascii="Times New Roman" w:hAnsi="Times New Roman" w:cs="Times New Roman"/>
                <w:color w:val="000000" w:themeColor="text1"/>
                <w:vertAlign w:val="superscript"/>
                <w:lang w:val="ro-RO"/>
              </w:rPr>
              <w:t xml:space="preserve">4 </w:t>
            </w:r>
            <w:r w:rsidR="00A70D2E" w:rsidRPr="00C011B2">
              <w:rPr>
                <w:rFonts w:ascii="Times New Roman" w:hAnsi="Times New Roman" w:cs="Times New Roman"/>
                <w:color w:val="000000" w:themeColor="text1"/>
                <w:lang w:val="ro-RO"/>
              </w:rPr>
              <w:t>din Regulamentul nr.111/2018</w:t>
            </w:r>
            <w:r w:rsidR="00D12468" w:rsidRPr="00C011B2">
              <w:rPr>
                <w:rFonts w:ascii="Times New Roman" w:hAnsi="Times New Roman" w:cs="Times New Roman"/>
                <w:color w:val="000000" w:themeColor="text1"/>
                <w:lang w:val="ro-MD"/>
              </w:rPr>
              <w:t xml:space="preserve">. În cazul în care OPC-ul nu îndeplinește toate </w:t>
            </w:r>
            <w:r w:rsidR="00D12468" w:rsidRPr="00C011B2">
              <w:rPr>
                <w:rFonts w:ascii="Times New Roman" w:hAnsi="Times New Roman" w:cs="Times New Roman"/>
                <w:color w:val="000000" w:themeColor="text1"/>
                <w:lang w:val="ro-MD"/>
              </w:rPr>
              <w:lastRenderedPageBreak/>
              <w:t xml:space="preserve">condițiile prevăzute la </w:t>
            </w:r>
            <w:r w:rsidR="00A70D2E" w:rsidRPr="00C011B2">
              <w:rPr>
                <w:rFonts w:ascii="Times New Roman" w:hAnsi="Times New Roman" w:cs="Times New Roman"/>
                <w:color w:val="000000" w:themeColor="text1"/>
                <w:lang w:val="ro-RO"/>
              </w:rPr>
              <w:t>pct.82</w:t>
            </w:r>
            <w:r w:rsidR="00A70D2E" w:rsidRPr="00C011B2">
              <w:rPr>
                <w:rFonts w:ascii="Times New Roman" w:hAnsi="Times New Roman" w:cs="Times New Roman"/>
                <w:color w:val="000000" w:themeColor="text1"/>
                <w:vertAlign w:val="superscript"/>
                <w:lang w:val="ro-RO"/>
              </w:rPr>
              <w:t xml:space="preserve">4 </w:t>
            </w:r>
            <w:r w:rsidR="00A70D2E" w:rsidRPr="00C011B2">
              <w:rPr>
                <w:rFonts w:ascii="Times New Roman" w:hAnsi="Times New Roman" w:cs="Times New Roman"/>
                <w:color w:val="000000" w:themeColor="text1"/>
                <w:lang w:val="ro-RO"/>
              </w:rPr>
              <w:t>din Regulamentul nr.111/2018</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atribuie pozițiile sale în acel OPC în afara portofoliului de tranzacționare.</w:t>
            </w:r>
            <w:bookmarkEnd w:id="159"/>
          </w:p>
        </w:tc>
        <w:tc>
          <w:tcPr>
            <w:tcW w:w="450" w:type="pct"/>
          </w:tcPr>
          <w:p w14:paraId="11ACB932" w14:textId="7FE5D93B" w:rsidR="00D12468" w:rsidRPr="00C011B2" w:rsidRDefault="0071405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A496BA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48263EC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25A0629" w14:textId="6349994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Pentru a calcula cerințele de fonduri proprii pentru riscul de piață aferente unei poziții pe un OPC în conformitate cu abordarea prevăzută la alineatul (1) litera (a), instituțiile se pot baza pe calculele efectuate de o parte terță, dacă sunt îndeplinite toate condițiile următoare:</w:t>
            </w:r>
          </w:p>
          <w:p w14:paraId="2A7B8A02" w14:textId="1989D5F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partea terță este una dintre entitățile următoare:</w:t>
            </w:r>
          </w:p>
          <w:p w14:paraId="647AE1DE" w14:textId="57E14B4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instituția depozitară sau instituția financiară depozitară a OPC-ului, cu condiția ca OPC-ul să investească exclusiv în titluri de valoare și să depoziteze toate titlurile de valoare la această instituție depozitară sau instituție financiară depozitară;</w:t>
            </w:r>
          </w:p>
          <w:p w14:paraId="5386A70F" w14:textId="7911BCA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în cazul OPC-urilor care nu se încadrează la punctul (i) de la prezenta literă, societatea de administrare a OPC-ului, cu condiția ca societatea de administrare a OPC-ului să îndeplinească criteriile prevăzute la articolul 132 alineatul (3) litera (a);</w:t>
            </w:r>
          </w:p>
          <w:p w14:paraId="43FDA02D" w14:textId="387E648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un furnizor terț, cu condiția ca datele, informațiile sau indicatorii de risc să fie puși la dispoziție sau calculați de către părțile terțe menționate la punctul (i) sau (ii) de la prezenta literă sau de către un alt furnizor terț de acest tip;</w:t>
            </w:r>
          </w:p>
          <w:p w14:paraId="5B04DB1C" w14:textId="63E3423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partea terță furnizează instituției datele, informațiile sau indicatorii de risc pentru a calcula cerința de fonduri proprii pentru riscul de piață aferentă poziției pe OPC în conformitate cu abordarea menționată la alineatul (1) litera (a) de la prezentul articol;</w:t>
            </w:r>
          </w:p>
          <w:p w14:paraId="6EC53BC7" w14:textId="0C8150B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un auditor extern al instituției a confirmat caracterul adecvat al datelor, al informațiilor sau al indicatorilor de risc de la partea terță menționați la litera (b) de la prezentul alineat, iar autoritatea competentă a instituției are acces nerestricționat la aceste date, informații sau indicatori de risc la cerere.</w:t>
            </w:r>
          </w:p>
        </w:tc>
        <w:tc>
          <w:tcPr>
            <w:tcW w:w="1692" w:type="pct"/>
            <w:shd w:val="clear" w:color="auto" w:fill="auto"/>
          </w:tcPr>
          <w:p w14:paraId="0A38D2E0" w14:textId="0D318414" w:rsidR="00D12468" w:rsidRPr="00C011B2" w:rsidRDefault="001D6A57" w:rsidP="00D12468">
            <w:pPr>
              <w:spacing w:after="0" w:line="276" w:lineRule="auto"/>
              <w:jc w:val="both"/>
              <w:rPr>
                <w:rFonts w:ascii="Times New Roman" w:hAnsi="Times New Roman" w:cs="Times New Roman"/>
                <w:color w:val="000000" w:themeColor="text1"/>
                <w:lang w:val="ro-MD"/>
              </w:rPr>
            </w:pPr>
            <w:bookmarkStart w:id="160" w:name="_Hlk222923503"/>
            <w:r w:rsidRPr="00C011B2">
              <w:rPr>
                <w:rFonts w:ascii="Times New Roman" w:hAnsi="Times New Roman" w:cs="Times New Roman"/>
                <w:color w:val="000000" w:themeColor="text1"/>
                <w:lang w:val="ro-MD"/>
              </w:rPr>
              <w:lastRenderedPageBreak/>
              <w:t>149.</w:t>
            </w:r>
            <w:r w:rsidR="00D12468" w:rsidRPr="00C011B2">
              <w:rPr>
                <w:rFonts w:ascii="Times New Roman" w:hAnsi="Times New Roman" w:cs="Times New Roman"/>
                <w:color w:val="000000" w:themeColor="text1"/>
                <w:lang w:val="ro-MD"/>
              </w:rPr>
              <w:t>   Pentru a calcula cerințele de fonduri proprii pentru riscul de piață aferente unei poziții pe un OPC în conformitate cu abordarea prevăzută la a</w:t>
            </w:r>
            <w:r w:rsidRPr="00C011B2">
              <w:rPr>
                <w:lang w:val="ro-MD"/>
              </w:rPr>
              <w:t xml:space="preserve"> sub</w:t>
            </w:r>
            <w:r w:rsidRPr="00C011B2">
              <w:rPr>
                <w:rFonts w:ascii="Times New Roman" w:hAnsi="Times New Roman" w:cs="Times New Roman"/>
                <w:color w:val="000000" w:themeColor="text1"/>
                <w:lang w:val="ro-MD"/>
              </w:rPr>
              <w:t>pct.139.1</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se pot baza pe calculele efectuate de o parte terță, dacă sunt îndeplinite toate condițiile următoare:</w:t>
            </w:r>
          </w:p>
          <w:p w14:paraId="40FE9C30" w14:textId="3FA4A2C5" w:rsidR="00D12468" w:rsidRPr="00C011B2" w:rsidRDefault="001D6A5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149.1.</w:t>
            </w:r>
            <w:r w:rsidR="00D12468" w:rsidRPr="00C011B2">
              <w:rPr>
                <w:rFonts w:ascii="Times New Roman" w:hAnsi="Times New Roman" w:cs="Times New Roman"/>
                <w:color w:val="000000" w:themeColor="text1"/>
                <w:lang w:val="ro-MD"/>
              </w:rPr>
              <w:t> partea terță este una dintre entitățile următoare:</w:t>
            </w:r>
          </w:p>
          <w:p w14:paraId="02BABBDA" w14:textId="37CBE8B1" w:rsidR="00D12468" w:rsidRPr="00C011B2" w:rsidRDefault="001D6A5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149.1.1.</w:t>
            </w:r>
            <w:r w:rsidR="00D12468" w:rsidRPr="00C011B2">
              <w:rPr>
                <w:rFonts w:ascii="Times New Roman" w:hAnsi="Times New Roman" w:cs="Times New Roman"/>
                <w:color w:val="000000" w:themeColor="text1"/>
                <w:lang w:val="ro-MD"/>
              </w:rPr>
              <w:t> </w:t>
            </w:r>
            <w:r w:rsidR="0086709A" w:rsidRPr="00C011B2" w:rsidDel="0086709A">
              <w:rPr>
                <w:rFonts w:ascii="Times New Roman" w:hAnsi="Times New Roman" w:cs="Times New Roman"/>
                <w:color w:val="000000" w:themeColor="text1"/>
                <w:lang w:val="ro-MD"/>
              </w:rPr>
              <w:t xml:space="preserve"> </w:t>
            </w:r>
            <w:r w:rsidR="0086709A" w:rsidRPr="00C011B2">
              <w:rPr>
                <w:rFonts w:ascii="Times New Roman" w:hAnsi="Times New Roman" w:cs="Times New Roman"/>
                <w:color w:val="000000" w:themeColor="text1"/>
                <w:lang w:val="ro-MD"/>
              </w:rPr>
              <w:t xml:space="preserve">depozitarul </w:t>
            </w:r>
            <w:r w:rsidR="00D12468" w:rsidRPr="00C011B2">
              <w:rPr>
                <w:rFonts w:ascii="Times New Roman" w:hAnsi="Times New Roman" w:cs="Times New Roman"/>
                <w:color w:val="000000" w:themeColor="text1"/>
                <w:lang w:val="ro-MD"/>
              </w:rPr>
              <w:t xml:space="preserve">OPC-ului, cu condiția ca OPC-ul să investească exclusiv în titluri de valoare și să depoziteze toate titlurile de valoare la </w:t>
            </w:r>
            <w:r w:rsidR="0086709A" w:rsidRPr="00C011B2">
              <w:rPr>
                <w:rFonts w:ascii="Times New Roman" w:hAnsi="Times New Roman" w:cs="Times New Roman"/>
                <w:color w:val="000000" w:themeColor="text1"/>
                <w:lang w:val="ro-MD"/>
              </w:rPr>
              <w:t>acest depozitar</w:t>
            </w:r>
            <w:r w:rsidR="00D12468" w:rsidRPr="00C011B2">
              <w:rPr>
                <w:rFonts w:ascii="Times New Roman" w:hAnsi="Times New Roman" w:cs="Times New Roman"/>
                <w:color w:val="000000" w:themeColor="text1"/>
                <w:lang w:val="ro-MD"/>
              </w:rPr>
              <w:t>;</w:t>
            </w:r>
          </w:p>
          <w:p w14:paraId="50C54893" w14:textId="21F98A75" w:rsidR="00D12468" w:rsidRPr="00C011B2" w:rsidRDefault="0086709A"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149.1.2.</w:t>
            </w:r>
            <w:r w:rsidR="00D12468" w:rsidRPr="00C011B2">
              <w:rPr>
                <w:rFonts w:ascii="Times New Roman" w:hAnsi="Times New Roman" w:cs="Times New Roman"/>
                <w:color w:val="000000" w:themeColor="text1"/>
                <w:lang w:val="ro-MD"/>
              </w:rPr>
              <w:t xml:space="preserve"> în cazul OPC-urilor care nu se încadrează la </w:t>
            </w:r>
            <w:r w:rsidRPr="00C011B2">
              <w:rPr>
                <w:rFonts w:ascii="Times New Roman" w:hAnsi="Times New Roman" w:cs="Times New Roman"/>
                <w:color w:val="000000" w:themeColor="text1"/>
                <w:lang w:val="ro-MD"/>
              </w:rPr>
              <w:t>subpct.149.1.1</w:t>
            </w:r>
            <w:r w:rsidR="00D12468" w:rsidRPr="00C011B2">
              <w:rPr>
                <w:rFonts w:ascii="Times New Roman" w:hAnsi="Times New Roman" w:cs="Times New Roman"/>
                <w:color w:val="000000" w:themeColor="text1"/>
                <w:lang w:val="ro-MD"/>
              </w:rPr>
              <w:t xml:space="preserve">, societatea de administrare a OPC-ului, cu condiția ca societatea de administrare a OPC-ului să îndeplinească criteriile prevăzute la </w:t>
            </w:r>
            <w:r w:rsidR="00314B53" w:rsidRPr="00C011B2">
              <w:rPr>
                <w:rFonts w:ascii="Times New Roman" w:hAnsi="Times New Roman" w:cs="Times New Roman"/>
                <w:color w:val="000000" w:themeColor="text1"/>
                <w:lang w:val="ro-RO"/>
              </w:rPr>
              <w:t>pct.82</w:t>
            </w:r>
            <w:r w:rsidR="00314B53" w:rsidRPr="00C011B2">
              <w:rPr>
                <w:rFonts w:ascii="Times New Roman" w:hAnsi="Times New Roman" w:cs="Times New Roman"/>
                <w:color w:val="000000" w:themeColor="text1"/>
                <w:vertAlign w:val="superscript"/>
                <w:lang w:val="ro-RO"/>
              </w:rPr>
              <w:t xml:space="preserve">4 </w:t>
            </w:r>
            <w:r w:rsidR="00314B53" w:rsidRPr="00C011B2">
              <w:rPr>
                <w:rFonts w:ascii="Times New Roman" w:hAnsi="Times New Roman" w:cs="Times New Roman"/>
                <w:color w:val="000000" w:themeColor="text1"/>
                <w:lang w:val="ro-RO"/>
              </w:rPr>
              <w:t>subpct.1)</w:t>
            </w:r>
            <w:r w:rsidR="00314B53" w:rsidRPr="00C011B2">
              <w:rPr>
                <w:rFonts w:ascii="Times New Roman" w:hAnsi="Times New Roman" w:cs="Times New Roman"/>
                <w:color w:val="000000" w:themeColor="text1"/>
                <w:vertAlign w:val="superscript"/>
                <w:lang w:val="ro-RO"/>
              </w:rPr>
              <w:t xml:space="preserve"> </w:t>
            </w:r>
            <w:r w:rsidR="00314B53" w:rsidRPr="00C011B2">
              <w:rPr>
                <w:rFonts w:ascii="Times New Roman" w:hAnsi="Times New Roman" w:cs="Times New Roman"/>
                <w:color w:val="000000" w:themeColor="text1"/>
                <w:lang w:val="ro-RO"/>
              </w:rPr>
              <w:t>din Regulamentul nr.111/2018</w:t>
            </w:r>
            <w:r w:rsidR="00D12468" w:rsidRPr="00C011B2">
              <w:rPr>
                <w:rFonts w:ascii="Times New Roman" w:hAnsi="Times New Roman" w:cs="Times New Roman"/>
                <w:color w:val="000000" w:themeColor="text1"/>
                <w:lang w:val="ro-MD"/>
              </w:rPr>
              <w:t>;</w:t>
            </w:r>
            <w:r w:rsidR="00314B53" w:rsidRPr="00C011B2">
              <w:rPr>
                <w:rFonts w:ascii="Times New Roman" w:hAnsi="Times New Roman" w:cs="Times New Roman"/>
                <w:color w:val="000000" w:themeColor="text1"/>
                <w:lang w:val="ro-MD"/>
              </w:rPr>
              <w:t>1</w:t>
            </w:r>
          </w:p>
          <w:p w14:paraId="3B7E19F4" w14:textId="3645A38E" w:rsidR="00D12468" w:rsidRPr="00C011B2" w:rsidRDefault="00C971C3"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149.1.3.</w:t>
            </w:r>
            <w:r w:rsidR="00D12468" w:rsidRPr="00C011B2">
              <w:rPr>
                <w:rFonts w:ascii="Times New Roman" w:hAnsi="Times New Roman" w:cs="Times New Roman"/>
                <w:color w:val="000000" w:themeColor="text1"/>
                <w:lang w:val="ro-MD"/>
              </w:rPr>
              <w:t xml:space="preserve"> un furnizor terț, cu condiția ca datele, informațiile sau indicatorii de risc să fie puși la dispoziție sau calculați de către părțile terțe menționate la </w:t>
            </w:r>
            <w:r w:rsidRPr="00C011B2">
              <w:rPr>
                <w:rFonts w:ascii="Times New Roman" w:hAnsi="Times New Roman" w:cs="Times New Roman"/>
                <w:color w:val="000000" w:themeColor="text1"/>
                <w:lang w:val="ro-MD"/>
              </w:rPr>
              <w:t>subpct.149.1.1</w:t>
            </w:r>
            <w:r w:rsidR="00D12468" w:rsidRPr="00C011B2">
              <w:rPr>
                <w:rFonts w:ascii="Times New Roman" w:hAnsi="Times New Roman" w:cs="Times New Roman"/>
                <w:color w:val="000000" w:themeColor="text1"/>
                <w:lang w:val="ro-MD"/>
              </w:rPr>
              <w:t xml:space="preserve"> sau </w:t>
            </w:r>
            <w:r w:rsidRPr="00C011B2">
              <w:rPr>
                <w:rFonts w:ascii="Times New Roman" w:hAnsi="Times New Roman" w:cs="Times New Roman"/>
                <w:color w:val="000000" w:themeColor="text1"/>
                <w:lang w:val="ro-MD"/>
              </w:rPr>
              <w:t>149.1.2</w:t>
            </w:r>
            <w:r w:rsidR="00D12468" w:rsidRPr="00C011B2">
              <w:rPr>
                <w:rFonts w:ascii="Times New Roman" w:hAnsi="Times New Roman" w:cs="Times New Roman"/>
                <w:color w:val="000000" w:themeColor="text1"/>
                <w:lang w:val="ro-MD"/>
              </w:rPr>
              <w:t>sau de către un alt furnizor terț de acest tip;</w:t>
            </w:r>
          </w:p>
          <w:p w14:paraId="6FB67B5B" w14:textId="0E8AF25F" w:rsidR="00D12468" w:rsidRPr="00C011B2" w:rsidRDefault="00C971C3"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149.2.</w:t>
            </w:r>
            <w:r w:rsidR="00D12468" w:rsidRPr="00C011B2">
              <w:rPr>
                <w:rFonts w:ascii="Times New Roman" w:hAnsi="Times New Roman" w:cs="Times New Roman"/>
                <w:color w:val="000000" w:themeColor="text1"/>
                <w:lang w:val="ro-MD"/>
              </w:rPr>
              <w:t xml:space="preserve"> partea terță furnizează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 xml:space="preserve">datele, informațiile sau indicatorii de risc pentru a calcula cerința de fonduri proprii pentru riscul de piață aferentă poziției pe OPC în conformitate cu abordarea menționată la </w:t>
            </w:r>
            <w:r w:rsidRPr="00C011B2">
              <w:rPr>
                <w:rFonts w:ascii="Times New Roman" w:hAnsi="Times New Roman" w:cs="Times New Roman"/>
                <w:color w:val="000000" w:themeColor="text1"/>
                <w:lang w:val="ro-MD"/>
              </w:rPr>
              <w:t>subpct.139.1</w:t>
            </w:r>
            <w:r w:rsidR="00D12468" w:rsidRPr="00C011B2">
              <w:rPr>
                <w:rFonts w:ascii="Times New Roman" w:hAnsi="Times New Roman" w:cs="Times New Roman"/>
                <w:color w:val="000000" w:themeColor="text1"/>
                <w:lang w:val="ro-MD"/>
              </w:rPr>
              <w:t>;</w:t>
            </w:r>
          </w:p>
          <w:p w14:paraId="1F93416C" w14:textId="008F4C7A" w:rsidR="00D12468" w:rsidRPr="00C011B2" w:rsidRDefault="00C971C3"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149.3.</w:t>
            </w:r>
            <w:r w:rsidR="00D12468" w:rsidRPr="00C011B2">
              <w:rPr>
                <w:rFonts w:ascii="Times New Roman" w:hAnsi="Times New Roman" w:cs="Times New Roman"/>
                <w:color w:val="000000" w:themeColor="text1"/>
                <w:lang w:val="ro-MD"/>
              </w:rPr>
              <w:t xml:space="preserve"> un auditor extern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 xml:space="preserve">a confirmat caracterul adecvat al datelor, al informațiilor sau al indicatorilor de risc de la partea terță menționați la </w:t>
            </w:r>
            <w:r w:rsidRPr="00C011B2">
              <w:rPr>
                <w:rFonts w:ascii="Times New Roman" w:hAnsi="Times New Roman" w:cs="Times New Roman"/>
                <w:color w:val="000000" w:themeColor="text1"/>
                <w:lang w:val="ro-MD"/>
              </w:rPr>
              <w:t>subpct.149.2</w:t>
            </w:r>
            <w:r w:rsidR="00D12468" w:rsidRPr="00C011B2">
              <w:rPr>
                <w:rFonts w:ascii="Times New Roman" w:hAnsi="Times New Roman" w:cs="Times New Roman"/>
                <w:color w:val="000000" w:themeColor="text1"/>
                <w:lang w:val="ro-MD"/>
              </w:rPr>
              <w:t xml:space="preserve">, iar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are acces nerestricționat la aceste date, informații sau indicatori de risc la cerere.</w:t>
            </w:r>
            <w:bookmarkEnd w:id="160"/>
          </w:p>
        </w:tc>
        <w:tc>
          <w:tcPr>
            <w:tcW w:w="450" w:type="pct"/>
          </w:tcPr>
          <w:p w14:paraId="6F419716" w14:textId="021480B7" w:rsidR="00D12468" w:rsidRPr="00C011B2" w:rsidRDefault="0086709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24E1271" w14:textId="5D969C48" w:rsidR="00D12468" w:rsidRPr="00C011B2" w:rsidRDefault="0086709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alin.(6), lit.a), pct.(i) au fost transpuse ținând cont de prevederile art.107 din Legea nr.171/2012 privind piaţa de capital</w:t>
            </w:r>
          </w:p>
        </w:tc>
      </w:tr>
      <w:tr w:rsidR="00936613" w:rsidRPr="00FA7D23" w14:paraId="19D2DEC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747C05" w14:textId="0965A266"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ABE elaborează proiecte de standarde tehnice de reglementare pentru a preciza în continuare elementele tehnice ale metodologiei de determinare a portofoliilor ipotetice în sensul abordării prevăzute la alineatul (4), inclusiv modul în care instituțiile trebuie să ia în considerare, în cadrul metodologiei, efectul de levier în limitele maxime permise, dacă este cazul.</w:t>
            </w:r>
          </w:p>
          <w:p w14:paraId="4CC6BA2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10 ianuarie 2027.</w:t>
            </w:r>
          </w:p>
          <w:p w14:paraId="2BE6810D" w14:textId="362375A9"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44F18752" w14:textId="5BF63F01"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00E12617" w14:textId="0BC3F530"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587EF6E7" w14:textId="77D23A14"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Alin.(7) stabilește obligații pentru autorități europene – Autoritatea Bancară Europeană.</w:t>
            </w:r>
          </w:p>
        </w:tc>
      </w:tr>
      <w:tr w:rsidR="00D12468" w:rsidRPr="00FA7D23" w14:paraId="0A5F148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6BA333B"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7" w:tooltip="32019R0876: INSERTED" w:history="1">
              <w:r w:rsidR="00D12468" w:rsidRPr="00C011B2">
                <w:rPr>
                  <w:rStyle w:val="Hyperlink"/>
                  <w:rFonts w:ascii="Times New Roman" w:hAnsi="Times New Roman" w:cs="Times New Roman"/>
                  <w:b/>
                  <w:bCs/>
                  <w:lang w:val="ro-MD"/>
                </w:rPr>
                <w:t>▼M8</w:t>
              </w:r>
            </w:hyperlink>
          </w:p>
          <w:p w14:paraId="704C4B3A"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325k</w:t>
            </w:r>
          </w:p>
          <w:p w14:paraId="0C7265D7" w14:textId="54160AD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Pozițiile aferente angajamentelor de preluare fermă</w:t>
            </w:r>
          </w:p>
        </w:tc>
        <w:tc>
          <w:tcPr>
            <w:tcW w:w="1692" w:type="pct"/>
            <w:shd w:val="clear" w:color="auto" w:fill="auto"/>
          </w:tcPr>
          <w:p w14:paraId="1BB9976A" w14:textId="126B35D6" w:rsidR="00D12468" w:rsidRPr="00C011B2" w:rsidRDefault="006F0212" w:rsidP="00D12468">
            <w:pPr>
              <w:spacing w:after="0" w:line="276" w:lineRule="auto"/>
              <w:jc w:val="both"/>
              <w:rPr>
                <w:rFonts w:ascii="Times New Roman" w:hAnsi="Times New Roman" w:cs="Times New Roman"/>
                <w:color w:val="000000" w:themeColor="text1"/>
                <w:lang w:val="ro-MD"/>
              </w:rPr>
            </w:pPr>
            <w:bookmarkStart w:id="161" w:name="_Hlk195090960"/>
            <w:r w:rsidRPr="00C011B2">
              <w:rPr>
                <w:rFonts w:ascii="Times New Roman" w:hAnsi="Times New Roman" w:cs="Times New Roman"/>
                <w:b/>
                <w:bCs/>
                <w:i/>
                <w:iCs/>
                <w:color w:val="000000" w:themeColor="text1"/>
                <w:lang w:val="ro-MD"/>
              </w:rPr>
              <w:t>Subsecţiunea 8.</w:t>
            </w:r>
            <w:r w:rsidR="00D12468" w:rsidRPr="00C011B2">
              <w:rPr>
                <w:rFonts w:ascii="Times New Roman" w:hAnsi="Times New Roman" w:cs="Times New Roman"/>
                <w:b/>
                <w:bCs/>
                <w:color w:val="000000" w:themeColor="text1"/>
                <w:lang w:val="ro-MD"/>
              </w:rPr>
              <w:t>Pozițiile aferente angajamentelor de preluare fermă</w:t>
            </w:r>
            <w:bookmarkEnd w:id="161"/>
          </w:p>
        </w:tc>
        <w:tc>
          <w:tcPr>
            <w:tcW w:w="450" w:type="pct"/>
          </w:tcPr>
          <w:p w14:paraId="39F27AB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265AF46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1A8A72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ED6FF9" w14:textId="46A0157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pot utiliza procesul stabilit la prezentul articol pentru a calcula cerințele de fonduri proprii pentru riscul de piață al pozițiilor aferente angajamentelor de preluare fermă de titluri de datorie sau de titluri de capital.</w:t>
            </w:r>
          </w:p>
        </w:tc>
        <w:tc>
          <w:tcPr>
            <w:tcW w:w="1692" w:type="pct"/>
            <w:shd w:val="clear" w:color="auto" w:fill="auto"/>
          </w:tcPr>
          <w:p w14:paraId="1CED74D5" w14:textId="52532191" w:rsidR="00D12468" w:rsidRPr="00C011B2" w:rsidRDefault="006F0212" w:rsidP="00D12468">
            <w:pPr>
              <w:spacing w:after="0" w:line="276" w:lineRule="auto"/>
              <w:jc w:val="both"/>
              <w:rPr>
                <w:rFonts w:ascii="Times New Roman" w:hAnsi="Times New Roman" w:cs="Times New Roman"/>
                <w:color w:val="000000" w:themeColor="text1"/>
                <w:lang w:val="ro-MD"/>
              </w:rPr>
            </w:pPr>
            <w:bookmarkStart w:id="162" w:name="_Hlk222924616"/>
            <w:r w:rsidRPr="00C011B2">
              <w:rPr>
                <w:rFonts w:ascii="Times New Roman" w:hAnsi="Times New Roman" w:cs="Times New Roman"/>
                <w:color w:val="000000" w:themeColor="text1"/>
                <w:lang w:val="ro-MD"/>
              </w:rPr>
              <w:t>150.</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pot utiliza procesul stabilit </w:t>
            </w:r>
            <w:r w:rsidRPr="00C011B2">
              <w:rPr>
                <w:rFonts w:ascii="Times New Roman" w:hAnsi="Times New Roman" w:cs="Times New Roman"/>
                <w:color w:val="000000" w:themeColor="text1"/>
                <w:lang w:val="ro-MD"/>
              </w:rPr>
              <w:t>în prezenta subsecțiune</w:t>
            </w:r>
            <w:r w:rsidR="00D12468" w:rsidRPr="00C011B2">
              <w:rPr>
                <w:rFonts w:ascii="Times New Roman" w:hAnsi="Times New Roman" w:cs="Times New Roman"/>
                <w:color w:val="000000" w:themeColor="text1"/>
                <w:lang w:val="ro-MD"/>
              </w:rPr>
              <w:t xml:space="preserve"> pentru a calcula cerințele de fonduri proprii pentru riscul de piață al pozițiilor aferente angajamentelor de preluare fermă de titluri de datorie sau de titluri de capital.</w:t>
            </w:r>
            <w:bookmarkEnd w:id="162"/>
          </w:p>
        </w:tc>
        <w:tc>
          <w:tcPr>
            <w:tcW w:w="450" w:type="pct"/>
          </w:tcPr>
          <w:p w14:paraId="5CA7CCE5" w14:textId="7A750097"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C6C4BE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5429E8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D27D846" w14:textId="5842EAE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aplică unul dintre factorii de multiplicare adecvați enumerați în tabelul 1 sensibilităților nete ale tuturor pozițiilor aferente angajamentelor de preluare fermă pe fiecare emitent individual, mai puțin pozițiilor aferente angajamentelor de preluare fermă care sunt subscrise sau subangajate de către terțe părți pe baza unei înțelegeri formale, și calculează cerințele de fonduri proprii pentru riscul de piață în conformitate cu abordarea prevăzută în prezentul capitol pe baza sensibilităților nete ajustate.</w:t>
            </w:r>
          </w:p>
          <w:p w14:paraId="2F0C5158"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88"/>
              <w:gridCol w:w="812"/>
            </w:tblGrid>
            <w:tr w:rsidR="00D12468" w:rsidRPr="00FA7D23" w14:paraId="1C907E95" w14:textId="77777777" w:rsidTr="00041DEB">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99622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0</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56589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r w:rsidR="00D12468" w:rsidRPr="00FA7D23" w14:paraId="6E20D489" w14:textId="77777777" w:rsidTr="00041DEB">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54CDA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1</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364D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r>
            <w:tr w:rsidR="00D12468" w:rsidRPr="00FA7D23" w14:paraId="2EEE746D" w14:textId="77777777" w:rsidTr="00041DEB">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687B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Zilele lucrătoare 2 și 3</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10C8A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D12468" w:rsidRPr="00FA7D23" w14:paraId="42BD7FCC" w14:textId="77777777" w:rsidTr="00041DEB">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5579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4</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CDA3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D12468" w:rsidRPr="00FA7D23" w14:paraId="39D8D3B2" w14:textId="77777777" w:rsidTr="00041DEB">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DC97F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5</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BDC26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r>
            <w:tr w:rsidR="00D12468" w:rsidRPr="00FA7D23" w14:paraId="557F270A" w14:textId="77777777" w:rsidTr="00041DEB">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E367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După ziua lucrătoare 5</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D700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bl>
          <w:p w14:paraId="03894212" w14:textId="467A1B8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În sensul prezentului articol, „ziua lucrătoare 0” înseamnă ziua lucrătoare în care instituția devine necondiționat angajată în acceptarea unei cantități cunoscute de titluri de valoare la un preț convenit.</w:t>
            </w:r>
          </w:p>
        </w:tc>
        <w:tc>
          <w:tcPr>
            <w:tcW w:w="1692" w:type="pct"/>
            <w:shd w:val="clear" w:color="auto" w:fill="auto"/>
          </w:tcPr>
          <w:p w14:paraId="264B5A96" w14:textId="3BABD6B8" w:rsidR="00D12468" w:rsidRPr="00C011B2" w:rsidRDefault="006F0212" w:rsidP="00D12468">
            <w:pPr>
              <w:spacing w:after="0" w:line="276" w:lineRule="auto"/>
              <w:jc w:val="both"/>
              <w:rPr>
                <w:rFonts w:ascii="Times New Roman" w:hAnsi="Times New Roman" w:cs="Times New Roman"/>
                <w:color w:val="000000" w:themeColor="text1"/>
                <w:lang w:val="ro-MD"/>
              </w:rPr>
            </w:pPr>
            <w:bookmarkStart w:id="163" w:name="_Hlk222924699"/>
            <w:r w:rsidRPr="00C011B2">
              <w:rPr>
                <w:rFonts w:ascii="Times New Roman" w:hAnsi="Times New Roman" w:cs="Times New Roman"/>
                <w:color w:val="000000" w:themeColor="text1"/>
                <w:lang w:val="ro-MD"/>
              </w:rPr>
              <w:lastRenderedPageBreak/>
              <w:t>151.</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aplică unul dintre factorii de multiplicare adecvați enumerați în tabelul 1 sensibilităților nete ale tuturor pozițiilor aferente angajamentelor de preluare fermă pe fiecare emitent individual, mai puțin pozițiilor aferente angajamentelor de preluare fermă care sunt subscrise sau subangajate de către terțe părți pe baza unei înțelegeri formale, și calculează cerințele de fonduri proprii pentru riscul de piață în conformitate cu abordarea prevăzută în prezentul capitol pe baza sensibilităților nete ajustate.</w:t>
            </w:r>
          </w:p>
          <w:p w14:paraId="33DEFB9E"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88"/>
              <w:gridCol w:w="812"/>
            </w:tblGrid>
            <w:tr w:rsidR="00D12468" w:rsidRPr="00FA7D23" w14:paraId="72E8F643" w14:textId="77777777" w:rsidTr="001E785F">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7AF0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0</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3204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r w:rsidR="00D12468" w:rsidRPr="00FA7D23" w14:paraId="390C0C9E" w14:textId="77777777" w:rsidTr="001E785F">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C5F5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1</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1E99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r>
            <w:tr w:rsidR="00D12468" w:rsidRPr="00FA7D23" w14:paraId="58748B39" w14:textId="77777777" w:rsidTr="001E785F">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CE86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Zilele lucrătoare 2 și 3</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7CC3E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D12468" w:rsidRPr="00FA7D23" w14:paraId="55712905" w14:textId="77777777" w:rsidTr="001E785F">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0DF1C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4</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016AF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D12468" w:rsidRPr="00FA7D23" w14:paraId="506015E9" w14:textId="77777777" w:rsidTr="001E785F">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3F93D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5</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18401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r>
            <w:tr w:rsidR="00D12468" w:rsidRPr="00FA7D23" w14:paraId="20AFDD43" w14:textId="77777777" w:rsidTr="001E785F">
              <w:trPr>
                <w:jc w:val="center"/>
              </w:trPr>
              <w:tc>
                <w:tcPr>
                  <w:tcW w:w="278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357E2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După ziua lucrătoare 5</w:t>
                  </w:r>
                </w:p>
              </w:tc>
              <w:tc>
                <w:tcPr>
                  <w:tcW w:w="8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4CD2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bl>
          <w:p w14:paraId="43B86110" w14:textId="587CBC1E" w:rsidR="00D12468" w:rsidRPr="00C011B2" w:rsidRDefault="00E149D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152. </w:t>
            </w:r>
            <w:r w:rsidR="00D12468" w:rsidRPr="00C011B2">
              <w:rPr>
                <w:rFonts w:ascii="Times New Roman" w:hAnsi="Times New Roman" w:cs="Times New Roman"/>
                <w:color w:val="000000" w:themeColor="text1"/>
                <w:lang w:val="ro-MD"/>
              </w:rPr>
              <w:t>În sensul</w:t>
            </w:r>
            <w:r w:rsidRPr="00C011B2">
              <w:rPr>
                <w:rFonts w:ascii="Times New Roman" w:hAnsi="Times New Roman" w:cs="Times New Roman"/>
                <w:color w:val="000000" w:themeColor="text1"/>
                <w:lang w:val="ro-MD"/>
              </w:rPr>
              <w:t xml:space="preserve"> </w:t>
            </w:r>
            <w:r w:rsidR="00090C84" w:rsidRPr="00C011B2">
              <w:rPr>
                <w:rFonts w:ascii="Times New Roman" w:hAnsi="Times New Roman" w:cs="Times New Roman"/>
                <w:color w:val="000000" w:themeColor="text1"/>
                <w:lang w:val="ro-MD"/>
              </w:rPr>
              <w:t>prezentei subsecțiuni</w:t>
            </w:r>
            <w:r w:rsidR="00D12468" w:rsidRPr="00C011B2">
              <w:rPr>
                <w:rFonts w:ascii="Times New Roman" w:hAnsi="Times New Roman" w:cs="Times New Roman"/>
                <w:color w:val="000000" w:themeColor="text1"/>
                <w:lang w:val="ro-MD"/>
              </w:rPr>
              <w:t xml:space="preserve">, „ziua lucrătoare 0” înseamnă ziua lucrătoare în care </w:t>
            </w:r>
            <w:r w:rsidR="00090C84"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devine necondiționat angajată în acceptarea unei cantități cunoscute de titluri de valoare la un preț convenit.</w:t>
            </w:r>
            <w:bookmarkEnd w:id="163"/>
          </w:p>
        </w:tc>
        <w:tc>
          <w:tcPr>
            <w:tcW w:w="450" w:type="pct"/>
          </w:tcPr>
          <w:p w14:paraId="13708951" w14:textId="12D87B3B"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F50AE7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495BB1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7B181C" w14:textId="258DDDF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Instituțiile notifică autorităților competente aplicarea procesului prevăzut la prezentul articol.</w:t>
            </w:r>
          </w:p>
        </w:tc>
        <w:tc>
          <w:tcPr>
            <w:tcW w:w="1692" w:type="pct"/>
            <w:shd w:val="clear" w:color="auto" w:fill="auto"/>
          </w:tcPr>
          <w:p w14:paraId="3558C549" w14:textId="1942EEC7" w:rsidR="00D12468" w:rsidRPr="00C011B2" w:rsidRDefault="00090C84" w:rsidP="00D12468">
            <w:pPr>
              <w:spacing w:after="0" w:line="276" w:lineRule="auto"/>
              <w:jc w:val="both"/>
              <w:rPr>
                <w:rFonts w:ascii="Times New Roman" w:hAnsi="Times New Roman" w:cs="Times New Roman"/>
                <w:color w:val="000000" w:themeColor="text1"/>
                <w:lang w:val="ro-MD"/>
              </w:rPr>
            </w:pPr>
            <w:bookmarkStart w:id="164" w:name="_Hlk222924751"/>
            <w:r w:rsidRPr="00C011B2">
              <w:rPr>
                <w:rFonts w:ascii="Times New Roman" w:hAnsi="Times New Roman" w:cs="Times New Roman"/>
                <w:color w:val="000000" w:themeColor="text1"/>
                <w:lang w:val="ro-MD"/>
              </w:rPr>
              <w:t>15</w:t>
            </w:r>
            <w:r w:rsidR="00E149D2" w:rsidRPr="00C011B2">
              <w:rPr>
                <w:rFonts w:ascii="Times New Roman" w:hAnsi="Times New Roman" w:cs="Times New Roman"/>
                <w:color w:val="000000" w:themeColor="text1"/>
                <w:lang w:val="ro-MD"/>
              </w:rPr>
              <w:t>3</w:t>
            </w:r>
            <w:r w:rsidRPr="00C011B2">
              <w:rPr>
                <w:rFonts w:ascii="Times New Roman" w:hAnsi="Times New Roman" w:cs="Times New Roman"/>
                <w:color w:val="000000" w:themeColor="text1"/>
                <w:lang w:val="ro-MD"/>
              </w:rPr>
              <w:t>.</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notifică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aplicarea procesului prevăzut la </w:t>
            </w:r>
            <w:r w:rsidRPr="00C011B2">
              <w:rPr>
                <w:rFonts w:ascii="Times New Roman" w:hAnsi="Times New Roman" w:cs="Times New Roman"/>
                <w:color w:val="000000" w:themeColor="text1"/>
                <w:lang w:val="ro-MD"/>
              </w:rPr>
              <w:t>prezenta subsecțiune</w:t>
            </w:r>
            <w:r w:rsidR="00D12468" w:rsidRPr="00C011B2">
              <w:rPr>
                <w:rFonts w:ascii="Times New Roman" w:hAnsi="Times New Roman" w:cs="Times New Roman"/>
                <w:color w:val="000000" w:themeColor="text1"/>
                <w:lang w:val="ro-MD"/>
              </w:rPr>
              <w:t>.</w:t>
            </w:r>
            <w:bookmarkEnd w:id="164"/>
          </w:p>
        </w:tc>
        <w:tc>
          <w:tcPr>
            <w:tcW w:w="450" w:type="pct"/>
          </w:tcPr>
          <w:p w14:paraId="29955691" w14:textId="5E19A316"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126B25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A6E938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C4630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3</w:t>
            </w:r>
          </w:p>
          <w:p w14:paraId="11172FED"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Definițiile factorilor de risc și ale sensibilităților</w:t>
            </w:r>
          </w:p>
          <w:p w14:paraId="419655A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1</w:t>
            </w:r>
          </w:p>
          <w:p w14:paraId="3F6127EF"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Definițiile factorilor de risc</w:t>
            </w:r>
          </w:p>
          <w:p w14:paraId="0D45D91D"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325l</w:t>
            </w:r>
          </w:p>
          <w:p w14:paraId="0076D4E1" w14:textId="095242F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 de risc general de rată a dobânzii</w:t>
            </w:r>
          </w:p>
        </w:tc>
        <w:tc>
          <w:tcPr>
            <w:tcW w:w="1692" w:type="pct"/>
            <w:shd w:val="clear" w:color="auto" w:fill="auto"/>
          </w:tcPr>
          <w:p w14:paraId="0405F506"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bookmarkStart w:id="165" w:name="_Hlk195091009"/>
            <w:r w:rsidRPr="00C011B2">
              <w:rPr>
                <w:rFonts w:ascii="Times New Roman" w:hAnsi="Times New Roman" w:cs="Times New Roman"/>
                <w:b/>
                <w:bCs/>
                <w:color w:val="000000" w:themeColor="text1"/>
                <w:lang w:val="ro-MD"/>
              </w:rPr>
              <w:t>Secțiunea 3</w:t>
            </w:r>
          </w:p>
          <w:p w14:paraId="7395A42B"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Definițiile factorilor de risc și ale sensibilităților</w:t>
            </w:r>
          </w:p>
          <w:p w14:paraId="4EC8004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1</w:t>
            </w:r>
          </w:p>
          <w:p w14:paraId="69BF8AF8"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Definițiile factorilor de risc</w:t>
            </w:r>
          </w:p>
          <w:p w14:paraId="74432A80" w14:textId="37CF1193" w:rsidR="00D12468" w:rsidRPr="00C011B2" w:rsidRDefault="00E149D2"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Paragraful 1.</w:t>
            </w:r>
          </w:p>
          <w:p w14:paraId="69D16638" w14:textId="4FC26B9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 de risc general de rată a dobânzii</w:t>
            </w:r>
            <w:bookmarkEnd w:id="165"/>
          </w:p>
        </w:tc>
        <w:tc>
          <w:tcPr>
            <w:tcW w:w="450" w:type="pct"/>
          </w:tcPr>
          <w:p w14:paraId="214B722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6667E2A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C6E60F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15A6D9" w14:textId="7898BE2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Pentru toți factorii de risc general de rată a dobânzii, inclusiv riscul de inflație și riscul de bază intervalutară, există o singură bandă pentru fiecare monedă, fiecare bandă cuprinzând diferite tipuri de factori de risc.</w:t>
            </w:r>
          </w:p>
          <w:p w14:paraId="27923DE9" w14:textId="519913C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Factorii de risc delta general de rată a dobânzii aplicabili instrumentelor sensibile la rata dobânzii sunt ratele fără risc relevante pentru fiecare monedă și pentru fiecare dintre următoarele scadențe: 0,25 ani, 0,5 ani, 1 an, 2 ani, 3 ani, 5 ani, 10 ani, 15 ani, 20 de ani, 30 de ani. Pentru a raporta conducerii superioare riscul de piață sau profiturile și pierderile, instituțiile atribuie punctelor specificate factori de risc fie prin </w:t>
            </w:r>
            <w:r w:rsidRPr="00C011B2">
              <w:rPr>
                <w:rFonts w:ascii="Times New Roman" w:hAnsi="Times New Roman" w:cs="Times New Roman"/>
                <w:color w:val="000000" w:themeColor="text1"/>
                <w:lang w:val="ro-MD"/>
              </w:rPr>
              <w:lastRenderedPageBreak/>
              <w:t>interpolare liniară, fie printr-o metodă care permite este cea mai consecventă cu funcțiile de stabilire a prețului utilizate de funcția independentă de control al riscului a instituției.</w:t>
            </w:r>
          </w:p>
        </w:tc>
        <w:tc>
          <w:tcPr>
            <w:tcW w:w="1692" w:type="pct"/>
            <w:shd w:val="clear" w:color="auto" w:fill="auto"/>
          </w:tcPr>
          <w:p w14:paraId="70A703EE" w14:textId="1DE2009B" w:rsidR="00D12468" w:rsidRPr="00C011B2" w:rsidRDefault="00E149D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154.</w:t>
            </w:r>
            <w:r w:rsidR="00D12468" w:rsidRPr="00C011B2">
              <w:rPr>
                <w:rFonts w:ascii="Times New Roman" w:hAnsi="Times New Roman" w:cs="Times New Roman"/>
                <w:color w:val="000000" w:themeColor="text1"/>
                <w:lang w:val="ro-MD"/>
              </w:rPr>
              <w:t>   Pentru toți factorii de risc general de rată a dobânzii, inclusiv riscul de inflație și riscul de bază intervalutară, există o singură bandă pentru fiecare monedă, fiecare bandă cuprinzând diferite tipuri de factori de risc.</w:t>
            </w:r>
          </w:p>
          <w:p w14:paraId="305DCAB8" w14:textId="3C3F64BE" w:rsidR="00D12468" w:rsidRPr="00C011B2" w:rsidRDefault="00E149D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155. </w:t>
            </w:r>
            <w:r w:rsidR="00D12468" w:rsidRPr="00C011B2">
              <w:rPr>
                <w:rFonts w:ascii="Times New Roman" w:hAnsi="Times New Roman" w:cs="Times New Roman"/>
                <w:color w:val="000000" w:themeColor="text1"/>
                <w:lang w:val="ro-MD"/>
              </w:rPr>
              <w:t xml:space="preserve">Factorii de risc delta general de rată a dobânzii aplicabili instrumentelor sensibile la rata dobânzii sunt ratele fără risc relevante pentru fiecare monedă și pentru fiecare dintre următoarele scadențe: 0,25 ani, 0,5 ani, 1 an, 2 ani, 3 ani, 5 ani, 10 ani, 15 ani, 20 de ani, 30 de ani. Pentru a raporta conducerii superioare riscul de piață sau profiturile și pierderile, </w:t>
            </w:r>
            <w:r w:rsidR="00AE0D1F"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atribuie </w:t>
            </w:r>
            <w:r w:rsidR="006073AD" w:rsidRPr="00C011B2">
              <w:rPr>
                <w:rFonts w:ascii="Times New Roman" w:hAnsi="Times New Roman" w:cs="Times New Roman"/>
                <w:color w:val="000000" w:themeColor="text1"/>
                <w:lang w:val="ro-MD"/>
              </w:rPr>
              <w:t xml:space="preserve">vârfurilor </w:t>
            </w:r>
            <w:r w:rsidR="00D12468" w:rsidRPr="00C011B2">
              <w:rPr>
                <w:rFonts w:ascii="Times New Roman" w:hAnsi="Times New Roman" w:cs="Times New Roman"/>
                <w:color w:val="000000" w:themeColor="text1"/>
                <w:lang w:val="ro-MD"/>
              </w:rPr>
              <w:t xml:space="preserve">specificate factori de risc fie prin interpolare liniară, fie printr-o metodă care este cea mai consecventă cu funcțiile </w:t>
            </w:r>
            <w:r w:rsidR="00D12468" w:rsidRPr="00C011B2">
              <w:rPr>
                <w:rFonts w:ascii="Times New Roman" w:hAnsi="Times New Roman" w:cs="Times New Roman"/>
                <w:color w:val="000000" w:themeColor="text1"/>
                <w:lang w:val="ro-MD"/>
              </w:rPr>
              <w:lastRenderedPageBreak/>
              <w:t>de stabilire a prețului</w:t>
            </w:r>
            <w:r w:rsidR="00EA3276" w:rsidRPr="00C011B2">
              <w:rPr>
                <w:rFonts w:ascii="Times New Roman" w:hAnsi="Times New Roman" w:cs="Times New Roman"/>
                <w:color w:val="000000" w:themeColor="text1"/>
                <w:lang w:val="ro-MD"/>
              </w:rPr>
              <w:t>,</w:t>
            </w:r>
            <w:r w:rsidR="00D12468" w:rsidRPr="00C011B2">
              <w:rPr>
                <w:rFonts w:ascii="Times New Roman" w:hAnsi="Times New Roman" w:cs="Times New Roman"/>
                <w:color w:val="000000" w:themeColor="text1"/>
                <w:lang w:val="ro-MD"/>
              </w:rPr>
              <w:t xml:space="preserve"> utilizate de funcția </w:t>
            </w:r>
            <w:r w:rsidR="007C777F" w:rsidRPr="00C011B2">
              <w:rPr>
                <w:rFonts w:ascii="Times New Roman" w:hAnsi="Times New Roman" w:cs="Times New Roman"/>
                <w:color w:val="000000" w:themeColor="text1"/>
                <w:lang w:val="ro-MD"/>
              </w:rPr>
              <w:t>de administrare a riscurilor</w:t>
            </w:r>
            <w:r w:rsidR="00D12468" w:rsidRPr="00C011B2">
              <w:rPr>
                <w:rFonts w:ascii="Times New Roman" w:hAnsi="Times New Roman" w:cs="Times New Roman"/>
                <w:color w:val="000000" w:themeColor="text1"/>
                <w:lang w:val="ro-MD"/>
              </w:rPr>
              <w:t xml:space="preserve"> </w:t>
            </w:r>
            <w:r w:rsidR="00EA3276"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w:t>
            </w:r>
          </w:p>
        </w:tc>
        <w:tc>
          <w:tcPr>
            <w:tcW w:w="450" w:type="pct"/>
          </w:tcPr>
          <w:p w14:paraId="1936BBBB" w14:textId="71A70613"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3CCA1F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7B1A2A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C610FF" w14:textId="5AEB37D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obțin ratele fără risc pentru fiecare valută pe baza instrumentelor pieței monetare deținute în portofoliul de tranzacționare al instituției care au cel mai redus risc de credit, precum swapurile pe rata dobânzii „overnight”.</w:t>
            </w:r>
          </w:p>
        </w:tc>
        <w:tc>
          <w:tcPr>
            <w:tcW w:w="1692" w:type="pct"/>
            <w:shd w:val="clear" w:color="auto" w:fill="auto"/>
          </w:tcPr>
          <w:p w14:paraId="0686EE0B" w14:textId="3442989C" w:rsidR="00D12468" w:rsidRPr="00C011B2" w:rsidRDefault="00EA327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156.</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obțin ratele fără risc pentru fiecare valută pe baza instrumentelor pieței monetare deținute în portofoliul de tranzacționare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care au cel mai redus risc de credit, precum swapurile pe rata dobânzii „overnight”.</w:t>
            </w:r>
          </w:p>
        </w:tc>
        <w:tc>
          <w:tcPr>
            <w:tcW w:w="450" w:type="pct"/>
          </w:tcPr>
          <w:p w14:paraId="0166C297" w14:textId="637943A3"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E43BCDF"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A8EEF5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24B3704" w14:textId="34E16AD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în care instituțiile nu pot aplica abordarea menționată la alineatul (2), ratele fără risc se bazează pe una sau mai multe curbe swap implicite de piață utilizate de instituție pentru a marca pozițiile la piață, precum curbele swap pe rata dobânzii interbancare oferită.</w:t>
            </w:r>
          </w:p>
          <w:p w14:paraId="2A8A779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cazul în care datele privind curbele swap implicite de piață descrise la alineatul (2) și la primul paragraf de la prezentul alineat sunt insuficiente, ratele fără risc pot fi determinate pornind de la cea mai adecvată curbă a obligațiunilor suverane pentru o anumită monedă.</w:t>
            </w:r>
          </w:p>
          <w:p w14:paraId="567E1203" w14:textId="3FDDA3C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cazul în care instituțiile utilizează, pentru instrumentele de datorie suverană, factorii de risc general de rată a dobânzii determinați în conformitate cu procedura descrisă la al doilea paragraf de la prezentul alineat, instrumentul de datorie suverană nu </w:t>
            </w:r>
            <w:r w:rsidRPr="00C011B2">
              <w:rPr>
                <w:rFonts w:ascii="Times New Roman" w:hAnsi="Times New Roman" w:cs="Times New Roman"/>
                <w:color w:val="000000" w:themeColor="text1"/>
                <w:lang w:val="ro-MD"/>
              </w:rPr>
              <w:lastRenderedPageBreak/>
              <w:t>este exceptat de la cerințele de fonduri proprii pentru riscul de marjă de credit. În aceste cazuri, atunci când rata fără risc nu poate fi separată de componenta de marjă de credit, sensibilitatea la factorul de risc este atribuită atât riscului general de rată a dobânzii, cât și claselor de risc de marjă de credit.</w:t>
            </w:r>
          </w:p>
        </w:tc>
        <w:tc>
          <w:tcPr>
            <w:tcW w:w="1692" w:type="pct"/>
            <w:shd w:val="clear" w:color="auto" w:fill="auto"/>
          </w:tcPr>
          <w:p w14:paraId="0A839882" w14:textId="7862E67E" w:rsidR="00D12468" w:rsidRPr="00C011B2" w:rsidRDefault="00EA327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157.</w:t>
            </w:r>
            <w:r w:rsidR="00D12468" w:rsidRPr="00C011B2">
              <w:rPr>
                <w:rFonts w:ascii="Times New Roman" w:hAnsi="Times New Roman" w:cs="Times New Roman"/>
                <w:color w:val="000000" w:themeColor="text1"/>
                <w:lang w:val="ro-MD"/>
              </w:rPr>
              <w:t xml:space="preserve">   În cazul în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nu pot aplica abordarea menționată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pct.156</w:t>
            </w:r>
            <w:r w:rsidR="00D12468" w:rsidRPr="00C011B2">
              <w:rPr>
                <w:rFonts w:ascii="Times New Roman" w:hAnsi="Times New Roman" w:cs="Times New Roman"/>
                <w:color w:val="000000" w:themeColor="text1"/>
                <w:lang w:val="ro-MD"/>
              </w:rPr>
              <w:t xml:space="preserve">, ratele fără risc se bazează pe una sau mai multe curbe swap implicite de piață utilizate de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pentru a marca pozițiile la piață, precum curbele swap pe rata dobânzii interbancare oferită.</w:t>
            </w:r>
          </w:p>
          <w:p w14:paraId="757E6128" w14:textId="74F9BB2F" w:rsidR="00D12468" w:rsidRPr="00C011B2" w:rsidRDefault="001F3FC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158. </w:t>
            </w:r>
            <w:r w:rsidR="00D12468" w:rsidRPr="00C011B2">
              <w:rPr>
                <w:rFonts w:ascii="Times New Roman" w:hAnsi="Times New Roman" w:cs="Times New Roman"/>
                <w:color w:val="000000" w:themeColor="text1"/>
                <w:lang w:val="ro-MD"/>
              </w:rPr>
              <w:t xml:space="preserve">În cazul în care datele privind curbele swap implicite de piață descrise la </w:t>
            </w:r>
            <w:r w:rsidRPr="00C011B2">
              <w:rPr>
                <w:rFonts w:ascii="Times New Roman" w:hAnsi="Times New Roman" w:cs="Times New Roman"/>
                <w:color w:val="000000" w:themeColor="text1"/>
                <w:lang w:val="ro-MD"/>
              </w:rPr>
              <w:t>pct.156</w:t>
            </w:r>
            <w:r w:rsidR="00D12468"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157</w:t>
            </w:r>
            <w:r w:rsidR="00D12468" w:rsidRPr="00C011B2">
              <w:rPr>
                <w:rFonts w:ascii="Times New Roman" w:hAnsi="Times New Roman" w:cs="Times New Roman"/>
                <w:color w:val="000000" w:themeColor="text1"/>
                <w:lang w:val="ro-MD"/>
              </w:rPr>
              <w:t xml:space="preserve"> sunt insuficiente, ratele fără risc pot fi determinate pornind de la cea mai adecvată curbă a obligațiunilor suverane pentru o anumită monedă.</w:t>
            </w:r>
          </w:p>
          <w:p w14:paraId="3D85EEFB" w14:textId="2646F193" w:rsidR="00D12468" w:rsidRPr="00C011B2" w:rsidRDefault="001F3FC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159. </w:t>
            </w:r>
            <w:r w:rsidR="00D12468" w:rsidRPr="00C011B2">
              <w:rPr>
                <w:rFonts w:ascii="Times New Roman" w:hAnsi="Times New Roman" w:cs="Times New Roman"/>
                <w:color w:val="000000" w:themeColor="text1"/>
                <w:lang w:val="ro-MD"/>
              </w:rPr>
              <w:t xml:space="preserve">În cazul în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utilizează, pentru instrumentele de datorie suverană, factorii de risc general de rată a dobânzii determinați în conformitate cu procedura descrisă la </w:t>
            </w:r>
            <w:r w:rsidRPr="00C011B2">
              <w:rPr>
                <w:rFonts w:ascii="Times New Roman" w:hAnsi="Times New Roman" w:cs="Times New Roman"/>
                <w:color w:val="000000" w:themeColor="text1"/>
                <w:lang w:val="ro-MD"/>
              </w:rPr>
              <w:t>pct.158</w:t>
            </w:r>
            <w:r w:rsidR="00D12468" w:rsidRPr="00C011B2">
              <w:rPr>
                <w:rFonts w:ascii="Times New Roman" w:hAnsi="Times New Roman" w:cs="Times New Roman"/>
                <w:color w:val="000000" w:themeColor="text1"/>
                <w:lang w:val="ro-MD"/>
              </w:rPr>
              <w:t xml:space="preserve">, instrumentul de datorie suverană nu este exceptat de la cerințele de fonduri proprii pentru riscul de marjă de credit. În aceste cazuri, atunci când rata fără risc nu poate fi separată de componenta de marjă de credit, </w:t>
            </w:r>
            <w:r w:rsidR="00D12468" w:rsidRPr="00C011B2">
              <w:rPr>
                <w:rFonts w:ascii="Times New Roman" w:hAnsi="Times New Roman" w:cs="Times New Roman"/>
                <w:color w:val="000000" w:themeColor="text1"/>
                <w:lang w:val="ro-MD"/>
              </w:rPr>
              <w:lastRenderedPageBreak/>
              <w:t>sensibilitatea la factorul de risc este atribuită atât riscului general de rată a dobânzii, cât și claselor de risc de marjă de credit.</w:t>
            </w:r>
          </w:p>
        </w:tc>
        <w:tc>
          <w:tcPr>
            <w:tcW w:w="450" w:type="pct"/>
          </w:tcPr>
          <w:p w14:paraId="562DF09E" w14:textId="5488CF1B"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B74CAA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99C667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7C6E3C" w14:textId="2059E70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cazul factorilor de risc general de rată a dobânzii, fiecare monedă reprezintă o bandă distinctă. Instituțiile atribuie ponderi de risc diferite factorilor de risc care se încadrează în aceeași bandă, dar au scadențe diferite, în conformitate cu secțiunea 6.</w:t>
            </w:r>
          </w:p>
          <w:p w14:paraId="23C9E536" w14:textId="3400EC0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aplică factori de risc suplimentari pentru riscul de inflație titlurilor de datorie ale căror fluxuri de numerar sunt dependente din punct de vedere funcțional de ratele inflației. Acești factori de risc suplimentari constau într-un vector al ratelor inflației implicite de piață cu diferite scadențe pentru fiecare monedă. Pentru fiecare instrument, vectorul cuprinde un număr de componente egal cu numărul de rate ale inflației utilizate ca variabile în modelul de stabilire a prețului al instituției pentru respectivul instrument.</w:t>
            </w:r>
          </w:p>
        </w:tc>
        <w:tc>
          <w:tcPr>
            <w:tcW w:w="1692" w:type="pct"/>
            <w:shd w:val="clear" w:color="auto" w:fill="auto"/>
          </w:tcPr>
          <w:p w14:paraId="2BD7784B" w14:textId="5E9D4B27" w:rsidR="00D12468" w:rsidRPr="00C011B2" w:rsidRDefault="00BF4C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160.</w:t>
            </w:r>
            <w:r w:rsidR="00D12468" w:rsidRPr="00C011B2">
              <w:rPr>
                <w:rFonts w:ascii="Times New Roman" w:hAnsi="Times New Roman" w:cs="Times New Roman"/>
                <w:color w:val="000000" w:themeColor="text1"/>
                <w:lang w:val="ro-MD"/>
              </w:rPr>
              <w:t xml:space="preserve">   În cazul factorilor de risc general de rată a dobânzii, fiecare monedă reprezintă o bandă distinctă.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atribuie ponderi de risc diferite factorilor de risc care se încadrează în aceeași bandă, dar au scadențe diferite, în conformitate cu secțiunea 6.</w:t>
            </w:r>
          </w:p>
          <w:p w14:paraId="136AFB7F" w14:textId="1A475BAE" w:rsidR="00D12468" w:rsidRPr="00C011B2" w:rsidRDefault="00BF4C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161. Băncile </w:t>
            </w:r>
            <w:r w:rsidR="00D12468" w:rsidRPr="00C011B2">
              <w:rPr>
                <w:rFonts w:ascii="Times New Roman" w:hAnsi="Times New Roman" w:cs="Times New Roman"/>
                <w:color w:val="000000" w:themeColor="text1"/>
                <w:lang w:val="ro-MD"/>
              </w:rPr>
              <w:t xml:space="preserve">aplică factori de risc suplimentari pentru riscul de inflație titlurilor de datorie ale căror fluxuri de numerar sunt dependente din punct de vedere funcțional de ratele inflației. Acești factori de risc suplimentari constau într-un vector al ratelor inflației implicite de piață cu diferite scadențe pentru fiecare monedă. Pentru fiecare instrument, vectorul cuprinde un număr de componente egal cu numărul de rate ale inflației utilizate ca variabile în modelul de stabilire a prețului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pentru respectivul instrument.</w:t>
            </w:r>
          </w:p>
        </w:tc>
        <w:tc>
          <w:tcPr>
            <w:tcW w:w="450" w:type="pct"/>
          </w:tcPr>
          <w:p w14:paraId="0A3EF76E" w14:textId="29E49684"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CA6E49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DB6927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2786123" w14:textId="2C2EDF0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Instituțiile calculează sensibilitatea instrumentului la factorul de risc suplimentar pentru riscul de inflație menționat la alineatul (4) ca fiind variația valorii instrumentului, conform modelului lor de stabilire a </w:t>
            </w:r>
            <w:r w:rsidRPr="00C011B2">
              <w:rPr>
                <w:rFonts w:ascii="Times New Roman" w:hAnsi="Times New Roman" w:cs="Times New Roman"/>
                <w:color w:val="000000" w:themeColor="text1"/>
                <w:lang w:val="ro-MD"/>
              </w:rPr>
              <w:lastRenderedPageBreak/>
              <w:t>prețului, ca urmare a unei modificări de 1 punct de bază al fiecărei componente a vectorului. Fiecare monedă constituie o bandă distinctă. În cadrul fiecărei benzi, instituțiile tratează inflația ca fiind un singur factor de risc, indiferent de numărul de componente ale fiecărui vector. Instituțiile compensează toate sensibilitățile la inflație dintr-o bandă, calculate conform descrierii din prezentul alineat, pentru a obține o singură sensibilitate netă per bandă.</w:t>
            </w:r>
          </w:p>
        </w:tc>
        <w:tc>
          <w:tcPr>
            <w:tcW w:w="1692" w:type="pct"/>
            <w:shd w:val="clear" w:color="auto" w:fill="auto"/>
          </w:tcPr>
          <w:p w14:paraId="4F334898" w14:textId="2733D132" w:rsidR="00D12468" w:rsidRPr="00C011B2" w:rsidRDefault="00BF4C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162.</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calculează sensibilitatea instrumentului la factorul de risc suplimentar pentru riscul de inflație menționat la </w:t>
            </w:r>
            <w:r w:rsidRPr="00C011B2">
              <w:rPr>
                <w:rFonts w:ascii="Times New Roman" w:hAnsi="Times New Roman" w:cs="Times New Roman"/>
                <w:color w:val="000000" w:themeColor="text1"/>
                <w:lang w:val="ro-MD"/>
              </w:rPr>
              <w:t>pct.161</w:t>
            </w:r>
            <w:r w:rsidR="00D12468" w:rsidRPr="00C011B2">
              <w:rPr>
                <w:rFonts w:ascii="Times New Roman" w:hAnsi="Times New Roman" w:cs="Times New Roman"/>
                <w:color w:val="000000" w:themeColor="text1"/>
                <w:lang w:val="ro-MD"/>
              </w:rPr>
              <w:t xml:space="preserve"> ca fiind variația valorii instrumentului, conform modelului lor de stabilire a </w:t>
            </w:r>
            <w:r w:rsidR="00D12468" w:rsidRPr="00C011B2">
              <w:rPr>
                <w:rFonts w:ascii="Times New Roman" w:hAnsi="Times New Roman" w:cs="Times New Roman"/>
                <w:color w:val="000000" w:themeColor="text1"/>
                <w:lang w:val="ro-MD"/>
              </w:rPr>
              <w:lastRenderedPageBreak/>
              <w:t xml:space="preserve">prețului, ca urmare a unei modificări de 1 punct de bază al fiecărei componente a vectorului. Fiecare monedă constituie o bandă distinctă. În cadrul fiecărei benzi,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tratează inflația ca fiind un singur factor de risc, indiferent de numărul de componente ale fiecărui vector.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compensează toate sensibilitățile la inflație dintr-o bandă, calculate conform descrierii din prezentul </w:t>
            </w:r>
            <w:r w:rsidRPr="00C011B2">
              <w:rPr>
                <w:rFonts w:ascii="Times New Roman" w:hAnsi="Times New Roman" w:cs="Times New Roman"/>
                <w:color w:val="000000" w:themeColor="text1"/>
                <w:lang w:val="ro-MD"/>
              </w:rPr>
              <w:t>punct</w:t>
            </w:r>
            <w:r w:rsidR="00D12468" w:rsidRPr="00C011B2">
              <w:rPr>
                <w:rFonts w:ascii="Times New Roman" w:hAnsi="Times New Roman" w:cs="Times New Roman"/>
                <w:color w:val="000000" w:themeColor="text1"/>
                <w:lang w:val="ro-MD"/>
              </w:rPr>
              <w:t>, pentru a obține o singură sensibilitate netă per bandă.</w:t>
            </w:r>
          </w:p>
        </w:tc>
        <w:tc>
          <w:tcPr>
            <w:tcW w:w="450" w:type="pct"/>
          </w:tcPr>
          <w:p w14:paraId="7D74BC21" w14:textId="25837032"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2623C7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40D49B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ECABE3F" w14:textId="0EF11D9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Titlurile de datorie care implică plăți în monede diferite fac, de asemenea, obiectul riscului de bază intervalutare dintre monedele respective. În sensul metodei bazate pe sensibilități, factorul de risc care trebuie aplicat de instituții este riscul de bază intervalutară al fiecărei monede în raport cu USD sau cu EUR. Instituțiile calculează bazele intervalutare care nu sunt exprimate prin raportarea bazei la USD sau la EUR fie ca „bază raportată la USD”, fie ca „bază raportată la EUR”.</w:t>
            </w:r>
          </w:p>
          <w:p w14:paraId="52F154B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Fiecare factor de risc de bază intervalutară constă într-un vector al bazei intervalutare cu diferite scadențe pentru fiecare monedă. Pentru fiecare titlu de datorie, vectorul cuprinde un număr de componente egal cu numărul de baze intervalutare utilizate ca variabile în </w:t>
            </w:r>
            <w:r w:rsidRPr="00C011B2">
              <w:rPr>
                <w:rFonts w:ascii="Times New Roman" w:hAnsi="Times New Roman" w:cs="Times New Roman"/>
                <w:color w:val="000000" w:themeColor="text1"/>
                <w:lang w:val="ro-MD"/>
              </w:rPr>
              <w:lastRenderedPageBreak/>
              <w:t>modelul de evaluare al instituției pentru respectivul titlu. Fiecare monedă constituie o bandă distinctă.</w:t>
            </w:r>
          </w:p>
          <w:p w14:paraId="7B0ED5E0" w14:textId="5424482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calculează sensibilitatea instrumentului la factorul de risc de bază intervalutară ca fiind variația valorii instrumentului antrenată, conform modelului lor de evaluare, de un decalaj de 1 punct de bază al fiecărei componente a vectorului. Fiecare monedă constituie o bandă distinctă. În cadrul fiecărei benzi există doi factori de risc posibili distincți: baza raportată la EUR și baza raportată la USD, indiferent de numărul de componente incluse în fiecare vector al bazei intervalutare. Numărul maxim de sensibilități nete pentru fiecare bandă este de două.</w:t>
            </w:r>
          </w:p>
        </w:tc>
        <w:tc>
          <w:tcPr>
            <w:tcW w:w="1692" w:type="pct"/>
            <w:shd w:val="clear" w:color="auto" w:fill="auto"/>
          </w:tcPr>
          <w:p w14:paraId="0B95E292" w14:textId="011655ED" w:rsidR="00D12468" w:rsidRPr="00C011B2" w:rsidRDefault="00BF4C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163.</w:t>
            </w:r>
            <w:r w:rsidR="00D12468" w:rsidRPr="00C011B2">
              <w:rPr>
                <w:rFonts w:ascii="Times New Roman" w:hAnsi="Times New Roman" w:cs="Times New Roman"/>
                <w:color w:val="000000" w:themeColor="text1"/>
                <w:lang w:val="ro-MD"/>
              </w:rPr>
              <w:t xml:space="preserve">  Titlurile de datorie care implică plăți în monede diferite fac, de asemenea, obiectul riscului de bază intervalutare dintre monedele respective. În sensul metodei bazate pe sensibilități, factorul de risc care trebuie aplicat de </w:t>
            </w:r>
            <w:r w:rsidR="00576CBD"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 xml:space="preserve">este riscul de bază intervalutară al fiecărei monede în raport cu USD sau cu EUR. </w:t>
            </w:r>
            <w:r w:rsidR="00576CBD"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bazele intervalutare care nu sunt exprimate prin raportarea bazei la USD sau la EUR fie ca „bază raportată la USD”, fie ca „bază raportată la EUR”.</w:t>
            </w:r>
          </w:p>
          <w:p w14:paraId="1021C466" w14:textId="50EB24DC" w:rsidR="00D12468" w:rsidRPr="00C011B2" w:rsidRDefault="00576CBD"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164. </w:t>
            </w:r>
            <w:r w:rsidR="00D12468" w:rsidRPr="00C011B2">
              <w:rPr>
                <w:rFonts w:ascii="Times New Roman" w:hAnsi="Times New Roman" w:cs="Times New Roman"/>
                <w:color w:val="000000" w:themeColor="text1"/>
                <w:lang w:val="ro-MD"/>
              </w:rPr>
              <w:t xml:space="preserve">Fiecare factor de risc de bază intervalutară constă într-un vector al bazei intervalutare cu diferite scadențe pentru fiecare monedă. Pentru fiecare titlu de datorie, vectorul cuprinde un număr de componente egal cu numărul de baze intervalutare utilizate ca variabile în modelul de evaluare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pentru respectivul titlu. Fiecare monedă constituie o bandă distinctă.</w:t>
            </w:r>
          </w:p>
          <w:p w14:paraId="032FE339" w14:textId="67F1FBDD" w:rsidR="00D12468" w:rsidRPr="00C011B2" w:rsidRDefault="00576CBD"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165. Băncile </w:t>
            </w:r>
            <w:r w:rsidR="00D12468" w:rsidRPr="00C011B2">
              <w:rPr>
                <w:rFonts w:ascii="Times New Roman" w:hAnsi="Times New Roman" w:cs="Times New Roman"/>
                <w:color w:val="000000" w:themeColor="text1"/>
                <w:lang w:val="ro-MD"/>
              </w:rPr>
              <w:t>calculează sensibilitatea instrumentului la factorul de risc de bază intervalutară ca fiind variația valorii instrumentului antrenată, conform modelului lor de evaluare, de un decalaj de 1 punct de bază al fiecărei componente a vectorului. Fiecare monedă constituie o bandă distinctă. În cadrul fiecărei benzi există doi factori de risc posibili distincți: baza raportată la EUR și baza raportată la USD, indiferent de numărul de componente incluse în fiecare vector al bazei intervalutare. Numărul maxim de sensibilități nete pentru fiecare bandă este de două.</w:t>
            </w:r>
          </w:p>
        </w:tc>
        <w:tc>
          <w:tcPr>
            <w:tcW w:w="450" w:type="pct"/>
          </w:tcPr>
          <w:p w14:paraId="5F2CA419" w14:textId="7399E979"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EA03B3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20F06A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66E8E1" w14:textId="1191AF8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Factorii de risc general de rată a dobânzii vega aplicabili opțiunilor cu instrumente-suport care sunt sensibile la riscul general de rată a dobânzii sunt volatilitățile implicite ale ratelor fără risc relevante, astfel cum sunt descrise la alineatele (2) și (3), acestea fiind încadrate în benzi în funcție de monedă și puse în corespondență cu următoarele scadențe în cadrul fiecărei benzi: 0,5 ani, 1 an, 3 ani, 5 ani, 10 ani. Există o singură bandă pentru fiecare valută.</w:t>
            </w:r>
          </w:p>
          <w:p w14:paraId="5B00E62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scopuri de compensare, instituțiile consideră că volatilitățile implicite legate de aceleași rate fără risc și </w:t>
            </w:r>
            <w:r w:rsidRPr="00C011B2">
              <w:rPr>
                <w:rFonts w:ascii="Times New Roman" w:hAnsi="Times New Roman" w:cs="Times New Roman"/>
                <w:color w:val="000000" w:themeColor="text1"/>
                <w:lang w:val="ro-MD"/>
              </w:rPr>
              <w:lastRenderedPageBreak/>
              <w:t>puse în corespondență cu aceleași scadențe reprezintă același factor de risc.</w:t>
            </w:r>
          </w:p>
          <w:p w14:paraId="4C8ABEB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cazul în cazul în care instituțiile pun în corespondență volatilitățile implicite cu scadențele astfel cum se menționează la prezentul alineat, se aplică următoarele cerințe:</w:t>
            </w:r>
          </w:p>
          <w:p w14:paraId="363DBD8E" w14:textId="224D7BC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în cazul în care scadența opțiunii este aliniată la scadența instrumentului-suport, se ia în considerare un singur factor de risc, care este pus în corespondență cu scadența respectivă;</w:t>
            </w:r>
          </w:p>
          <w:p w14:paraId="36A2124E" w14:textId="4C4586B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în cazul în care scadența opțiunii este mai mică decât scadența instrumentului-suport, se iau în considerare următorii factori de risc, după cum urmează:</w:t>
            </w:r>
          </w:p>
          <w:p w14:paraId="12E409EF" w14:textId="0F9B1A1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primul factor de risc este pus în corespondență cu scadența opțiunii;</w:t>
            </w:r>
          </w:p>
          <w:p w14:paraId="0EFD1547" w14:textId="183D535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cel de al doilea factor de risc este pus în corespondență cu scadența reziduală a instrumentului-suport al opțiunii la data expirării opțiunii.</w:t>
            </w:r>
          </w:p>
        </w:tc>
        <w:tc>
          <w:tcPr>
            <w:tcW w:w="1692" w:type="pct"/>
            <w:shd w:val="clear" w:color="auto" w:fill="auto"/>
          </w:tcPr>
          <w:p w14:paraId="6EEACE96" w14:textId="1225C580" w:rsidR="00D12468" w:rsidRPr="00C011B2" w:rsidRDefault="00576CBD"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166.</w:t>
            </w:r>
            <w:r w:rsidR="00D12468" w:rsidRPr="00C011B2">
              <w:rPr>
                <w:rFonts w:ascii="Times New Roman" w:hAnsi="Times New Roman" w:cs="Times New Roman"/>
                <w:color w:val="000000" w:themeColor="text1"/>
                <w:lang w:val="ro-MD"/>
              </w:rPr>
              <w:t xml:space="preserve">   Factorii de risc general de rată a dobânzii vega aplicabili opțiunilor cu instrumente-suport care sunt sensibile la riscul general de rată a dobânzii sunt volatilitățile implicite ale ratelor fără risc relevante, astfel cum sunt descrise la </w:t>
            </w:r>
            <w:r w:rsidRPr="00C011B2">
              <w:rPr>
                <w:rFonts w:ascii="Times New Roman" w:hAnsi="Times New Roman" w:cs="Times New Roman"/>
                <w:color w:val="000000" w:themeColor="text1"/>
                <w:lang w:val="ro-MD"/>
              </w:rPr>
              <w:t>pct.156</w:t>
            </w:r>
            <w:r w:rsidR="00D12468"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157-159</w:t>
            </w:r>
            <w:r w:rsidR="00D12468" w:rsidRPr="00C011B2">
              <w:rPr>
                <w:rFonts w:ascii="Times New Roman" w:hAnsi="Times New Roman" w:cs="Times New Roman"/>
                <w:color w:val="000000" w:themeColor="text1"/>
                <w:lang w:val="ro-MD"/>
              </w:rPr>
              <w:t>, acestea fiind încadrate în benzi în funcție de monedă și puse în corespondență cu următoarele scadențe în cadrul fiecărei benzi: 0,5 ani, 1 an, 3 ani, 5 ani, 10 ani. Există o singură bandă pentru fiecare valută.</w:t>
            </w:r>
          </w:p>
          <w:p w14:paraId="41043F76" w14:textId="4E1674C6" w:rsidR="00D12468" w:rsidRPr="00C011B2" w:rsidRDefault="00576CBD"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167. </w:t>
            </w:r>
            <w:r w:rsidR="00D12468" w:rsidRPr="00C011B2">
              <w:rPr>
                <w:rFonts w:ascii="Times New Roman" w:hAnsi="Times New Roman" w:cs="Times New Roman"/>
                <w:color w:val="000000" w:themeColor="text1"/>
                <w:lang w:val="ro-MD"/>
              </w:rPr>
              <w:t xml:space="preserve">În scopuri de compensare,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consideră că volatilitățile implicite legate de aceleași rate fără risc și </w:t>
            </w:r>
            <w:r w:rsidR="00D12468" w:rsidRPr="00C011B2">
              <w:rPr>
                <w:rFonts w:ascii="Times New Roman" w:hAnsi="Times New Roman" w:cs="Times New Roman"/>
                <w:color w:val="000000" w:themeColor="text1"/>
                <w:lang w:val="ro-MD"/>
              </w:rPr>
              <w:lastRenderedPageBreak/>
              <w:t>puse în corespondență cu aceleași scadențe reprezintă același factor de risc.</w:t>
            </w:r>
          </w:p>
          <w:p w14:paraId="5B036C28" w14:textId="3977528A" w:rsidR="00D12468" w:rsidRPr="00C011B2" w:rsidRDefault="00576CBD"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168. </w:t>
            </w:r>
            <w:r w:rsidR="00D12468" w:rsidRPr="00C011B2">
              <w:rPr>
                <w:rFonts w:ascii="Times New Roman" w:hAnsi="Times New Roman" w:cs="Times New Roman"/>
                <w:color w:val="000000" w:themeColor="text1"/>
                <w:lang w:val="ro-MD"/>
              </w:rPr>
              <w:t xml:space="preserve">În cazul în cazul în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pun în corespondență volatilitățile implicite cu scadențele astfel cum se menționează la </w:t>
            </w:r>
            <w:r w:rsidR="00065C2E" w:rsidRPr="00C011B2">
              <w:rPr>
                <w:rFonts w:ascii="Times New Roman" w:hAnsi="Times New Roman" w:cs="Times New Roman"/>
                <w:color w:val="000000" w:themeColor="text1"/>
                <w:lang w:val="ro-MD"/>
              </w:rPr>
              <w:t>pct.167</w:t>
            </w:r>
            <w:r w:rsidR="00D12468" w:rsidRPr="00C011B2">
              <w:rPr>
                <w:rFonts w:ascii="Times New Roman" w:hAnsi="Times New Roman" w:cs="Times New Roman"/>
                <w:color w:val="000000" w:themeColor="text1"/>
                <w:lang w:val="ro-MD"/>
              </w:rPr>
              <w:t>, se aplică următoarele cerințe:</w:t>
            </w:r>
          </w:p>
          <w:p w14:paraId="2D590FA7" w14:textId="31A64F5A" w:rsidR="00D12468" w:rsidRPr="00C011B2" w:rsidRDefault="00065C2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168.1.</w:t>
            </w:r>
            <w:r w:rsidR="00D12468" w:rsidRPr="00C011B2">
              <w:rPr>
                <w:rFonts w:ascii="Times New Roman" w:hAnsi="Times New Roman" w:cs="Times New Roman"/>
                <w:color w:val="000000" w:themeColor="text1"/>
                <w:lang w:val="ro-MD"/>
              </w:rPr>
              <w:t> în cazul în care scadența opțiunii este aliniată la scadența instrumentului-suport, se ia în considerare un singur factor de risc, care este pus în corespondență cu scadența respectivă;</w:t>
            </w:r>
          </w:p>
          <w:p w14:paraId="4CBA3A55" w14:textId="543EF3A8" w:rsidR="00D12468" w:rsidRPr="00C011B2" w:rsidRDefault="00065C2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168.2.</w:t>
            </w:r>
            <w:r w:rsidR="00D12468" w:rsidRPr="00C011B2">
              <w:rPr>
                <w:rFonts w:ascii="Times New Roman" w:hAnsi="Times New Roman" w:cs="Times New Roman"/>
                <w:color w:val="000000" w:themeColor="text1"/>
                <w:lang w:val="ro-MD"/>
              </w:rPr>
              <w:t> în cazul în care scadența opțiunii este mai mică decât scadența instrumentului-suport, se iau în considerare următorii factori de risc, după cum urmează:</w:t>
            </w:r>
          </w:p>
          <w:p w14:paraId="1F5C9F5B" w14:textId="0E164435" w:rsidR="00D12468" w:rsidRPr="00C011B2" w:rsidRDefault="00065C2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168.2.1.</w:t>
            </w:r>
            <w:r w:rsidR="00D12468" w:rsidRPr="00C011B2">
              <w:rPr>
                <w:rFonts w:ascii="Times New Roman" w:hAnsi="Times New Roman" w:cs="Times New Roman"/>
                <w:color w:val="000000" w:themeColor="text1"/>
                <w:lang w:val="ro-MD"/>
              </w:rPr>
              <w:t> primul factor de risc este pus în corespondență cu scadența opțiunii;</w:t>
            </w:r>
          </w:p>
          <w:p w14:paraId="1E25FBDE" w14:textId="0743665F" w:rsidR="00D12468" w:rsidRPr="00C011B2" w:rsidRDefault="00065C2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168.2.2.</w:t>
            </w:r>
            <w:r w:rsidR="00D12468" w:rsidRPr="00C011B2">
              <w:rPr>
                <w:rFonts w:ascii="Times New Roman" w:hAnsi="Times New Roman" w:cs="Times New Roman"/>
                <w:color w:val="000000" w:themeColor="text1"/>
                <w:lang w:val="ro-MD"/>
              </w:rPr>
              <w:t> cel de al doilea factor de risc este pus în corespondență cu scadența reziduală a instrumentului-suport al opțiunii la data expirării opțiunii.</w:t>
            </w:r>
          </w:p>
        </w:tc>
        <w:tc>
          <w:tcPr>
            <w:tcW w:w="450" w:type="pct"/>
          </w:tcPr>
          <w:p w14:paraId="323C3A88" w14:textId="452434C0"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B9E46C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BF6514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9D115FD" w14:textId="73EFA08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(8)   Factorii de risc general de rată a dobânzii de curbură care trebuie aplicați de către instituții constau într-un vector al ratelor fără risc, care reprezintă o anumită curbă a randamentelor fără risc pentru fiecare monedă. Fiecare monedă constituie o bandă distinctă. Pentru fiecare instrument, vectorul cuprinde un număr </w:t>
            </w:r>
            <w:r w:rsidRPr="00C011B2">
              <w:rPr>
                <w:rFonts w:ascii="Times New Roman" w:hAnsi="Times New Roman" w:cs="Times New Roman"/>
                <w:color w:val="000000" w:themeColor="text1"/>
                <w:lang w:val="ro-MD"/>
              </w:rPr>
              <w:lastRenderedPageBreak/>
              <w:t>de componente egal cu numărul de scadențe distincte ale ratelor fără risc utilizate ca variabile în modelul de evaluare al instituției pentru respectivul instrument.</w:t>
            </w:r>
          </w:p>
        </w:tc>
        <w:tc>
          <w:tcPr>
            <w:tcW w:w="1692" w:type="pct"/>
            <w:shd w:val="clear" w:color="auto" w:fill="auto"/>
          </w:tcPr>
          <w:p w14:paraId="55455E14" w14:textId="56321428" w:rsidR="00D12468" w:rsidRPr="00C011B2" w:rsidRDefault="00065C2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169.</w:t>
            </w:r>
            <w:r w:rsidR="00D12468" w:rsidRPr="00C011B2">
              <w:rPr>
                <w:rFonts w:ascii="Times New Roman" w:hAnsi="Times New Roman" w:cs="Times New Roman"/>
                <w:color w:val="000000" w:themeColor="text1"/>
                <w:lang w:val="ro-MD"/>
              </w:rPr>
              <w:t xml:space="preserve">   Factorii de risc general de rată a dobânzii de curbură care trebuie aplicați de către </w:t>
            </w:r>
            <w:r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 xml:space="preserve">constau într-un vector al ratelor fără risc, care reprezintă o anumită curbă a randamentelor fără risc pentru fiecare monedă. Fiecare monedă constituie o bandă distinctă. Pentru fiecare instrument, vectorul cuprinde un număr de componente </w:t>
            </w:r>
            <w:r w:rsidR="00D12468" w:rsidRPr="00C011B2">
              <w:rPr>
                <w:rFonts w:ascii="Times New Roman" w:hAnsi="Times New Roman" w:cs="Times New Roman"/>
                <w:color w:val="000000" w:themeColor="text1"/>
                <w:lang w:val="ro-MD"/>
              </w:rPr>
              <w:lastRenderedPageBreak/>
              <w:t xml:space="preserve">egal cu numărul de scadențe distincte ale ratelor fără risc utilizate ca variabile în modelul de evaluare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pentru respectivul instrument.</w:t>
            </w:r>
          </w:p>
        </w:tc>
        <w:tc>
          <w:tcPr>
            <w:tcW w:w="450" w:type="pct"/>
          </w:tcPr>
          <w:p w14:paraId="613716EE" w14:textId="63613ABE"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977975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60C5D8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984A163" w14:textId="230ECB67" w:rsidR="00D12468" w:rsidRPr="00C011B2" w:rsidRDefault="00D12468" w:rsidP="00D12468">
            <w:pPr>
              <w:tabs>
                <w:tab w:val="left" w:pos="4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Instituțiile calculează sensibilitatea instrumentului la fiecare factor de risc utilizat în formula riscului de curbură în conformitate cu articolul 325g. În scopul calculării riscului de curbură, instituțiile iau în considerare vectori care corespund unor curbe de randament diferite, cu un număr diferit de componente față de factorul de risc aferent, cu condiția ca vectorii respectivi să corespundă aceleiași monede. Instituțiile compensează între ele sensibilitățile la același factor de risc. Există o singură sensibilitate netă pentru fiecare bandă.</w:t>
            </w:r>
          </w:p>
          <w:p w14:paraId="6A253D3D" w14:textId="099DFC6C" w:rsidR="00D12468" w:rsidRPr="00C011B2" w:rsidRDefault="00D12468" w:rsidP="00D12468">
            <w:pPr>
              <w:tabs>
                <w:tab w:val="left" w:pos="4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cazul riscului de inflație și al riscului de bază intervalutară nu există nicio cerință de fonduri proprii pentru riscul de curbură.</w:t>
            </w:r>
          </w:p>
        </w:tc>
        <w:tc>
          <w:tcPr>
            <w:tcW w:w="1692" w:type="pct"/>
            <w:shd w:val="clear" w:color="auto" w:fill="auto"/>
          </w:tcPr>
          <w:p w14:paraId="6A311DD9" w14:textId="16D5E77D" w:rsidR="00D12468" w:rsidRPr="00C011B2" w:rsidRDefault="00065C2E" w:rsidP="00D12468">
            <w:pPr>
              <w:tabs>
                <w:tab w:val="left" w:pos="4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170.</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calculează sensibilitatea instrumentului la fiecare factor de risc utilizat în formula riscului de curbură în conformitate cu </w:t>
            </w:r>
            <w:r w:rsidRPr="00C011B2">
              <w:rPr>
                <w:rFonts w:ascii="Times New Roman" w:hAnsi="Times New Roman" w:cs="Times New Roman"/>
                <w:color w:val="000000" w:themeColor="text1"/>
                <w:lang w:val="ro-MD"/>
              </w:rPr>
              <w:t>secțiunea 2, subsecțiunea 4</w:t>
            </w:r>
            <w:r w:rsidR="00D12468" w:rsidRPr="00C011B2">
              <w:rPr>
                <w:rFonts w:ascii="Times New Roman" w:hAnsi="Times New Roman" w:cs="Times New Roman"/>
                <w:color w:val="000000" w:themeColor="text1"/>
                <w:lang w:val="ro-MD"/>
              </w:rPr>
              <w:t xml:space="preserve">. În scopul calculării riscului de curbură,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iau în considerare vectori care corespund unor curbe de randament diferite, cu un număr diferit de componente față de factorul de risc aferent, cu condiția ca vectorii respectivi să corespundă aceleiași monede.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compensează între ele sensibilitățile la același factor de risc. Există o singură sensibilitate netă pentru fiecare bandă.</w:t>
            </w:r>
          </w:p>
          <w:p w14:paraId="31AB4FFC" w14:textId="3FDE86D9" w:rsidR="00D12468" w:rsidRPr="00C011B2" w:rsidRDefault="00065C2E"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171. </w:t>
            </w:r>
            <w:r w:rsidR="00D12468" w:rsidRPr="00C011B2">
              <w:rPr>
                <w:rFonts w:ascii="Times New Roman" w:hAnsi="Times New Roman" w:cs="Times New Roman"/>
                <w:color w:val="000000" w:themeColor="text1"/>
                <w:lang w:val="ro-MD"/>
              </w:rPr>
              <w:t>În cazul riscului de inflație și al riscului de bază intervalutară nu există nicio cerință de fonduri proprii pentru riscul de curbură.</w:t>
            </w:r>
          </w:p>
        </w:tc>
        <w:tc>
          <w:tcPr>
            <w:tcW w:w="450" w:type="pct"/>
          </w:tcPr>
          <w:p w14:paraId="142855EF" w14:textId="27E2D0BA"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A756E1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11219C2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1C57E5"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325m</w:t>
            </w:r>
          </w:p>
          <w:p w14:paraId="31154ED6" w14:textId="0D431ED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Factorii de risc de marjă de credit pentru instrumentele care nu sunt poziții din securitizare</w:t>
            </w:r>
          </w:p>
        </w:tc>
        <w:tc>
          <w:tcPr>
            <w:tcW w:w="1692" w:type="pct"/>
            <w:shd w:val="clear" w:color="auto" w:fill="auto"/>
          </w:tcPr>
          <w:p w14:paraId="197E47BA" w14:textId="51A7B3EE" w:rsidR="00D12468" w:rsidRPr="00C011B2" w:rsidRDefault="004F4336" w:rsidP="00D12468">
            <w:pPr>
              <w:spacing w:after="0" w:line="276" w:lineRule="auto"/>
              <w:jc w:val="both"/>
              <w:rPr>
                <w:rFonts w:ascii="Times New Roman" w:hAnsi="Times New Roman" w:cs="Times New Roman"/>
                <w:color w:val="000000" w:themeColor="text1"/>
                <w:lang w:val="ro-MD"/>
              </w:rPr>
            </w:pPr>
            <w:bookmarkStart w:id="166" w:name="_Hlk195091269"/>
            <w:r w:rsidRPr="00C011B2">
              <w:rPr>
                <w:rFonts w:ascii="Times New Roman" w:hAnsi="Times New Roman" w:cs="Times New Roman"/>
                <w:i/>
                <w:iCs/>
                <w:color w:val="000000" w:themeColor="text1"/>
                <w:lang w:val="ro-MD"/>
              </w:rPr>
              <w:t>Paragraful 2.</w:t>
            </w:r>
            <w:r w:rsidR="00D12468" w:rsidRPr="00C011B2">
              <w:rPr>
                <w:rFonts w:ascii="Times New Roman" w:hAnsi="Times New Roman" w:cs="Times New Roman"/>
                <w:b/>
                <w:bCs/>
                <w:color w:val="000000" w:themeColor="text1"/>
                <w:lang w:val="ro-MD"/>
              </w:rPr>
              <w:t>Factorii de risc de marjă de credit pentru instrumentele care nu sunt poziții din securitizare</w:t>
            </w:r>
            <w:bookmarkEnd w:id="166"/>
          </w:p>
        </w:tc>
        <w:tc>
          <w:tcPr>
            <w:tcW w:w="450" w:type="pct"/>
          </w:tcPr>
          <w:p w14:paraId="1C927833"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3A19F6E6"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B65598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35656B5" w14:textId="01CFD7C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Factorii de risc de marjă de credit delta care trebuie aplicați de către instituții instrumentelor care nu sunt poziții din securitizare și care sunt sensibile la marja de credit sunt ratele de marjă de credit ale emitentului instrumentelor respective, obținute pe baza </w:t>
            </w:r>
            <w:r w:rsidRPr="00C011B2">
              <w:rPr>
                <w:rFonts w:ascii="Times New Roman" w:hAnsi="Times New Roman" w:cs="Times New Roman"/>
                <w:color w:val="000000" w:themeColor="text1"/>
                <w:lang w:val="ro-MD"/>
              </w:rPr>
              <w:lastRenderedPageBreak/>
              <w:t>titlurilor de datorie și a instrumentelor de tipul „credit default swap” relevante și puse în corespondență cu fiecare dintre următoarele scadențe: 0,5 ani, 1 an, 3 ani, 5 ani, 10 ani. Instituțiile aplică un singur factor de risc per emitent și scadență, indiferent dacă ratele de marjă de credit ale emitentului respective sunt obținute pe baza titlurilor de datorie sau a instrumentelor de tipul „credit default swap”. Benzile sunt benzile sectoriale menționate în secțiunea 6, iar fiecare bandă cuprinde toți factorii de risc atribuiți sectorului relevant.</w:t>
            </w:r>
          </w:p>
        </w:tc>
        <w:tc>
          <w:tcPr>
            <w:tcW w:w="1692" w:type="pct"/>
            <w:shd w:val="clear" w:color="auto" w:fill="auto"/>
          </w:tcPr>
          <w:p w14:paraId="42491128" w14:textId="796CD0ED" w:rsidR="00D12468" w:rsidRPr="00C011B2" w:rsidRDefault="004F433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172.</w:t>
            </w:r>
            <w:r w:rsidR="00D12468" w:rsidRPr="00C011B2">
              <w:rPr>
                <w:rFonts w:ascii="Times New Roman" w:hAnsi="Times New Roman" w:cs="Times New Roman"/>
                <w:color w:val="000000" w:themeColor="text1"/>
                <w:lang w:val="ro-MD"/>
              </w:rPr>
              <w:t xml:space="preserve">   Factorii de risc de marjă de credit delta care trebuie aplicați de către </w:t>
            </w:r>
            <w:r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 xml:space="preserve">instrumentelor care nu sunt poziții din securitizare și care sunt sensibile la marja de credit sunt ratele de marjă de credit ale emitentului instrumentelor respective, obținute pe baza titlurilor de datorie și a </w:t>
            </w:r>
            <w:r w:rsidR="00D12468" w:rsidRPr="00C011B2">
              <w:rPr>
                <w:rFonts w:ascii="Times New Roman" w:hAnsi="Times New Roman" w:cs="Times New Roman"/>
                <w:color w:val="000000" w:themeColor="text1"/>
                <w:lang w:val="ro-MD"/>
              </w:rPr>
              <w:lastRenderedPageBreak/>
              <w:t xml:space="preserve">instrumentelor de tipul „credit default swap” relevante și puse în corespondență cu fiecare dintre următoarele scadențe: 0,5 ani, 1 an, 3 ani, 5 ani, 10 ani.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aplică un singur factor de risc per emitent și scadență, indiferent dacă ratele de marjă de credit ale emitentului respective sunt obținute pe baza titlurilor de datorie sau a instrumentelor de tipul „credit default swap”. Benzile sunt benzile sectoriale menționate în secțiunea 6, iar fiecare bandă cuprinde toți factorii de risc atribuiți sectorului relevant.</w:t>
            </w:r>
          </w:p>
        </w:tc>
        <w:tc>
          <w:tcPr>
            <w:tcW w:w="450" w:type="pct"/>
          </w:tcPr>
          <w:p w14:paraId="0823F63D" w14:textId="07646739"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6AA394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E99E45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EAE7CCE" w14:textId="4023B99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Factorii de risc de marjă de credit vega pe care instituțiile trebuie să îi aplice opțiunilor cu instrumente-suport care nu sunt poziții din securitizare și care sunt sensibile la marja de credit sunt volatilitățile implicite ale ratelor de marjă de credit ale emitentului instrumentului-suport, obținute astfel cum se precizează la alineatul (1), care trebuie puse în corespondență cu următoarele scadențe în conformitate cu scadența opțiunii care face obiectul cerințelor de fonduri proprii: 0,5 ani, 1 an, 3 ani, 5 ani, 10 ani. Se utilizează aceleași benzi ca și în cazul riscului de marjă de credit delta pentru instrumentele care nu sunt poziții din securitizare.</w:t>
            </w:r>
          </w:p>
        </w:tc>
        <w:tc>
          <w:tcPr>
            <w:tcW w:w="1692" w:type="pct"/>
            <w:shd w:val="clear" w:color="auto" w:fill="auto"/>
          </w:tcPr>
          <w:p w14:paraId="16F6D9E2" w14:textId="49866AFF" w:rsidR="00D12468" w:rsidRPr="00C011B2" w:rsidRDefault="004F433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173.</w:t>
            </w:r>
            <w:r w:rsidR="00D12468" w:rsidRPr="00C011B2">
              <w:rPr>
                <w:rFonts w:ascii="Times New Roman" w:hAnsi="Times New Roman" w:cs="Times New Roman"/>
                <w:color w:val="000000" w:themeColor="text1"/>
                <w:lang w:val="ro-MD"/>
              </w:rPr>
              <w:t xml:space="preserve"> Factorii de risc de marjă de credit vega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opțiunilor cu instrumente-suport care nu sunt poziții din securitizare și care sunt sensibile la marja de credit sunt volatilitățile implicite ale ratelor de marjă de credit ale emitentului instrumentului-suport, obținute astfel cum se precizează la </w:t>
            </w:r>
            <w:r w:rsidRPr="00C011B2">
              <w:rPr>
                <w:rFonts w:ascii="Times New Roman" w:hAnsi="Times New Roman" w:cs="Times New Roman"/>
                <w:color w:val="000000" w:themeColor="text1"/>
                <w:lang w:val="ro-MD"/>
              </w:rPr>
              <w:t>pct.172</w:t>
            </w:r>
            <w:r w:rsidR="00D12468" w:rsidRPr="00C011B2">
              <w:rPr>
                <w:rFonts w:ascii="Times New Roman" w:hAnsi="Times New Roman" w:cs="Times New Roman"/>
                <w:color w:val="000000" w:themeColor="text1"/>
                <w:lang w:val="ro-MD"/>
              </w:rPr>
              <w:t>, care trebuie puse în corespondență cu următoarele scadențe în conformitate cu scadența opțiunii care face obiectul cerințelor de fonduri proprii: 0,5 ani, 1 an, 3 ani, 5 ani, 10 ani. Se utilizează aceleași benzi ca și în cazul riscului de marjă de credit delta pentru instrumentele care nu sunt poziții din securitizare.</w:t>
            </w:r>
          </w:p>
        </w:tc>
        <w:tc>
          <w:tcPr>
            <w:tcW w:w="450" w:type="pct"/>
          </w:tcPr>
          <w:p w14:paraId="17116DEC" w14:textId="1C97F6AC"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2B2C0C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7D7E37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DA3D628" w14:textId="0558428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Factorii de risc de marjă de credit de curbură pe care instituțiile trebuie să îi aplice instrumentelor care </w:t>
            </w:r>
            <w:r w:rsidRPr="00C011B2">
              <w:rPr>
                <w:rFonts w:ascii="Times New Roman" w:hAnsi="Times New Roman" w:cs="Times New Roman"/>
                <w:color w:val="000000" w:themeColor="text1"/>
                <w:lang w:val="ro-MD"/>
              </w:rPr>
              <w:lastRenderedPageBreak/>
              <w:t>nu sunt poziții din securitizare constau într-un vector al ratelor de marjă de credit, care reprezintă o curbă a marjelor de credit ale unui anumit emitent. Pentru fiecare instrument, vectorul cuprinde un număr de componente egal cu numărul de scadențe distincte ale ratelor de marjă de credit utilizate ca variabile în modelul de evaluare al instituției pentru respectivul instrument. Se utilizează aceleași benzi ca și în cazul riscului de marjă de credit delta pentru instrumentele care nu sunt poziții din securitizare.</w:t>
            </w:r>
          </w:p>
        </w:tc>
        <w:tc>
          <w:tcPr>
            <w:tcW w:w="1692" w:type="pct"/>
            <w:shd w:val="clear" w:color="auto" w:fill="auto"/>
          </w:tcPr>
          <w:p w14:paraId="715BA235" w14:textId="7ECEAC42" w:rsidR="00D12468" w:rsidRPr="00C011B2" w:rsidRDefault="004F433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174.</w:t>
            </w:r>
            <w:r w:rsidR="00D12468" w:rsidRPr="00C011B2">
              <w:rPr>
                <w:rFonts w:ascii="Times New Roman" w:hAnsi="Times New Roman" w:cs="Times New Roman"/>
                <w:color w:val="000000" w:themeColor="text1"/>
                <w:lang w:val="ro-MD"/>
              </w:rPr>
              <w:t xml:space="preserve">   Factorii de risc de marjă de credit de curbură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instrumentelor care nu sunt </w:t>
            </w:r>
            <w:r w:rsidR="00D12468" w:rsidRPr="00C011B2">
              <w:rPr>
                <w:rFonts w:ascii="Times New Roman" w:hAnsi="Times New Roman" w:cs="Times New Roman"/>
                <w:color w:val="000000" w:themeColor="text1"/>
                <w:lang w:val="ro-MD"/>
              </w:rPr>
              <w:lastRenderedPageBreak/>
              <w:t xml:space="preserve">poziții din securitizare constau într-un vector al ratelor de marjă de credit, care reprezintă o curbă a marjelor de credit ale unui anumit emitent. Pentru fiecare instrument, vectorul cuprinde un număr de componente egal cu numărul de scadențe distincte ale ratelor de marjă de credit utilizate ca variabile în modelul de evaluare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pentru respectivul instrument. Se utilizează aceleași benzi ca și în cazul riscului de marjă de credit delta pentru instrumentele care nu sunt poziții din securitizare.</w:t>
            </w:r>
          </w:p>
        </w:tc>
        <w:tc>
          <w:tcPr>
            <w:tcW w:w="450" w:type="pct"/>
          </w:tcPr>
          <w:p w14:paraId="636AB7C0" w14:textId="2DBB8802"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0181B3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EE7FA5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088186" w14:textId="5265818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Instituțiile calculează sensibilitatea instrumentului la fiecare factor de risc utilizat în formula riscului de curbură în conformitate cu articolul 325g. În scopul calculării riscului de curbură, instituțiile iau în considerare vectori obținuți pe baza titlurilor de datorie sau a instrumentelor de tipul „credit default swap” relevante, care au un număr diferit de componente față de factorul de risc aferent, cu condiția ca vectorii respectivi să corespundă aceluiași emitent.</w:t>
            </w:r>
          </w:p>
        </w:tc>
        <w:tc>
          <w:tcPr>
            <w:tcW w:w="1692" w:type="pct"/>
            <w:shd w:val="clear" w:color="auto" w:fill="auto"/>
          </w:tcPr>
          <w:p w14:paraId="085DC48E" w14:textId="1606E11D" w:rsidR="00D12468" w:rsidRPr="00C011B2" w:rsidRDefault="004F433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175.</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calculează sensibilitatea instrumentului la fiecare factor de risc utilizat în formula riscului de curbură în conformitate cu </w:t>
            </w:r>
            <w:r w:rsidRPr="00C011B2">
              <w:rPr>
                <w:rFonts w:ascii="Times New Roman" w:hAnsi="Times New Roman" w:cs="Times New Roman"/>
                <w:color w:val="000000" w:themeColor="text1"/>
                <w:lang w:val="ro-MD"/>
              </w:rPr>
              <w:t>secțiunea 2, subsec</w:t>
            </w:r>
            <w:r w:rsidR="002D6679" w:rsidRPr="00C011B2">
              <w:rPr>
                <w:rFonts w:ascii="Times New Roman" w:hAnsi="Times New Roman" w:cs="Times New Roman"/>
                <w:color w:val="000000" w:themeColor="text1"/>
                <w:lang w:val="ro-MD"/>
              </w:rPr>
              <w:t>țiunea 4</w:t>
            </w:r>
            <w:r w:rsidR="00D12468" w:rsidRPr="00C011B2">
              <w:rPr>
                <w:rFonts w:ascii="Times New Roman" w:hAnsi="Times New Roman" w:cs="Times New Roman"/>
                <w:color w:val="000000" w:themeColor="text1"/>
                <w:lang w:val="ro-MD"/>
              </w:rPr>
              <w:t xml:space="preserve">. În scopul calculării riscului de curbură, </w:t>
            </w:r>
            <w:r w:rsidR="002D6679"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iau în considerare vectori obținuți pe baza titlurilor de datorie sau a instrumentelor de tipul „credit default swap” relevante, care au un număr diferit de componente față de factorul de risc aferent, cu condiția ca vectorii respectivi să corespundă aceluiași emitent.</w:t>
            </w:r>
          </w:p>
        </w:tc>
        <w:tc>
          <w:tcPr>
            <w:tcW w:w="450" w:type="pct"/>
          </w:tcPr>
          <w:p w14:paraId="104A2B05" w14:textId="24B58063"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861117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363BC98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D9622C8"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325n</w:t>
            </w:r>
          </w:p>
          <w:p w14:paraId="4583E9C3" w14:textId="524C35D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Factorii de risc de marjă de credit pentru instrumentele care nu sunt poziții din securitizare</w:t>
            </w:r>
          </w:p>
        </w:tc>
        <w:tc>
          <w:tcPr>
            <w:tcW w:w="1692" w:type="pct"/>
            <w:shd w:val="clear" w:color="auto" w:fill="auto"/>
          </w:tcPr>
          <w:p w14:paraId="70ABB49B" w14:textId="670893C1" w:rsidR="00D12468" w:rsidRPr="00C011B2" w:rsidRDefault="004F7DF7" w:rsidP="00D12468">
            <w:pPr>
              <w:spacing w:after="0" w:line="276" w:lineRule="auto"/>
              <w:jc w:val="both"/>
              <w:rPr>
                <w:rFonts w:ascii="Times New Roman" w:hAnsi="Times New Roman" w:cs="Times New Roman"/>
                <w:color w:val="000000" w:themeColor="text1"/>
                <w:lang w:val="ro-MD"/>
              </w:rPr>
            </w:pPr>
            <w:bookmarkStart w:id="167" w:name="_Hlk195091298"/>
            <w:r w:rsidRPr="00C011B2">
              <w:rPr>
                <w:rFonts w:ascii="Times New Roman" w:hAnsi="Times New Roman" w:cs="Times New Roman"/>
                <w:i/>
                <w:iCs/>
                <w:color w:val="000000" w:themeColor="text1"/>
                <w:lang w:val="ro-MD"/>
              </w:rPr>
              <w:t>Paragraful 3</w:t>
            </w:r>
            <w:r w:rsidR="00CC5971" w:rsidRPr="00C011B2">
              <w:rPr>
                <w:rFonts w:ascii="Times New Roman" w:hAnsi="Times New Roman" w:cs="Times New Roman"/>
                <w:i/>
                <w:iCs/>
                <w:color w:val="000000" w:themeColor="text1"/>
                <w:lang w:val="ro-MD"/>
              </w:rPr>
              <w:t xml:space="preserve">. </w:t>
            </w:r>
            <w:r w:rsidR="00D12468" w:rsidRPr="00C011B2">
              <w:rPr>
                <w:rFonts w:ascii="Times New Roman" w:hAnsi="Times New Roman" w:cs="Times New Roman"/>
                <w:b/>
                <w:bCs/>
                <w:color w:val="000000" w:themeColor="text1"/>
                <w:lang w:val="ro-MD"/>
              </w:rPr>
              <w:t>Factorii de risc de marjă de credit pentru instrumentele care sunt poziții din securitizare</w:t>
            </w:r>
            <w:bookmarkEnd w:id="167"/>
          </w:p>
        </w:tc>
        <w:tc>
          <w:tcPr>
            <w:tcW w:w="450" w:type="pct"/>
          </w:tcPr>
          <w:p w14:paraId="063C853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5ACE450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FD8C10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9BFA7BC" w14:textId="761BB47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Instituțiile aplică factorii de risc de marjă de credit menționați la alineatul (3) pozițiilor din securitizare </w:t>
            </w:r>
            <w:r w:rsidRPr="00C011B2">
              <w:rPr>
                <w:rFonts w:ascii="Times New Roman" w:hAnsi="Times New Roman" w:cs="Times New Roman"/>
                <w:color w:val="000000" w:themeColor="text1"/>
                <w:lang w:val="ro-MD"/>
              </w:rPr>
              <w:lastRenderedPageBreak/>
              <w:t>incluse în ACTP, astfel cum se menționează la articolul 325 alineatele (6), (7) și (8).</w:t>
            </w:r>
          </w:p>
          <w:p w14:paraId="2EB60B4D" w14:textId="3416BDB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aplică factorii de risc de marjă de credit menționați la alineatul (5) pozițiilor din securitizare neincluse în ACTP, astfel cum se menționează la articolul 325 alineatele (6), (7) și (8).</w:t>
            </w:r>
          </w:p>
        </w:tc>
        <w:tc>
          <w:tcPr>
            <w:tcW w:w="1692" w:type="pct"/>
            <w:shd w:val="clear" w:color="auto" w:fill="auto"/>
          </w:tcPr>
          <w:p w14:paraId="0FD46849" w14:textId="4F46B231" w:rsidR="00D12468" w:rsidRPr="00C011B2" w:rsidRDefault="004F7DF7" w:rsidP="00D12468">
            <w:pPr>
              <w:spacing w:after="0" w:line="276" w:lineRule="auto"/>
              <w:jc w:val="both"/>
              <w:rPr>
                <w:rFonts w:ascii="Times New Roman" w:hAnsi="Times New Roman" w:cs="Times New Roman"/>
                <w:color w:val="000000" w:themeColor="text1"/>
                <w:lang w:val="ro-MD"/>
              </w:rPr>
            </w:pPr>
            <w:bookmarkStart w:id="168" w:name="_Hlk222986518"/>
            <w:r w:rsidRPr="00C011B2">
              <w:rPr>
                <w:rFonts w:ascii="Times New Roman" w:hAnsi="Times New Roman" w:cs="Times New Roman"/>
                <w:color w:val="000000" w:themeColor="text1"/>
                <w:lang w:val="ro-MD"/>
              </w:rPr>
              <w:lastRenderedPageBreak/>
              <w:t>176.</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aplică factorii de risc de marjă de credit menționați la </w:t>
            </w:r>
            <w:r w:rsidRPr="00C011B2">
              <w:rPr>
                <w:rFonts w:ascii="Times New Roman" w:hAnsi="Times New Roman" w:cs="Times New Roman"/>
                <w:color w:val="000000" w:themeColor="text1"/>
                <w:lang w:val="ro-MD"/>
              </w:rPr>
              <w:t>pct.179</w:t>
            </w:r>
            <w:r w:rsidR="00D12468" w:rsidRPr="00C011B2">
              <w:rPr>
                <w:rFonts w:ascii="Times New Roman" w:hAnsi="Times New Roman" w:cs="Times New Roman"/>
                <w:color w:val="000000" w:themeColor="text1"/>
                <w:lang w:val="ro-MD"/>
              </w:rPr>
              <w:t xml:space="preserve"> pozițiilor din securitizare incluse în ACTP, astfel cum se menționează la </w:t>
            </w:r>
            <w:r w:rsidR="00A953D1" w:rsidRPr="00C011B2">
              <w:rPr>
                <w:rFonts w:ascii="Times New Roman" w:hAnsi="Times New Roman" w:cs="Times New Roman"/>
                <w:color w:val="000000" w:themeColor="text1"/>
                <w:lang w:val="ro-RO"/>
              </w:rPr>
              <w:t>pct.75-78</w:t>
            </w:r>
            <w:r w:rsidR="00D12468" w:rsidRPr="00C011B2">
              <w:rPr>
                <w:rFonts w:ascii="Times New Roman" w:hAnsi="Times New Roman" w:cs="Times New Roman"/>
                <w:color w:val="000000" w:themeColor="text1"/>
                <w:lang w:val="ro-MD"/>
              </w:rPr>
              <w:t>.</w:t>
            </w:r>
          </w:p>
          <w:p w14:paraId="18DC4212" w14:textId="400FF9E0" w:rsidR="00D12468" w:rsidRPr="00C011B2" w:rsidRDefault="004F7D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177. Băncile </w:t>
            </w:r>
            <w:r w:rsidR="00D12468" w:rsidRPr="00C011B2">
              <w:rPr>
                <w:rFonts w:ascii="Times New Roman" w:hAnsi="Times New Roman" w:cs="Times New Roman"/>
                <w:color w:val="000000" w:themeColor="text1"/>
                <w:lang w:val="ro-MD"/>
              </w:rPr>
              <w:t xml:space="preserve">aplică factorii de risc de marjă de credit menționați la </w:t>
            </w:r>
            <w:r w:rsidR="00FD1AD4" w:rsidRPr="00C011B2">
              <w:rPr>
                <w:rFonts w:ascii="Times New Roman" w:hAnsi="Times New Roman" w:cs="Times New Roman"/>
                <w:color w:val="000000" w:themeColor="text1"/>
                <w:lang w:val="ro-MD"/>
              </w:rPr>
              <w:t>pct.182</w:t>
            </w:r>
            <w:r w:rsidR="00D12468" w:rsidRPr="00C011B2">
              <w:rPr>
                <w:rFonts w:ascii="Times New Roman" w:hAnsi="Times New Roman" w:cs="Times New Roman"/>
                <w:color w:val="000000" w:themeColor="text1"/>
                <w:lang w:val="ro-MD"/>
              </w:rPr>
              <w:t xml:space="preserve"> pozițiilor din securitizare neincluse în ACTP, astfel cum se menționează la </w:t>
            </w:r>
            <w:r w:rsidR="00A953D1" w:rsidRPr="00C011B2">
              <w:rPr>
                <w:rFonts w:ascii="Times New Roman" w:hAnsi="Times New Roman" w:cs="Times New Roman"/>
                <w:color w:val="000000" w:themeColor="text1"/>
                <w:lang w:val="ro-RO"/>
              </w:rPr>
              <w:t>pct.75-78</w:t>
            </w:r>
            <w:r w:rsidR="00D12468" w:rsidRPr="00C011B2">
              <w:rPr>
                <w:rFonts w:ascii="Times New Roman" w:hAnsi="Times New Roman" w:cs="Times New Roman"/>
                <w:color w:val="000000" w:themeColor="text1"/>
                <w:lang w:val="ro-MD"/>
              </w:rPr>
              <w:t>.</w:t>
            </w:r>
            <w:bookmarkEnd w:id="168"/>
          </w:p>
        </w:tc>
        <w:tc>
          <w:tcPr>
            <w:tcW w:w="450" w:type="pct"/>
          </w:tcPr>
          <w:p w14:paraId="54DF6FC0" w14:textId="36D050AF"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ACEEFF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F4BFED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D0D5FAC" w14:textId="425E3B5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Benzile aplicabile riscului de marjă de credit al securitizărilor care sunt incluse în ACTP sunt aceleași ca cele aplicabile riscului de marjă de credit al instrumentelor care nu sunt poziții din securitizare, astfel cum sunt menționate în secțiunea 6.</w:t>
            </w:r>
          </w:p>
          <w:p w14:paraId="77C02395" w14:textId="6778D1C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Benzile aplicabile riscului de marjă de credit pentru securitizări care nu sunt incluse în ACTP sunt specifice acestei categorii de clase de risc, astfel cum se menționează în secțiunea 6.</w:t>
            </w:r>
          </w:p>
        </w:tc>
        <w:tc>
          <w:tcPr>
            <w:tcW w:w="1692" w:type="pct"/>
            <w:shd w:val="clear" w:color="auto" w:fill="auto"/>
          </w:tcPr>
          <w:p w14:paraId="4F519BBA" w14:textId="3FF1D739" w:rsidR="00D12468" w:rsidRPr="00C011B2" w:rsidRDefault="004F7DF7" w:rsidP="00D12468">
            <w:pPr>
              <w:spacing w:after="0" w:line="276" w:lineRule="auto"/>
              <w:jc w:val="both"/>
              <w:rPr>
                <w:rFonts w:ascii="Times New Roman" w:hAnsi="Times New Roman" w:cs="Times New Roman"/>
                <w:color w:val="000000" w:themeColor="text1"/>
                <w:lang w:val="ro-MD"/>
              </w:rPr>
            </w:pPr>
            <w:bookmarkStart w:id="169" w:name="_Hlk222986553"/>
            <w:r w:rsidRPr="00C011B2">
              <w:rPr>
                <w:rFonts w:ascii="Times New Roman" w:hAnsi="Times New Roman" w:cs="Times New Roman"/>
                <w:color w:val="000000" w:themeColor="text1"/>
                <w:lang w:val="ro-MD"/>
              </w:rPr>
              <w:t>178.</w:t>
            </w:r>
            <w:r w:rsidR="00D12468" w:rsidRPr="00C011B2">
              <w:rPr>
                <w:rFonts w:ascii="Times New Roman" w:hAnsi="Times New Roman" w:cs="Times New Roman"/>
                <w:color w:val="000000" w:themeColor="text1"/>
                <w:lang w:val="ro-MD"/>
              </w:rPr>
              <w:t>   Benzile aplicabile riscului de marjă de credit al securitizărilor care sunt incluse în ACTP sunt aceleași ca cele aplicabile riscului de marjă de credit al instrumentelor care nu sunt poziții din securitizare, astfel cum sunt menționate în secțiunea 6.</w:t>
            </w:r>
          </w:p>
          <w:p w14:paraId="212208A3" w14:textId="6C18D854" w:rsidR="00D12468" w:rsidRPr="00C011B2" w:rsidRDefault="004F7DF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179. </w:t>
            </w:r>
            <w:r w:rsidR="00D12468" w:rsidRPr="00C011B2">
              <w:rPr>
                <w:rFonts w:ascii="Times New Roman" w:hAnsi="Times New Roman" w:cs="Times New Roman"/>
                <w:color w:val="000000" w:themeColor="text1"/>
                <w:lang w:val="ro-MD"/>
              </w:rPr>
              <w:t>Benzile aplicabile riscului de marjă de credit pentru securitizări care nu sunt incluse în ACTP sunt specifice acestei categorii de clase de risc, astfel cum se menționează în secțiunea 6.</w:t>
            </w:r>
            <w:bookmarkEnd w:id="169"/>
          </w:p>
        </w:tc>
        <w:tc>
          <w:tcPr>
            <w:tcW w:w="450" w:type="pct"/>
          </w:tcPr>
          <w:p w14:paraId="31B21248" w14:textId="13F065B9"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7742F6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BD5C69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C78A85" w14:textId="38EF166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Factorii de risc de marjă de credit pe care instituțiile trebuie să îi aplice pozițiilor din securitizare care sunt incluse în ACTP sunt următorii:</w:t>
            </w:r>
          </w:p>
          <w:p w14:paraId="71E7D371" w14:textId="666E84F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factorii de risc delta sunt toate ratele de marjă de credit relevante ale emitenților expunerilor-suport aferente poziției din securitizare, obținute pe baza titlurilor de datorie și a instrumentelor de tipul „credit default swap” relevante și pentru fiecare dintre următoarele scadențe: 0,5 ani, 1 an, 3 ani, 5 ani, 10 ani.</w:t>
            </w:r>
          </w:p>
          <w:p w14:paraId="6761C2C6" w14:textId="72C40E8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factorii de risc vega aplicabili opțiunilor care au ca instrumente-suport poziții din securitizare care sunt incluse în ACTP sunt volatilitățile implicite ale marjelor de credit ale emitenților expunerilor-suport ale poziției din securitizare, obținute astfel cum se precizează la litera (a) de la prezentul alineat, care trebuie puse în corespondență cu următoarele scadențe în conformitate cu scadența opțiunii corespunzătoare care face obiectul cerințelor de fonduri proprii: 0,5 ani, 1 an, 3 ani, 5 ani, 10 ani.</w:t>
            </w:r>
          </w:p>
          <w:p w14:paraId="1949353C" w14:textId="473B22C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factorii de risc de curbură sunt curbele de randament ale marjei de credit relevante aferente emitenților expunerilor-suport ale poziției din securitizare, exprimate ca vector al ratelor de marjă de credit pentru diferite scadențe, obținute astfel cum se precizează la litera (a) de la prezentul alineat; pentru fiecare instrument, vectorul cuprinde un număr de componente egal cu numărul de scadențe distincte ale ratelor de marjă de credit utilizate ca variabile de modelul de evaluare al instituției pentru respectivul instrument.</w:t>
            </w:r>
          </w:p>
        </w:tc>
        <w:tc>
          <w:tcPr>
            <w:tcW w:w="1692" w:type="pct"/>
            <w:shd w:val="clear" w:color="auto" w:fill="auto"/>
          </w:tcPr>
          <w:p w14:paraId="2EA623EA" w14:textId="484D902D" w:rsidR="00D12468" w:rsidRPr="00C011B2" w:rsidRDefault="004F7DF7" w:rsidP="00D12468">
            <w:pPr>
              <w:spacing w:after="0" w:line="276" w:lineRule="auto"/>
              <w:jc w:val="both"/>
              <w:rPr>
                <w:rFonts w:ascii="Times New Roman" w:hAnsi="Times New Roman" w:cs="Times New Roman"/>
                <w:color w:val="000000" w:themeColor="text1"/>
                <w:lang w:val="ro-MD"/>
              </w:rPr>
            </w:pPr>
            <w:bookmarkStart w:id="170" w:name="_Hlk222986586"/>
            <w:r w:rsidRPr="00C011B2">
              <w:rPr>
                <w:rFonts w:ascii="Times New Roman" w:hAnsi="Times New Roman" w:cs="Times New Roman"/>
                <w:color w:val="000000" w:themeColor="text1"/>
                <w:lang w:val="ro-MD"/>
              </w:rPr>
              <w:lastRenderedPageBreak/>
              <w:t>180.</w:t>
            </w:r>
            <w:r w:rsidR="00D12468" w:rsidRPr="00C011B2">
              <w:rPr>
                <w:rFonts w:ascii="Times New Roman" w:hAnsi="Times New Roman" w:cs="Times New Roman"/>
                <w:color w:val="000000" w:themeColor="text1"/>
                <w:lang w:val="ro-MD"/>
              </w:rPr>
              <w:t xml:space="preserve">   Factorii de risc de marjă de credit pe care </w:t>
            </w:r>
            <w:r w:rsidR="00FD1AD4"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trebuie să îi aplice pozițiilor din securitizare care sunt incluse în ACTP sunt următorii:</w:t>
            </w:r>
          </w:p>
          <w:p w14:paraId="36BC963C" w14:textId="62A0FC57" w:rsidR="00D12468" w:rsidRPr="00C011B2" w:rsidRDefault="00FD1AD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180.1.</w:t>
            </w:r>
            <w:r w:rsidR="00D12468" w:rsidRPr="00C011B2">
              <w:rPr>
                <w:rFonts w:ascii="Times New Roman" w:hAnsi="Times New Roman" w:cs="Times New Roman"/>
                <w:color w:val="000000" w:themeColor="text1"/>
                <w:lang w:val="ro-MD"/>
              </w:rPr>
              <w:t> factorii de risc delta sunt toate ratele de marjă de credit relevante ale emitenților expunerilor-suport aferente poziției din securitizare, obținute pe baza titlurilor de datorie și a instrumentelor de tipul „credit default swap” relevante și pentru fiecare dintre următoarele scadențe: 0,5 ani, 1 an, 3 ani, 5 ani, 10 ani.</w:t>
            </w:r>
          </w:p>
          <w:p w14:paraId="7BDC478C" w14:textId="1D638F27" w:rsidR="00D12468" w:rsidRPr="00C011B2" w:rsidRDefault="00FD1AD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180.2.</w:t>
            </w:r>
            <w:r w:rsidR="00D12468" w:rsidRPr="00C011B2">
              <w:rPr>
                <w:rFonts w:ascii="Times New Roman" w:hAnsi="Times New Roman" w:cs="Times New Roman"/>
                <w:color w:val="000000" w:themeColor="text1"/>
                <w:lang w:val="ro-MD"/>
              </w:rPr>
              <w:t xml:space="preserve"> factorii de risc vega aplicabili opțiunilor care au ca instrumente-suport poziții din securitizare care sunt incluse în ACTP sunt volatilitățile implicite ale marjelor de credit ale emitenților expunerilor-suport ale poziției din securitizare, obținute astfel cum se precizează la </w:t>
            </w:r>
            <w:r w:rsidR="00AE2C46" w:rsidRPr="00C011B2">
              <w:rPr>
                <w:rFonts w:ascii="Times New Roman" w:hAnsi="Times New Roman" w:cs="Times New Roman"/>
                <w:color w:val="000000" w:themeColor="text1"/>
                <w:lang w:val="ro-MD"/>
              </w:rPr>
              <w:t>pct.180.1</w:t>
            </w:r>
            <w:r w:rsidR="00D12468" w:rsidRPr="00C011B2">
              <w:rPr>
                <w:rFonts w:ascii="Times New Roman" w:hAnsi="Times New Roman" w:cs="Times New Roman"/>
                <w:color w:val="000000" w:themeColor="text1"/>
                <w:lang w:val="ro-MD"/>
              </w:rPr>
              <w:t>, care trebuie puse în corespondență cu următoarele scadențe în conformitate cu scadența opțiunii corespunzătoare care face obiectul cerințelor de fonduri proprii: 0,5 ani, 1 an, 3 ani, 5 ani, 10 ani.</w:t>
            </w:r>
          </w:p>
          <w:p w14:paraId="288BF80B" w14:textId="6AEA7746" w:rsidR="00D12468" w:rsidRPr="00C011B2" w:rsidRDefault="00AE2C4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180.3.</w:t>
            </w:r>
            <w:r w:rsidR="00D12468" w:rsidRPr="00C011B2">
              <w:rPr>
                <w:rFonts w:ascii="Times New Roman" w:hAnsi="Times New Roman" w:cs="Times New Roman"/>
                <w:color w:val="000000" w:themeColor="text1"/>
                <w:lang w:val="ro-MD"/>
              </w:rPr>
              <w:t xml:space="preserve"> factorii de risc de curbură sunt curbele de randament ale marjei de credit relevante aferente emitenților expunerilor-suport ale poziției din securitizare, exprimate ca vector al ratelor de marjă de credit pentru diferite scadențe, obținute astfel cum se precizează la </w:t>
            </w:r>
            <w:r w:rsidRPr="00C011B2">
              <w:rPr>
                <w:rFonts w:ascii="Times New Roman" w:hAnsi="Times New Roman" w:cs="Times New Roman"/>
                <w:color w:val="000000" w:themeColor="text1"/>
                <w:lang w:val="ro-MD"/>
              </w:rPr>
              <w:t>pct.180.1</w:t>
            </w:r>
            <w:r w:rsidR="00D12468" w:rsidRPr="00C011B2">
              <w:rPr>
                <w:rFonts w:ascii="Times New Roman" w:hAnsi="Times New Roman" w:cs="Times New Roman"/>
                <w:color w:val="000000" w:themeColor="text1"/>
                <w:lang w:val="ro-MD"/>
              </w:rPr>
              <w:t xml:space="preserve">; pentru fiecare instrument, vectorul cuprinde un număr de componente egal cu numărul de scadențe distincte ale ratelor de marjă de credit utilizate ca variabile de modelul de evaluare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pentru respectivul instrument.</w:t>
            </w:r>
            <w:bookmarkEnd w:id="170"/>
          </w:p>
        </w:tc>
        <w:tc>
          <w:tcPr>
            <w:tcW w:w="450" w:type="pct"/>
          </w:tcPr>
          <w:p w14:paraId="1CB78F25" w14:textId="65CF2CC2"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8FB4D6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657D91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E32C92F" w14:textId="6892230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Instituțiile calculează sensibilitatea poziției din securitizare la fiecare factor de risc utilizat în formula riscului de curbură astfel cum se precizează la articolul 325g. În scopul calculării riscului de curbură, </w:t>
            </w:r>
            <w:r w:rsidRPr="00C011B2">
              <w:rPr>
                <w:rFonts w:ascii="Times New Roman" w:hAnsi="Times New Roman" w:cs="Times New Roman"/>
                <w:color w:val="000000" w:themeColor="text1"/>
                <w:lang w:val="ro-MD"/>
              </w:rPr>
              <w:lastRenderedPageBreak/>
              <w:t>instituțiile iau în considerare vectori obținuți pe baza fie a titlurilor de datorie, fie a instrumentelor de tipul „credit default swap” relevante, care au un număr diferit de componente față de factorul de risc aferent, cu condiția ca vectorii respectivi să corespundă aceluiași emitent.</w:t>
            </w:r>
          </w:p>
        </w:tc>
        <w:tc>
          <w:tcPr>
            <w:tcW w:w="1692" w:type="pct"/>
            <w:shd w:val="clear" w:color="auto" w:fill="auto"/>
          </w:tcPr>
          <w:p w14:paraId="4D5CC4E6" w14:textId="4E24CA17" w:rsidR="00D12468" w:rsidRPr="00C011B2" w:rsidRDefault="00FD1AD4" w:rsidP="00D12468">
            <w:pPr>
              <w:spacing w:after="0" w:line="276" w:lineRule="auto"/>
              <w:jc w:val="both"/>
              <w:rPr>
                <w:rFonts w:ascii="Times New Roman" w:hAnsi="Times New Roman" w:cs="Times New Roman"/>
                <w:color w:val="000000" w:themeColor="text1"/>
                <w:lang w:val="ro-MD"/>
              </w:rPr>
            </w:pPr>
            <w:bookmarkStart w:id="171" w:name="_Hlk222986613"/>
            <w:r w:rsidRPr="00C011B2">
              <w:rPr>
                <w:rFonts w:ascii="Times New Roman" w:hAnsi="Times New Roman" w:cs="Times New Roman"/>
                <w:color w:val="000000" w:themeColor="text1"/>
                <w:lang w:val="ro-MD"/>
              </w:rPr>
              <w:lastRenderedPageBreak/>
              <w:t>181.</w:t>
            </w:r>
            <w:r w:rsidR="00D12468" w:rsidRPr="00C011B2">
              <w:rPr>
                <w:rFonts w:ascii="Times New Roman" w:hAnsi="Times New Roman" w:cs="Times New Roman"/>
                <w:color w:val="000000" w:themeColor="text1"/>
                <w:lang w:val="ro-MD"/>
              </w:rPr>
              <w:t>  </w:t>
            </w:r>
            <w:r w:rsidR="00AE2C46"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calculează sensibilitatea poziției din securitizare la fiecare factor de risc utilizat în formula riscului de curbură astfel cum se precizează la </w:t>
            </w:r>
            <w:r w:rsidR="00CC5971" w:rsidRPr="00C011B2">
              <w:rPr>
                <w:rFonts w:ascii="Times New Roman" w:hAnsi="Times New Roman" w:cs="Times New Roman"/>
                <w:color w:val="000000" w:themeColor="text1"/>
                <w:lang w:val="ro-MD"/>
              </w:rPr>
              <w:t>secțiunea 2, subsecțiunea 4</w:t>
            </w:r>
            <w:r w:rsidR="00D12468" w:rsidRPr="00C011B2">
              <w:rPr>
                <w:rFonts w:ascii="Times New Roman" w:hAnsi="Times New Roman" w:cs="Times New Roman"/>
                <w:color w:val="000000" w:themeColor="text1"/>
                <w:lang w:val="ro-MD"/>
              </w:rPr>
              <w:t xml:space="preserve">. În scopul calculării riscului de curbură, </w:t>
            </w:r>
            <w:r w:rsidR="00CC5971" w:rsidRPr="00C011B2">
              <w:rPr>
                <w:rFonts w:ascii="Times New Roman" w:hAnsi="Times New Roman" w:cs="Times New Roman"/>
                <w:color w:val="000000" w:themeColor="text1"/>
                <w:lang w:val="ro-MD"/>
              </w:rPr>
              <w:lastRenderedPageBreak/>
              <w:t xml:space="preserve">băncile </w:t>
            </w:r>
            <w:r w:rsidR="00D12468" w:rsidRPr="00C011B2">
              <w:rPr>
                <w:rFonts w:ascii="Times New Roman" w:hAnsi="Times New Roman" w:cs="Times New Roman"/>
                <w:color w:val="000000" w:themeColor="text1"/>
                <w:lang w:val="ro-MD"/>
              </w:rPr>
              <w:t>iau în considerare vectori obținuți pe baza fie a titlurilor de datorie, fie a instrumentelor de tipul „credit default swap” relevante, care au un număr diferit de componente față de factorul de risc aferent, cu condiția ca vectorii respectivi să corespundă aceluiași emitent.</w:t>
            </w:r>
            <w:bookmarkEnd w:id="171"/>
          </w:p>
        </w:tc>
        <w:tc>
          <w:tcPr>
            <w:tcW w:w="450" w:type="pct"/>
          </w:tcPr>
          <w:p w14:paraId="7AFA8790" w14:textId="019DC5F7"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82FA19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C4DB8F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4DB3302" w14:textId="6A0905A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Factorii de risc de marjă de credit care trebuie aplicați de către instituții pozițiilor din securitizare care nu sunt incluse în ACTP se raportează la marja tranșei, și nu la marja instrumentelor-suport, și sunt următorii:</w:t>
            </w:r>
          </w:p>
          <w:p w14:paraId="2055D322" w14:textId="7729E10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factorii de risc delta sunt ratele de marjă de credit relevante ale tranșei respective, puse în corespondență cu următoarele scadențe, în conformitate cu scadența tranșei: 0,5 ani, 1 an, 3 ani, 5 ani, 10 ani;</w:t>
            </w:r>
          </w:p>
          <w:p w14:paraId="4205FFA7" w14:textId="1CABC1A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factorii de risc vega aplicabili opțiunilor cu poziții din securitizare care nu sunt incluse în ACTP ca instrumente-suport sunt volatilitățile implicite ale marjelor de credit ale tranșelor, fiecare volatilitate fiind pusă în corespondență cu următoarele scadențe în conformitate cu scadența opțiunii care face obiectul cerințelor de fonduri proprii: 0,5 ani, 1 an, 3 ani, 5 ani, 10 ani;</w:t>
            </w:r>
          </w:p>
          <w:p w14:paraId="72677308" w14:textId="1386AF0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factorii de risc de curbură sunt cei descriși la litera (a) de la prezentul alineat; tuturor acestor factori </w:t>
            </w:r>
            <w:r w:rsidRPr="00C011B2">
              <w:rPr>
                <w:rFonts w:ascii="Times New Roman" w:hAnsi="Times New Roman" w:cs="Times New Roman"/>
                <w:color w:val="000000" w:themeColor="text1"/>
                <w:lang w:val="ro-MD"/>
              </w:rPr>
              <w:lastRenderedPageBreak/>
              <w:t>de risc li se aplică o pondere de risc comună, astfel cum se menționează în secțiunea 6.</w:t>
            </w:r>
          </w:p>
        </w:tc>
        <w:tc>
          <w:tcPr>
            <w:tcW w:w="1692" w:type="pct"/>
            <w:shd w:val="clear" w:color="auto" w:fill="auto"/>
          </w:tcPr>
          <w:p w14:paraId="31B61968" w14:textId="18ADBEE9" w:rsidR="00D12468" w:rsidRPr="00C011B2" w:rsidRDefault="00FD1AD4" w:rsidP="00D12468">
            <w:pPr>
              <w:spacing w:after="0" w:line="276" w:lineRule="auto"/>
              <w:jc w:val="both"/>
              <w:rPr>
                <w:rFonts w:ascii="Times New Roman" w:hAnsi="Times New Roman" w:cs="Times New Roman"/>
                <w:color w:val="000000" w:themeColor="text1"/>
                <w:lang w:val="ro-MD"/>
              </w:rPr>
            </w:pPr>
            <w:bookmarkStart w:id="172" w:name="_Hlk222986649"/>
            <w:r w:rsidRPr="00C011B2">
              <w:rPr>
                <w:rFonts w:ascii="Times New Roman" w:hAnsi="Times New Roman" w:cs="Times New Roman"/>
                <w:color w:val="000000" w:themeColor="text1"/>
                <w:lang w:val="ro-MD"/>
              </w:rPr>
              <w:lastRenderedPageBreak/>
              <w:t>182.</w:t>
            </w:r>
            <w:r w:rsidR="00D12468" w:rsidRPr="00C011B2">
              <w:rPr>
                <w:rFonts w:ascii="Times New Roman" w:hAnsi="Times New Roman" w:cs="Times New Roman"/>
                <w:color w:val="000000" w:themeColor="text1"/>
                <w:lang w:val="ro-MD"/>
              </w:rPr>
              <w:t xml:space="preserve">   Factorii de risc de marjă de credit care trebuie aplicați de către </w:t>
            </w:r>
            <w:r w:rsidR="00880EF6"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pozițiilor din securitizare care nu sunt incluse în ACTP se raportează la marja tranșei, și nu la marja instrumentelor-suport, și sunt următorii:</w:t>
            </w:r>
          </w:p>
          <w:p w14:paraId="31F9782F" w14:textId="5C81BD4B" w:rsidR="00D12468" w:rsidRPr="00C011B2" w:rsidRDefault="00CC59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182.1.</w:t>
            </w:r>
            <w:r w:rsidR="00D12468" w:rsidRPr="00C011B2">
              <w:rPr>
                <w:rFonts w:ascii="Times New Roman" w:hAnsi="Times New Roman" w:cs="Times New Roman"/>
                <w:color w:val="000000" w:themeColor="text1"/>
                <w:lang w:val="ro-MD"/>
              </w:rPr>
              <w:t> factorii de risc delta sunt ratele de marjă de credit relevante ale tranșei respective, puse în corespondență cu următoarele scadențe, în conformitate cu scadența tranșei: 0,5 ani, 1 an, 3 ani, 5 ani, 10 ani;</w:t>
            </w:r>
          </w:p>
          <w:p w14:paraId="4A846EE7" w14:textId="7847DF7A" w:rsidR="00D12468" w:rsidRPr="00C011B2" w:rsidRDefault="00CC59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182.2.</w:t>
            </w:r>
            <w:r w:rsidR="00D12468" w:rsidRPr="00C011B2">
              <w:rPr>
                <w:rFonts w:ascii="Times New Roman" w:hAnsi="Times New Roman" w:cs="Times New Roman"/>
                <w:color w:val="000000" w:themeColor="text1"/>
                <w:lang w:val="ro-MD"/>
              </w:rPr>
              <w:t> factorii de risc vega aplicabili opțiunilor cu poziții din securitizare care nu sunt incluse în ACTP ca instrumente-suport sunt volatilitățile implicite ale marjelor de credit ale tranșelor, fiecare volatilitate fiind pusă în corespondență cu următoarele scadențe în conformitate cu scadența opțiunii care face obiectul cerințelor de fonduri proprii: 0,5 ani, 1 an, 3 ani, 5 ani, 10 ani;</w:t>
            </w:r>
          </w:p>
          <w:p w14:paraId="05B4E8BB" w14:textId="7AA3EC68" w:rsidR="00D12468" w:rsidRPr="00C011B2" w:rsidRDefault="00CC5971"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182.3.</w:t>
            </w:r>
            <w:r w:rsidR="00D12468" w:rsidRPr="00C011B2">
              <w:rPr>
                <w:rFonts w:ascii="Times New Roman" w:hAnsi="Times New Roman" w:cs="Times New Roman"/>
                <w:color w:val="000000" w:themeColor="text1"/>
                <w:lang w:val="ro-MD"/>
              </w:rPr>
              <w:t xml:space="preserve"> factorii de risc de curbură sunt cei descriși la </w:t>
            </w:r>
            <w:r w:rsidRPr="00C011B2">
              <w:rPr>
                <w:rFonts w:ascii="Times New Roman" w:hAnsi="Times New Roman" w:cs="Times New Roman"/>
                <w:color w:val="000000" w:themeColor="text1"/>
                <w:lang w:val="ro-MD"/>
              </w:rPr>
              <w:t>pct.182.1</w:t>
            </w:r>
            <w:r w:rsidR="00D12468" w:rsidRPr="00C011B2">
              <w:rPr>
                <w:rFonts w:ascii="Times New Roman" w:hAnsi="Times New Roman" w:cs="Times New Roman"/>
                <w:color w:val="000000" w:themeColor="text1"/>
                <w:lang w:val="ro-MD"/>
              </w:rPr>
              <w:t>; tuturor acestor factori de risc li se aplică o pondere de risc comună, astfel cum se menționează în secțiunea 6.</w:t>
            </w:r>
            <w:bookmarkEnd w:id="172"/>
          </w:p>
        </w:tc>
        <w:tc>
          <w:tcPr>
            <w:tcW w:w="450" w:type="pct"/>
          </w:tcPr>
          <w:p w14:paraId="0850F3ED" w14:textId="6EBBA3C1" w:rsidR="00D12468" w:rsidRPr="00C011B2" w:rsidRDefault="00CC5971"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4AA821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2B6C156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F7310D9"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325o</w:t>
            </w:r>
          </w:p>
          <w:p w14:paraId="467F1BDC" w14:textId="7FE63F2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Factorii de risc de devalorizare a titlurilor de capital</w:t>
            </w:r>
          </w:p>
        </w:tc>
        <w:tc>
          <w:tcPr>
            <w:tcW w:w="1692" w:type="pct"/>
            <w:shd w:val="clear" w:color="auto" w:fill="auto"/>
          </w:tcPr>
          <w:p w14:paraId="155CABDA" w14:textId="167AC41B" w:rsidR="00D12468" w:rsidRPr="00C011B2" w:rsidRDefault="00937B38" w:rsidP="00D12468">
            <w:pPr>
              <w:spacing w:after="0" w:line="276" w:lineRule="auto"/>
              <w:jc w:val="both"/>
              <w:rPr>
                <w:rFonts w:ascii="Times New Roman" w:hAnsi="Times New Roman" w:cs="Times New Roman"/>
                <w:color w:val="000000" w:themeColor="text1"/>
                <w:lang w:val="ro-MD"/>
              </w:rPr>
            </w:pPr>
            <w:bookmarkStart w:id="173" w:name="_Hlk195091344"/>
            <w:r w:rsidRPr="00C011B2">
              <w:rPr>
                <w:rFonts w:ascii="Times New Roman" w:hAnsi="Times New Roman" w:cs="Times New Roman"/>
                <w:i/>
                <w:iCs/>
                <w:color w:val="000000" w:themeColor="text1"/>
                <w:lang w:val="ro-MD"/>
              </w:rPr>
              <w:t xml:space="preserve">Paragraful </w:t>
            </w:r>
            <w:r w:rsidR="0084145D" w:rsidRPr="00C011B2">
              <w:rPr>
                <w:rFonts w:ascii="Times New Roman" w:hAnsi="Times New Roman" w:cs="Times New Roman"/>
                <w:i/>
                <w:iCs/>
                <w:color w:val="000000" w:themeColor="text1"/>
                <w:lang w:val="ro-MD"/>
              </w:rPr>
              <w:t>4</w:t>
            </w:r>
            <w:r w:rsidRPr="00C011B2">
              <w:rPr>
                <w:rFonts w:ascii="Times New Roman" w:hAnsi="Times New Roman" w:cs="Times New Roman"/>
                <w:i/>
                <w:iCs/>
                <w:color w:val="000000" w:themeColor="text1"/>
                <w:lang w:val="ro-MD"/>
              </w:rPr>
              <w:t xml:space="preserve">. </w:t>
            </w:r>
            <w:r w:rsidR="00D12468" w:rsidRPr="00C011B2">
              <w:rPr>
                <w:rFonts w:ascii="Times New Roman" w:hAnsi="Times New Roman" w:cs="Times New Roman"/>
                <w:b/>
                <w:bCs/>
                <w:color w:val="000000" w:themeColor="text1"/>
                <w:lang w:val="ro-MD"/>
              </w:rPr>
              <w:t>Factorii de risc de devalorizare a titlurilor de capital</w:t>
            </w:r>
            <w:bookmarkEnd w:id="173"/>
          </w:p>
        </w:tc>
        <w:tc>
          <w:tcPr>
            <w:tcW w:w="450" w:type="pct"/>
          </w:tcPr>
          <w:p w14:paraId="1F39976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7F70F4C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BE2355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FD14EB" w14:textId="4A90639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Benzile pentru toți factorii de risc de devalorizare a titlurilor de capital sunt benzile sectoriale menționate în secțiunea 6.</w:t>
            </w:r>
          </w:p>
        </w:tc>
        <w:tc>
          <w:tcPr>
            <w:tcW w:w="1692" w:type="pct"/>
            <w:shd w:val="clear" w:color="auto" w:fill="auto"/>
          </w:tcPr>
          <w:p w14:paraId="431872A8" w14:textId="7EC20D35" w:rsidR="00D12468" w:rsidRPr="00C011B2" w:rsidRDefault="00937B3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183.</w:t>
            </w:r>
            <w:r w:rsidR="00D12468" w:rsidRPr="00C011B2">
              <w:rPr>
                <w:rFonts w:ascii="Times New Roman" w:hAnsi="Times New Roman" w:cs="Times New Roman"/>
                <w:color w:val="000000" w:themeColor="text1"/>
                <w:lang w:val="ro-MD"/>
              </w:rPr>
              <w:t>  Benzile pentru toți factorii de risc de devalorizare a titlurilor de capital sunt benzile sectoriale menționate în secțiunea 6.</w:t>
            </w:r>
          </w:p>
        </w:tc>
        <w:tc>
          <w:tcPr>
            <w:tcW w:w="450" w:type="pct"/>
          </w:tcPr>
          <w:p w14:paraId="1BF37777" w14:textId="3118A2F1"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63AE14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534B48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013BD7E" w14:textId="0711231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Factorii de risc de devalorizare a titlurilor de capital delta care trebuie aplicați de către instituții sunt toate prețurile spot ale titlurilor de capital și toate ratele repo ale titlurilor de capital.</w:t>
            </w:r>
          </w:p>
          <w:p w14:paraId="205963B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scopul calculării riscului de devalorizare a titlurilor de capital, o anumită curbă a ratelor repo ale titlurilor de capital reprezintă un singur factor de risc, care este exprimat ca vector al ratelor repo pentru diferite scadențe. Pentru fiecare instrument, vectorul cuprinde un număr de componente egal cu numărul de scadențe distincte ale ratelor repo utilizate ca variabile de modelul de evaluare al instituției pentru respectivul instrument.</w:t>
            </w:r>
          </w:p>
          <w:p w14:paraId="38A0B1EF" w14:textId="377B2A21"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Instituțiile calculează sensibilitatea unui instrument la un factor de risc de devalorizare a titlurilor de capital ca fiind variația valorii instrumentului antrenată, conform modelului lor de stabilire a prețului, ca urmare </w:t>
            </w:r>
            <w:r w:rsidRPr="00C011B2">
              <w:rPr>
                <w:rFonts w:ascii="Times New Roman" w:hAnsi="Times New Roman" w:cs="Times New Roman"/>
                <w:color w:val="000000" w:themeColor="text1"/>
                <w:lang w:val="ro-MD"/>
              </w:rPr>
              <w:lastRenderedPageBreak/>
              <w:t>a unei modificări de 1 punct de bază al fiecărei componente a vectorului. Instituțiile compensează între ele sensibilitățile la factorul de risc de rată repo ale aceluiași titlu de capital, indiferent de numărul de componente ale fiecărui vector.</w:t>
            </w:r>
          </w:p>
        </w:tc>
        <w:tc>
          <w:tcPr>
            <w:tcW w:w="1692" w:type="pct"/>
            <w:shd w:val="clear" w:color="auto" w:fill="auto"/>
          </w:tcPr>
          <w:p w14:paraId="14189223" w14:textId="085B945D" w:rsidR="00D12468" w:rsidRPr="00C011B2" w:rsidRDefault="00937B3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184.</w:t>
            </w:r>
            <w:r w:rsidR="00D12468" w:rsidRPr="00C011B2">
              <w:rPr>
                <w:rFonts w:ascii="Times New Roman" w:hAnsi="Times New Roman" w:cs="Times New Roman"/>
                <w:color w:val="000000" w:themeColor="text1"/>
                <w:lang w:val="ro-MD"/>
              </w:rPr>
              <w:t xml:space="preserve">   Factorii de risc de devalorizare a titlurilor de capital delta care trebuie aplicați de către </w:t>
            </w:r>
            <w:r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sunt toate prețurile spot ale titlurilor de capital și toate ratele repo ale titlurilor de capital.</w:t>
            </w:r>
          </w:p>
          <w:p w14:paraId="0DAAFE4B" w14:textId="3C576A42" w:rsidR="00D12468" w:rsidRPr="00C011B2" w:rsidRDefault="00937B3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185. </w:t>
            </w:r>
            <w:r w:rsidR="00D12468" w:rsidRPr="00C011B2">
              <w:rPr>
                <w:rFonts w:ascii="Times New Roman" w:hAnsi="Times New Roman" w:cs="Times New Roman"/>
                <w:color w:val="000000" w:themeColor="text1"/>
                <w:lang w:val="ro-MD"/>
              </w:rPr>
              <w:t xml:space="preserve">În scopul calculării riscului de devalorizare a titlurilor de capital, o anumită curbă a ratelor repo ale titlurilor de capital reprezintă un singur factor de risc, care este exprimat ca vector al ratelor repo pentru diferite scadențe. Pentru fiecare instrument, vectorul cuprinde un număr de componente egal cu numărul de scadențe distincte ale ratelor repo utilizate ca variabile de modelul de evaluare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pentru respectivul instrument.</w:t>
            </w:r>
          </w:p>
          <w:p w14:paraId="07D6E6E2" w14:textId="52AEA31B" w:rsidR="00D12468" w:rsidRPr="00C011B2" w:rsidRDefault="00937B3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186. Băncile </w:t>
            </w:r>
            <w:r w:rsidR="00D12468" w:rsidRPr="00C011B2">
              <w:rPr>
                <w:rFonts w:ascii="Times New Roman" w:hAnsi="Times New Roman" w:cs="Times New Roman"/>
                <w:color w:val="000000" w:themeColor="text1"/>
                <w:lang w:val="ro-MD"/>
              </w:rPr>
              <w:t xml:space="preserve">calculează sensibilitatea unui instrument la un factor de risc de devalorizare a titlurilor de capital ca fiind variația valorii instrumentului antrenată, conform modelului lor de stabilire a prețului, ca urmare a unei modificări de 1 punct de bază al fiecărei componente a </w:t>
            </w:r>
            <w:r w:rsidR="00D12468" w:rsidRPr="00C011B2">
              <w:rPr>
                <w:rFonts w:ascii="Times New Roman" w:hAnsi="Times New Roman" w:cs="Times New Roman"/>
                <w:color w:val="000000" w:themeColor="text1"/>
                <w:lang w:val="ro-MD"/>
              </w:rPr>
              <w:lastRenderedPageBreak/>
              <w:t xml:space="preserve">vectorului.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compensează între ele sensibilitățile la factorul de risc de rată repo ale aceluiași titlu de capital, indiferent de numărul de componente ale fiecărui vector.</w:t>
            </w:r>
          </w:p>
        </w:tc>
        <w:tc>
          <w:tcPr>
            <w:tcW w:w="450" w:type="pct"/>
          </w:tcPr>
          <w:p w14:paraId="5A642366" w14:textId="50883FDA"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EAEDBD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F87936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91B767" w14:textId="28F7379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Factorii de risc de devalorizare a titlurilor de capital vega pe care instituțiile trebuie să îi aplice opțiunilor care au instrumente-suport care sunt sensibile la titluri de capital sunt volatilitățile implicite ale prețurilor spot ale titlurilor de capital, care trebuie puse în corespondență cu următoarele scadențe în conformitate cu scadențele opțiunilor corespunzătoare care fac obiectul cerințelor de fonduri proprii: 0,5 ani, 1 an, 3 ani, 5 ani, 10 ani. Pentru ratele repo ale titlurilor de capital nu există cerințe de fonduri proprii pentru riscul vega.</w:t>
            </w:r>
          </w:p>
        </w:tc>
        <w:tc>
          <w:tcPr>
            <w:tcW w:w="1692" w:type="pct"/>
            <w:shd w:val="clear" w:color="auto" w:fill="auto"/>
          </w:tcPr>
          <w:p w14:paraId="0935E89A" w14:textId="693D439E" w:rsidR="00D12468" w:rsidRPr="00C011B2" w:rsidRDefault="00937B3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187.</w:t>
            </w:r>
            <w:r w:rsidR="00D12468" w:rsidRPr="00C011B2">
              <w:rPr>
                <w:rFonts w:ascii="Times New Roman" w:hAnsi="Times New Roman" w:cs="Times New Roman"/>
                <w:color w:val="000000" w:themeColor="text1"/>
                <w:lang w:val="ro-MD"/>
              </w:rPr>
              <w:t xml:space="preserve">   Factorii de risc de devalorizare a titlurilor de capital vega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trebuie să îi aplice opțiunilor care au instrumente-suport care sunt sensibile la titluri de capital sunt volatilitățile implicite ale prețurilor spot ale titlurilor de capital, care trebuie puse în corespondență cu următoarele scadențe în conformitate cu scadențele opțiunilor corespunzătoare care fac obiectul cerințelor de fonduri proprii: 0,5 ani, 1 an, 3 ani, 5 ani, 10 ani. Pentru ratele repo ale titlurilor de capital nu există cerințe de fonduri proprii pentru riscul vega.</w:t>
            </w:r>
          </w:p>
        </w:tc>
        <w:tc>
          <w:tcPr>
            <w:tcW w:w="450" w:type="pct"/>
          </w:tcPr>
          <w:p w14:paraId="74290AEC" w14:textId="16068110"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594FBA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979DBE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830C3B2" w14:textId="6811F86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Factorii de risc din titluri de capital de curbură pe care instituțiile trebuie să îi aplice opțiunilor care au instrumente-suport care sunt sensibile la titluri de capital sunt prețurile spot ale titlurilor de capital, indiferent de scadența opțiunilor corespunzătoare. Pentru ratele repo ale titlurilor de capital nu există cerințe de fonduri proprii pentru riscul de curbură.</w:t>
            </w:r>
          </w:p>
        </w:tc>
        <w:tc>
          <w:tcPr>
            <w:tcW w:w="1692" w:type="pct"/>
            <w:shd w:val="clear" w:color="auto" w:fill="auto"/>
          </w:tcPr>
          <w:p w14:paraId="51D03BC9" w14:textId="4164DD3D" w:rsidR="00D12468" w:rsidRPr="00C011B2" w:rsidRDefault="00937B3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188.</w:t>
            </w:r>
            <w:r w:rsidR="00D12468" w:rsidRPr="00C011B2">
              <w:rPr>
                <w:rFonts w:ascii="Times New Roman" w:hAnsi="Times New Roman" w:cs="Times New Roman"/>
                <w:color w:val="000000" w:themeColor="text1"/>
                <w:lang w:val="ro-MD"/>
              </w:rPr>
              <w:t xml:space="preserve">   Factorii de risc din titluri de capital de curbură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trebuie să îi aplice opțiunilor care au instrumente-suport care sunt sensibile la titluri de capital sunt prețurile spot ale titlurilor de capital, indiferent de scadența opțiunilor corespunzătoare. Pentru ratele repo ale titlurilor de capital nu există cerințe de fonduri proprii pentru riscul de curbură.</w:t>
            </w:r>
          </w:p>
        </w:tc>
        <w:tc>
          <w:tcPr>
            <w:tcW w:w="450" w:type="pct"/>
          </w:tcPr>
          <w:p w14:paraId="3C9269BB" w14:textId="129207C0"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7EF115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52451D9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DB89568"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325p</w:t>
            </w:r>
          </w:p>
          <w:p w14:paraId="7E8779AD" w14:textId="189E12A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Factorii de risc de marfă</w:t>
            </w:r>
          </w:p>
        </w:tc>
        <w:tc>
          <w:tcPr>
            <w:tcW w:w="1692" w:type="pct"/>
            <w:shd w:val="clear" w:color="auto" w:fill="auto"/>
          </w:tcPr>
          <w:p w14:paraId="2E53E679" w14:textId="68189CAB" w:rsidR="00D12468" w:rsidRPr="00C011B2" w:rsidRDefault="0084145D" w:rsidP="00D12468">
            <w:pPr>
              <w:spacing w:after="0" w:line="276" w:lineRule="auto"/>
              <w:jc w:val="both"/>
              <w:rPr>
                <w:rFonts w:ascii="Times New Roman" w:hAnsi="Times New Roman" w:cs="Times New Roman"/>
                <w:color w:val="000000" w:themeColor="text1"/>
                <w:lang w:val="ro-MD"/>
              </w:rPr>
            </w:pPr>
            <w:bookmarkStart w:id="174" w:name="_Hlk195091403"/>
            <w:r w:rsidRPr="00C011B2">
              <w:rPr>
                <w:rFonts w:ascii="Times New Roman" w:hAnsi="Times New Roman" w:cs="Times New Roman"/>
                <w:i/>
                <w:iCs/>
                <w:color w:val="000000" w:themeColor="text1"/>
                <w:lang w:val="ro-MD"/>
              </w:rPr>
              <w:t xml:space="preserve">Paragraful 5. </w:t>
            </w:r>
            <w:r w:rsidR="00D12468" w:rsidRPr="00C011B2">
              <w:rPr>
                <w:rFonts w:ascii="Times New Roman" w:hAnsi="Times New Roman" w:cs="Times New Roman"/>
                <w:b/>
                <w:bCs/>
                <w:color w:val="000000" w:themeColor="text1"/>
                <w:lang w:val="ro-MD"/>
              </w:rPr>
              <w:t>Factorii de risc de marfă</w:t>
            </w:r>
            <w:bookmarkEnd w:id="174"/>
          </w:p>
        </w:tc>
        <w:tc>
          <w:tcPr>
            <w:tcW w:w="450" w:type="pct"/>
          </w:tcPr>
          <w:p w14:paraId="63BD76EA"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7687C95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D20E9A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B350DE4" w14:textId="49A360E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Benzile pentru toți factorii de risc de marfă sunt benzile sectoriale menționate în secțiunea 6.</w:t>
            </w:r>
          </w:p>
        </w:tc>
        <w:tc>
          <w:tcPr>
            <w:tcW w:w="1692" w:type="pct"/>
            <w:shd w:val="clear" w:color="auto" w:fill="auto"/>
          </w:tcPr>
          <w:p w14:paraId="7D62B293" w14:textId="133F4BE0" w:rsidR="00D12468" w:rsidRPr="00C011B2" w:rsidRDefault="0084145D" w:rsidP="00D12468">
            <w:pPr>
              <w:spacing w:after="0" w:line="276" w:lineRule="auto"/>
              <w:jc w:val="both"/>
              <w:rPr>
                <w:rFonts w:ascii="Times New Roman" w:hAnsi="Times New Roman" w:cs="Times New Roman"/>
                <w:color w:val="000000" w:themeColor="text1"/>
                <w:lang w:val="ro-MD"/>
              </w:rPr>
            </w:pPr>
            <w:bookmarkStart w:id="175" w:name="_Hlk222988689"/>
            <w:r w:rsidRPr="00C011B2">
              <w:rPr>
                <w:rFonts w:ascii="Times New Roman" w:hAnsi="Times New Roman" w:cs="Times New Roman"/>
                <w:color w:val="000000" w:themeColor="text1"/>
                <w:lang w:val="ro-MD"/>
              </w:rPr>
              <w:t>189.</w:t>
            </w:r>
            <w:r w:rsidR="00D12468" w:rsidRPr="00C011B2">
              <w:rPr>
                <w:rFonts w:ascii="Times New Roman" w:hAnsi="Times New Roman" w:cs="Times New Roman"/>
                <w:color w:val="000000" w:themeColor="text1"/>
                <w:lang w:val="ro-MD"/>
              </w:rPr>
              <w:t>   Benzile pentru toți factorii de risc de marfă sunt benzile sectoriale menționate în secțiunea 6.</w:t>
            </w:r>
            <w:bookmarkEnd w:id="175"/>
          </w:p>
        </w:tc>
        <w:tc>
          <w:tcPr>
            <w:tcW w:w="450" w:type="pct"/>
          </w:tcPr>
          <w:p w14:paraId="4E69ADEF" w14:textId="0740086D"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7427F7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899148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F16DB12" w14:textId="7A0C627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Factorii de risc de marfă delta pe care instituțiile trebuie să îi aplice instrumentelor sensibile la mărfuri sunt toate prețurile spot ale mărfurilor pentru fiecare tip de marfă și pentru fiecare dintre următoarele scadențe: 0,25 ani, 0,5 ani, 1 an, 2 ani, 3 ani, 5 ani, 10 ani, 15 ani, 20 de ani, 30 de ani. Instituțiile consideră că două prețuri ale mărfurilor pentru același tip de marfă și cu aceeași scadență reprezintă același factor de risc numai în cazul în care toate clauzele juridice privind locul de livrare sunt identice.</w:t>
            </w:r>
          </w:p>
        </w:tc>
        <w:tc>
          <w:tcPr>
            <w:tcW w:w="1692" w:type="pct"/>
            <w:shd w:val="clear" w:color="auto" w:fill="auto"/>
          </w:tcPr>
          <w:p w14:paraId="4ADF06B3" w14:textId="62A9B014" w:rsidR="00D12468" w:rsidRPr="00C011B2" w:rsidRDefault="0084145D" w:rsidP="00D12468">
            <w:pPr>
              <w:spacing w:after="0" w:line="276" w:lineRule="auto"/>
              <w:jc w:val="both"/>
              <w:rPr>
                <w:rFonts w:ascii="Times New Roman" w:hAnsi="Times New Roman" w:cs="Times New Roman"/>
                <w:color w:val="000000" w:themeColor="text1"/>
                <w:lang w:val="ro-MD"/>
              </w:rPr>
            </w:pPr>
            <w:bookmarkStart w:id="176" w:name="_Hlk222988708"/>
            <w:r w:rsidRPr="00C011B2">
              <w:rPr>
                <w:rFonts w:ascii="Times New Roman" w:hAnsi="Times New Roman" w:cs="Times New Roman"/>
                <w:color w:val="000000" w:themeColor="text1"/>
                <w:lang w:val="ro-MD"/>
              </w:rPr>
              <w:t>190.</w:t>
            </w:r>
            <w:r w:rsidR="00D12468" w:rsidRPr="00C011B2">
              <w:rPr>
                <w:rFonts w:ascii="Times New Roman" w:hAnsi="Times New Roman" w:cs="Times New Roman"/>
                <w:color w:val="000000" w:themeColor="text1"/>
                <w:lang w:val="ro-MD"/>
              </w:rPr>
              <w:t xml:space="preserve">   Factorii de risc de marfă delta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instrumentelor sensibile la mărfuri sunt toate prețurile spot ale mărfurilor pentru fiecare tip de marfă și pentru fiecare dintre următoarele scadențe: 0,25 ani, 0,5 ani, 1 an, 2 ani, 3 ani, 5 ani, 10 ani, 15 ani, 20 de ani, 30 de ani.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consideră că două prețuri ale mărfurilor pentru același tip de marfă și cu aceeași scadență reprezintă același factor de risc numai în cazul în care toate clauzele juridice privind locul de livrare sunt identice.</w:t>
            </w:r>
            <w:bookmarkEnd w:id="176"/>
          </w:p>
        </w:tc>
        <w:tc>
          <w:tcPr>
            <w:tcW w:w="450" w:type="pct"/>
          </w:tcPr>
          <w:p w14:paraId="6910CD9A" w14:textId="32E3DA4B"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4AC7F36"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446FD34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CAA5AB" w14:textId="2F9DF57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Factorii de risc de marfă vega pe care instituțiile trebuie să îi aplice opțiunilor care au instrumente-suport care sunt sensibile la mărfuri sunt volatilitățile implicite ale prețurilor mărfurilor pentru fiecare tip de marfă, care sunt puse în corespondență cu următoarele scadențe în conformitate cu scadențele opțiunilor corespunzătoare care fac obiectul cerințelor de fonduri proprii: 0,5 ani, 1 an, 3 ani, 5 ani, 10 ani. Instituțiile consideră că sensibilitățile la același tip de marfă, puse în corespondență cu aceeași scadență reprezintă un singur factor de risc, pe care îl compensează.</w:t>
            </w:r>
          </w:p>
        </w:tc>
        <w:tc>
          <w:tcPr>
            <w:tcW w:w="1692" w:type="pct"/>
            <w:shd w:val="clear" w:color="auto" w:fill="auto"/>
          </w:tcPr>
          <w:p w14:paraId="484241E6" w14:textId="66F3BBA0" w:rsidR="00D12468" w:rsidRPr="00C011B2" w:rsidRDefault="009C069C" w:rsidP="00D12468">
            <w:pPr>
              <w:spacing w:after="0" w:line="276" w:lineRule="auto"/>
              <w:jc w:val="both"/>
              <w:rPr>
                <w:rFonts w:ascii="Times New Roman" w:hAnsi="Times New Roman" w:cs="Times New Roman"/>
                <w:color w:val="000000" w:themeColor="text1"/>
                <w:lang w:val="ro-MD"/>
              </w:rPr>
            </w:pPr>
            <w:bookmarkStart w:id="177" w:name="_Hlk222988726"/>
            <w:r w:rsidRPr="00C011B2">
              <w:rPr>
                <w:rFonts w:ascii="Times New Roman" w:hAnsi="Times New Roman" w:cs="Times New Roman"/>
                <w:color w:val="000000" w:themeColor="text1"/>
                <w:lang w:val="ro-MD"/>
              </w:rPr>
              <w:t>191.</w:t>
            </w:r>
            <w:r w:rsidR="00D12468" w:rsidRPr="00C011B2">
              <w:rPr>
                <w:rFonts w:ascii="Times New Roman" w:hAnsi="Times New Roman" w:cs="Times New Roman"/>
                <w:color w:val="000000" w:themeColor="text1"/>
                <w:lang w:val="ro-MD"/>
              </w:rPr>
              <w:t xml:space="preserve">   Factorii de risc de marfă vega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opțiunilor care au instrumente-suport care sunt sensibile la mărfuri sunt volatilitățile implicite ale prețurilor mărfurilor pentru fiecare tip de marfă, care sunt puse în corespondență cu următoarele scadențe în conformitate cu scadențele opțiunilor corespunzătoare care fac obiectul cerințelor de fonduri proprii: 0,5 ani, 1 an, 3 ani, 5 ani, 10 ani.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consideră că sensibilitățile la același tip de marfă, puse în corespondență cu aceeași scadență reprezintă un singur factor de risc, pe care îl compensează.</w:t>
            </w:r>
            <w:bookmarkEnd w:id="177"/>
          </w:p>
        </w:tc>
        <w:tc>
          <w:tcPr>
            <w:tcW w:w="450" w:type="pct"/>
          </w:tcPr>
          <w:p w14:paraId="30E6F7E9" w14:textId="3E8FEF80"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7C179F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66D477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EABFB9" w14:textId="0AE9BCC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Factorii de risc de marfă de curbură pe care instituțiile trebuie să îi aplice opțiunilor care au </w:t>
            </w:r>
            <w:r w:rsidRPr="00C011B2">
              <w:rPr>
                <w:rFonts w:ascii="Times New Roman" w:hAnsi="Times New Roman" w:cs="Times New Roman"/>
                <w:color w:val="000000" w:themeColor="text1"/>
                <w:lang w:val="ro-MD"/>
              </w:rPr>
              <w:lastRenderedPageBreak/>
              <w:t>instrumente-suport care sunt sensibile la mărfuri sunt reprezentați de un set de prețuri ale mărfurilor cu scadențe diferite pentru fiecare tip de marfă, exprimat sub formă de vector. Pentru fiecare instrument, vectorul cuprinde un număr de componente egal cu numărul de prețuri ale mărfii respective care sunt utilizate ca variabile de modelul de evaluare al instituției pentru respectivul instrument. Instituțiile nu fac distincție între prețurile mărfurilor în funcție de locul de livrare.</w:t>
            </w:r>
          </w:p>
          <w:p w14:paraId="05C96442" w14:textId="202D74E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instrumentului la fiecare factor de risc utilizat în formula riscului de curbură se calculează astfel cum se precizează la articolul 325g. În scopul calculării riscului de curbură, instituțiile consideră că vectorii care au un număr diferit de componente reprezintă același factor de risc cu condiția ca vectorii respectivi să corespundă aceluiași tip de marfă.</w:t>
            </w:r>
          </w:p>
        </w:tc>
        <w:tc>
          <w:tcPr>
            <w:tcW w:w="1692" w:type="pct"/>
            <w:shd w:val="clear" w:color="auto" w:fill="auto"/>
          </w:tcPr>
          <w:p w14:paraId="73B8F10C" w14:textId="5D2FF8C4" w:rsidR="00D12468" w:rsidRPr="00C011B2" w:rsidRDefault="009C069C" w:rsidP="00D12468">
            <w:pPr>
              <w:spacing w:after="0" w:line="276" w:lineRule="auto"/>
              <w:jc w:val="both"/>
              <w:rPr>
                <w:rFonts w:ascii="Times New Roman" w:hAnsi="Times New Roman" w:cs="Times New Roman"/>
                <w:color w:val="000000" w:themeColor="text1"/>
                <w:lang w:val="ro-MD"/>
              </w:rPr>
            </w:pPr>
            <w:bookmarkStart w:id="178" w:name="_Hlk222988747"/>
            <w:r w:rsidRPr="00C011B2">
              <w:rPr>
                <w:rFonts w:ascii="Times New Roman" w:hAnsi="Times New Roman" w:cs="Times New Roman"/>
                <w:color w:val="000000" w:themeColor="text1"/>
                <w:lang w:val="ro-MD"/>
              </w:rPr>
              <w:lastRenderedPageBreak/>
              <w:t>192.</w:t>
            </w:r>
            <w:r w:rsidR="00D12468" w:rsidRPr="00C011B2">
              <w:rPr>
                <w:rFonts w:ascii="Times New Roman" w:hAnsi="Times New Roman" w:cs="Times New Roman"/>
                <w:color w:val="000000" w:themeColor="text1"/>
                <w:lang w:val="ro-MD"/>
              </w:rPr>
              <w:t xml:space="preserve">   Factorii de risc de marfă de curbură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opțiunilor care au instrumente-suport </w:t>
            </w:r>
            <w:r w:rsidR="00D12468" w:rsidRPr="00C011B2">
              <w:rPr>
                <w:rFonts w:ascii="Times New Roman" w:hAnsi="Times New Roman" w:cs="Times New Roman"/>
                <w:color w:val="000000" w:themeColor="text1"/>
                <w:lang w:val="ro-MD"/>
              </w:rPr>
              <w:lastRenderedPageBreak/>
              <w:t xml:space="preserve">care sunt sensibile la mărfuri sunt reprezentați de un set de prețuri ale mărfurilor cu scadențe diferite pentru fiecare tip de marfă, exprimat sub formă de vector. Pentru fiecare instrument, vectorul cuprinde un număr de componente egal cu numărul de prețuri ale mărfii respective care sunt utilizate ca variabile de modelul de evaluare al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 xml:space="preserve">pentru respectivul instrument.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nu fac distincție între prețurile mărfurilor în funcție de locul de livrare.</w:t>
            </w:r>
          </w:p>
          <w:p w14:paraId="1A17DAAC" w14:textId="5ACAE299" w:rsidR="00D12468" w:rsidRPr="00C011B2" w:rsidRDefault="009C069C"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193. </w:t>
            </w:r>
            <w:r w:rsidR="00D12468" w:rsidRPr="00C011B2">
              <w:rPr>
                <w:rFonts w:ascii="Times New Roman" w:hAnsi="Times New Roman" w:cs="Times New Roman"/>
                <w:color w:val="000000" w:themeColor="text1"/>
                <w:lang w:val="ro-MD"/>
              </w:rPr>
              <w:t xml:space="preserve">Sensibilitatea instrumentului la fiecare factor de risc utilizat în formula riscului de curbură se calculează astfel cum se precizează la </w:t>
            </w:r>
            <w:r w:rsidRPr="00C011B2">
              <w:rPr>
                <w:rFonts w:ascii="Times New Roman" w:hAnsi="Times New Roman" w:cs="Times New Roman"/>
                <w:color w:val="000000" w:themeColor="text1"/>
                <w:lang w:val="ro-MD"/>
              </w:rPr>
              <w:t>secțiunea 2, subsecțiunea 4</w:t>
            </w:r>
            <w:r w:rsidR="00D12468" w:rsidRPr="00C011B2">
              <w:rPr>
                <w:rFonts w:ascii="Times New Roman" w:hAnsi="Times New Roman" w:cs="Times New Roman"/>
                <w:color w:val="000000" w:themeColor="text1"/>
                <w:lang w:val="ro-MD"/>
              </w:rPr>
              <w:t xml:space="preserve">. În scopul calculării riscului de curbură,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consideră că vectorii care au un număr diferit de componente reprezintă același factor de risc cu condiția ca vectorii respectivi să corespundă aceluiași tip de marfă.</w:t>
            </w:r>
            <w:bookmarkEnd w:id="178"/>
          </w:p>
        </w:tc>
        <w:tc>
          <w:tcPr>
            <w:tcW w:w="450" w:type="pct"/>
          </w:tcPr>
          <w:p w14:paraId="202CAFC9" w14:textId="6A3A2C16"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D60677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1E83B8B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7562F3"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325q</w:t>
            </w:r>
          </w:p>
          <w:p w14:paraId="1784B326" w14:textId="2FA86FB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Factorii de risc valutar</w:t>
            </w:r>
          </w:p>
        </w:tc>
        <w:tc>
          <w:tcPr>
            <w:tcW w:w="1692" w:type="pct"/>
            <w:shd w:val="clear" w:color="auto" w:fill="auto"/>
          </w:tcPr>
          <w:p w14:paraId="58D989BA" w14:textId="78586C0E" w:rsidR="00D12468" w:rsidRPr="00C011B2" w:rsidRDefault="009E33F6" w:rsidP="00D12468">
            <w:pPr>
              <w:spacing w:after="0" w:line="276" w:lineRule="auto"/>
              <w:jc w:val="both"/>
              <w:rPr>
                <w:rFonts w:ascii="Times New Roman" w:hAnsi="Times New Roman" w:cs="Times New Roman"/>
                <w:color w:val="000000" w:themeColor="text1"/>
                <w:lang w:val="ro-MD"/>
              </w:rPr>
            </w:pPr>
            <w:bookmarkStart w:id="179" w:name="_Hlk195091431"/>
            <w:r w:rsidRPr="00C011B2">
              <w:rPr>
                <w:rFonts w:ascii="Times New Roman" w:hAnsi="Times New Roman" w:cs="Times New Roman"/>
                <w:i/>
                <w:iCs/>
                <w:color w:val="000000" w:themeColor="text1"/>
                <w:lang w:val="ro-MD"/>
              </w:rPr>
              <w:t xml:space="preserve">Paragraful 6. </w:t>
            </w:r>
            <w:r w:rsidR="00D12468" w:rsidRPr="00C011B2">
              <w:rPr>
                <w:rFonts w:ascii="Times New Roman" w:hAnsi="Times New Roman" w:cs="Times New Roman"/>
                <w:b/>
                <w:bCs/>
                <w:color w:val="000000" w:themeColor="text1"/>
                <w:lang w:val="ro-MD"/>
              </w:rPr>
              <w:t>Factorii de risc valutar</w:t>
            </w:r>
            <w:bookmarkEnd w:id="179"/>
          </w:p>
        </w:tc>
        <w:tc>
          <w:tcPr>
            <w:tcW w:w="450" w:type="pct"/>
          </w:tcPr>
          <w:p w14:paraId="2C85850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194C487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1C5BA3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B42191"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8" w:tooltip="32021R0424: REPLACED" w:history="1">
              <w:r w:rsidR="00D12468" w:rsidRPr="00C011B2">
                <w:rPr>
                  <w:rStyle w:val="Hyperlink"/>
                  <w:rFonts w:ascii="Times New Roman" w:hAnsi="Times New Roman" w:cs="Times New Roman"/>
                  <w:b/>
                  <w:bCs/>
                  <w:lang w:val="ro-MD"/>
                </w:rPr>
                <w:t>▼M12</w:t>
              </w:r>
            </w:hyperlink>
          </w:p>
          <w:p w14:paraId="18B166AB" w14:textId="7203C4E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Factorii de risc valutar delta pe care instituțiile trebuie să îi aplice instrumentelor sensibile la schimbul valutar sunt toate ratele de schimb spot dintre moneda în care este denominat un instrument și moneda de raportare a instituției sau moneda de bază a instituției, </w:t>
            </w:r>
            <w:r w:rsidRPr="00C011B2">
              <w:rPr>
                <w:rFonts w:ascii="Times New Roman" w:hAnsi="Times New Roman" w:cs="Times New Roman"/>
                <w:color w:val="000000" w:themeColor="text1"/>
                <w:lang w:val="ro-MD"/>
              </w:rPr>
              <w:lastRenderedPageBreak/>
              <w:t>în cazul în care instituția utilizează o monedă de bază în conformitate cu alineatul (7). Pentru fiecare pereche de monede există o singură bandă, care cuprinde un singur factor de risc și o singură sensibilitate netă.</w:t>
            </w:r>
          </w:p>
        </w:tc>
        <w:tc>
          <w:tcPr>
            <w:tcW w:w="1692" w:type="pct"/>
            <w:shd w:val="clear" w:color="auto" w:fill="auto"/>
          </w:tcPr>
          <w:p w14:paraId="68BC72D4" w14:textId="1B8FEE03"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194.</w:t>
            </w:r>
            <w:r w:rsidR="00D12468" w:rsidRPr="00C011B2">
              <w:rPr>
                <w:rFonts w:ascii="Times New Roman" w:hAnsi="Times New Roman" w:cs="Times New Roman"/>
                <w:color w:val="000000" w:themeColor="text1"/>
                <w:lang w:val="ro-MD"/>
              </w:rPr>
              <w:t xml:space="preserve">   Factorii de risc valutar delta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instrumentelor sensibile la schimbul valutar sunt toate ratele de schimb spot dintre moneda în care este denominat un instrument și moneda de raportare a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 xml:space="preserve">sau moneda de bază a </w:t>
            </w:r>
            <w:r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 xml:space="preserve">, în cazul în care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utilizează o monedă de bază în conformitate cu</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pct.200</w:t>
            </w:r>
            <w:r w:rsidR="00D12468" w:rsidRPr="00C011B2">
              <w:rPr>
                <w:rFonts w:ascii="Times New Roman" w:hAnsi="Times New Roman" w:cs="Times New Roman"/>
                <w:color w:val="000000" w:themeColor="text1"/>
                <w:lang w:val="ro-MD"/>
              </w:rPr>
              <w:t xml:space="preserve">. </w:t>
            </w:r>
            <w:r w:rsidR="00D12468" w:rsidRPr="00C011B2">
              <w:rPr>
                <w:rFonts w:ascii="Times New Roman" w:hAnsi="Times New Roman" w:cs="Times New Roman"/>
                <w:color w:val="000000" w:themeColor="text1"/>
                <w:lang w:val="ro-MD"/>
              </w:rPr>
              <w:lastRenderedPageBreak/>
              <w:t>Pentru fiecare pereche de monede există o singură bandă, care cuprinde un singur factor de risc și o singură sensibilitate netă.</w:t>
            </w:r>
          </w:p>
        </w:tc>
        <w:tc>
          <w:tcPr>
            <w:tcW w:w="450" w:type="pct"/>
          </w:tcPr>
          <w:p w14:paraId="208E1E83" w14:textId="25938CF9"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73545D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77335C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7B908F"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49" w:tooltip="32024R1623: REPLACED" w:history="1">
              <w:r w:rsidR="00D12468" w:rsidRPr="00C011B2">
                <w:rPr>
                  <w:rStyle w:val="Hyperlink"/>
                  <w:rFonts w:ascii="Times New Roman" w:hAnsi="Times New Roman" w:cs="Times New Roman"/>
                  <w:b/>
                  <w:bCs/>
                  <w:lang w:val="ro-MD"/>
                </w:rPr>
                <w:t>▼M17</w:t>
              </w:r>
            </w:hyperlink>
          </w:p>
          <w:p w14:paraId="17187508" w14:textId="1F617DC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Factorii de risc valutar vega pe care instituțiile trebuie să îi aplice opțiunilor care au instrumente-suport sensibile la schimbul valutar sunt volatilitățile implicite ale ratelor de schimb valutar dintre perechile de monede. Aceste volatilități implicite sunt puse în corespondență cu următoarele scadențe în conformitate cu scadențele opțiunilor corespunzătoare care fac obiectul cerințelor de fonduri proprii: 0,5 ani, 1 an, 3 ani, 5 ani și 10 ani.</w:t>
            </w:r>
          </w:p>
        </w:tc>
        <w:tc>
          <w:tcPr>
            <w:tcW w:w="1692" w:type="pct"/>
            <w:shd w:val="clear" w:color="auto" w:fill="auto"/>
          </w:tcPr>
          <w:p w14:paraId="204E636A" w14:textId="63C9FE81"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195.</w:t>
            </w:r>
            <w:r w:rsidR="00D12468" w:rsidRPr="00C011B2">
              <w:rPr>
                <w:rFonts w:ascii="Times New Roman" w:hAnsi="Times New Roman" w:cs="Times New Roman"/>
                <w:color w:val="000000" w:themeColor="text1"/>
                <w:lang w:val="ro-MD"/>
              </w:rPr>
              <w:t xml:space="preserve">   Factorii de risc valutar vega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trebuie să îi aplice opțiunilor care au instrumente-suport sensibile la schimbul valutar sunt volatilitățile implicite ale ratelor de schimb valutar dintre perechile de monede. Aceste volatilități implicite sunt puse în corespondență cu următoarele scadențe în conformitate cu scadențele opțiunilor corespunzătoare care fac obiectul cerințelor de fonduri proprii: 0,5 ani, 1 an, 3 ani, 5 ani și 10 ani.</w:t>
            </w:r>
          </w:p>
        </w:tc>
        <w:tc>
          <w:tcPr>
            <w:tcW w:w="450" w:type="pct"/>
          </w:tcPr>
          <w:p w14:paraId="7A489320" w14:textId="2290E630"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D41269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8461D9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320199E"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50" w:tooltip="32021R0424: REPLACED" w:history="1">
              <w:r w:rsidR="00D12468" w:rsidRPr="00C011B2">
                <w:rPr>
                  <w:rStyle w:val="Hyperlink"/>
                  <w:rFonts w:ascii="Times New Roman" w:hAnsi="Times New Roman" w:cs="Times New Roman"/>
                  <w:b/>
                  <w:bCs/>
                  <w:lang w:val="ro-MD"/>
                </w:rPr>
                <w:t>▼M12</w:t>
              </w:r>
            </w:hyperlink>
          </w:p>
          <w:p w14:paraId="33E2A5F3" w14:textId="4B4C784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Factorii de risc valutar de curbură pe care instituțiile trebuie să îi aplice instrumentelor care au elemente-suport sensibile la schimbul valutar sunt factorii de risc valutar delta menționați la alineatul (1).</w:t>
            </w:r>
          </w:p>
        </w:tc>
        <w:tc>
          <w:tcPr>
            <w:tcW w:w="1692" w:type="pct"/>
            <w:shd w:val="clear" w:color="auto" w:fill="auto"/>
          </w:tcPr>
          <w:p w14:paraId="19051AAB" w14:textId="7F7F23F1"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196.</w:t>
            </w:r>
            <w:r w:rsidR="00D12468" w:rsidRPr="00C011B2">
              <w:rPr>
                <w:rFonts w:ascii="Times New Roman" w:hAnsi="Times New Roman" w:cs="Times New Roman"/>
                <w:color w:val="000000" w:themeColor="text1"/>
                <w:lang w:val="ro-MD"/>
              </w:rPr>
              <w:t xml:space="preserve">   Factorii de risc valutar de curbură pe care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trebuie să îi aplice instrumentelor care au elemente-suport sensibile la schimbul valutar sunt factorii de risc valutar delta menționați la </w:t>
            </w:r>
            <w:r w:rsidRPr="00C011B2">
              <w:rPr>
                <w:rFonts w:ascii="Times New Roman" w:hAnsi="Times New Roman" w:cs="Times New Roman"/>
                <w:color w:val="000000" w:themeColor="text1"/>
                <w:lang w:val="ro-MD"/>
              </w:rPr>
              <w:t>pct.194</w:t>
            </w:r>
            <w:r w:rsidR="00D12468" w:rsidRPr="00C011B2">
              <w:rPr>
                <w:rFonts w:ascii="Times New Roman" w:hAnsi="Times New Roman" w:cs="Times New Roman"/>
                <w:color w:val="000000" w:themeColor="text1"/>
                <w:lang w:val="ro-MD"/>
              </w:rPr>
              <w:t>.</w:t>
            </w:r>
          </w:p>
        </w:tc>
        <w:tc>
          <w:tcPr>
            <w:tcW w:w="450" w:type="pct"/>
          </w:tcPr>
          <w:p w14:paraId="73DCDF38" w14:textId="6E448941"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B6C640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77A950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0BF992"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51" w:tooltip="32019R0876: INSERTED" w:history="1">
              <w:r w:rsidR="00D12468" w:rsidRPr="00C011B2">
                <w:rPr>
                  <w:rStyle w:val="Hyperlink"/>
                  <w:rFonts w:ascii="Times New Roman" w:hAnsi="Times New Roman" w:cs="Times New Roman"/>
                  <w:b/>
                  <w:bCs/>
                  <w:lang w:val="ro-MD"/>
                </w:rPr>
                <w:t>▼M8</w:t>
              </w:r>
            </w:hyperlink>
          </w:p>
          <w:p w14:paraId="4CDAE5E7" w14:textId="13B2D89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Instituțiile nu au obligația de a face distincție între variantele „onshore” și „offshore” ale unei monede pentru toți factorii de risc valutar delta, vega și de curbură.</w:t>
            </w:r>
          </w:p>
        </w:tc>
        <w:tc>
          <w:tcPr>
            <w:tcW w:w="1692" w:type="pct"/>
            <w:shd w:val="clear" w:color="auto" w:fill="auto"/>
          </w:tcPr>
          <w:p w14:paraId="04B2B99F" w14:textId="1821BA63"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197.</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nu au obligația de a face distincție între variantele „onshore” și „offshore” ale unei monede pentru toți factorii de risc valutar delta, vega și de curbură.</w:t>
            </w:r>
          </w:p>
        </w:tc>
        <w:tc>
          <w:tcPr>
            <w:tcW w:w="450" w:type="pct"/>
          </w:tcPr>
          <w:p w14:paraId="5787AF0D" w14:textId="520E391F"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B53589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F9F3D7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1001B9C"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52" w:tooltip="32021R0424: INSERTED" w:history="1">
              <w:r w:rsidR="00D12468" w:rsidRPr="00C011B2">
                <w:rPr>
                  <w:rStyle w:val="Hyperlink"/>
                  <w:rFonts w:ascii="Times New Roman" w:hAnsi="Times New Roman" w:cs="Times New Roman"/>
                  <w:b/>
                  <w:bCs/>
                  <w:lang w:val="ro-MD"/>
                </w:rPr>
                <w:t>▼M12</w:t>
              </w:r>
            </w:hyperlink>
          </w:p>
          <w:p w14:paraId="6672FD4E" w14:textId="44F601B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În cazul în care cursul de schimb care este elementul-suport al unui instrument i care face obiectul cerințelor de fonduri proprii pentru riscurile de curbură nu se raportează la moneda de raportare a instituției și nici la moneda de bază a instituției, instituția poate împărți la 1,5 componentele corespunzătoare </w:t>
            </w:r>
            <w:r w:rsidRPr="00C011B2">
              <w:rPr>
                <w:rFonts w:ascii="Times New Roman" w:hAnsi="Times New Roman" w:cs="Times New Roman"/>
                <w:noProof/>
                <w:color w:val="000000" w:themeColor="text1"/>
                <w:lang w:val="ro-MD"/>
              </w:rPr>
              <w:drawing>
                <wp:inline distT="0" distB="0" distL="0" distR="0" wp14:anchorId="298BDEFC" wp14:editId="7E2A72BA">
                  <wp:extent cx="311150" cy="120650"/>
                  <wp:effectExtent l="0" t="0" r="0" b="0"/>
                  <wp:docPr id="34" name="Picture 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1150" cy="120650"/>
                          </a:xfrm>
                          <a:prstGeom prst="rect">
                            <a:avLst/>
                          </a:prstGeom>
                          <a:noFill/>
                          <a:ln>
                            <a:noFill/>
                          </a:ln>
                        </pic:spPr>
                      </pic:pic>
                    </a:graphicData>
                  </a:graphic>
                </wp:inline>
              </w:drawing>
            </w:r>
            <w:r w:rsidRPr="00C011B2">
              <w:rPr>
                <w:rFonts w:ascii="Times New Roman" w:hAnsi="Times New Roman" w:cs="Times New Roman"/>
                <w:color w:val="000000" w:themeColor="text1"/>
                <w:lang w:val="ro-MD"/>
              </w:rPr>
              <w:t>și </w:t>
            </w:r>
            <w:r w:rsidRPr="00C011B2">
              <w:rPr>
                <w:rFonts w:ascii="Times New Roman" w:hAnsi="Times New Roman" w:cs="Times New Roman"/>
                <w:noProof/>
                <w:color w:val="000000" w:themeColor="text1"/>
                <w:lang w:val="ro-MD"/>
              </w:rPr>
              <w:drawing>
                <wp:inline distT="0" distB="0" distL="0" distR="0" wp14:anchorId="75F63299" wp14:editId="19AC32ED">
                  <wp:extent cx="311150" cy="139700"/>
                  <wp:effectExtent l="0" t="0" r="0" b="0"/>
                  <wp:docPr id="33" name="Picture 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15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prevăzute la articolul 325g alineatul (2) pentru care </w:t>
            </w:r>
            <w:r w:rsidRPr="00C011B2">
              <w:rPr>
                <w:rFonts w:ascii="Times New Roman" w:hAnsi="Times New Roman" w:cs="Times New Roman"/>
                <w:i/>
                <w:iCs/>
                <w:color w:val="000000" w:themeColor="text1"/>
                <w:lang w:val="ro-MD"/>
              </w:rPr>
              <w:t>x</w:t>
            </w:r>
            <w:r w:rsidRPr="00C011B2">
              <w:rPr>
                <w:rFonts w:ascii="Times New Roman" w:hAnsi="Times New Roman" w:cs="Times New Roman"/>
                <w:i/>
                <w:iCs/>
                <w:color w:val="000000" w:themeColor="text1"/>
                <w:vertAlign w:val="subscript"/>
                <w:lang w:val="ro-MD"/>
              </w:rPr>
              <w:t>k</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este factorul de risc de schimb valutar între una dintre cele două monede ale elementului-suport și moneda de raportare sau moneda de bază a instituției, după caz.</w:t>
            </w:r>
          </w:p>
        </w:tc>
        <w:tc>
          <w:tcPr>
            <w:tcW w:w="1692" w:type="pct"/>
            <w:shd w:val="clear" w:color="auto" w:fill="auto"/>
          </w:tcPr>
          <w:p w14:paraId="646C889A" w14:textId="1CEA31D7"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198.</w:t>
            </w:r>
            <w:r w:rsidR="00D12468" w:rsidRPr="00C011B2">
              <w:rPr>
                <w:rFonts w:ascii="Times New Roman" w:hAnsi="Times New Roman" w:cs="Times New Roman"/>
                <w:color w:val="000000" w:themeColor="text1"/>
                <w:lang w:val="ro-MD"/>
              </w:rPr>
              <w:t xml:space="preserve">   În cazul în care cursul de schimb care este elementul-suport al unui instrument i care face obiectul cerințelor de fonduri proprii pentru riscurile de curbură nu se raportează la moneda de raportare a </w:t>
            </w:r>
            <w:r w:rsidR="000C5098"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 xml:space="preserve">și nici la moneda de bază a </w:t>
            </w:r>
            <w:r w:rsidR="000C5098"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 xml:space="preserve">, </w:t>
            </w:r>
            <w:r w:rsidR="000C5098"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poate împărți la 1,5 componentele corespunzătoare </w:t>
            </w:r>
            <w:r w:rsidR="00D12468" w:rsidRPr="00C011B2">
              <w:rPr>
                <w:rFonts w:ascii="Times New Roman" w:hAnsi="Times New Roman" w:cs="Times New Roman"/>
                <w:noProof/>
                <w:color w:val="000000" w:themeColor="text1"/>
                <w:lang w:val="ro-MD"/>
              </w:rPr>
              <w:drawing>
                <wp:inline distT="0" distB="0" distL="0" distR="0" wp14:anchorId="4930AD3A" wp14:editId="463C7DA0">
                  <wp:extent cx="311150" cy="120650"/>
                  <wp:effectExtent l="0" t="0" r="0" b="0"/>
                  <wp:docPr id="134" name="Picture 13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1150" cy="12065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și </w:t>
            </w:r>
            <w:r w:rsidR="00D12468" w:rsidRPr="00C011B2">
              <w:rPr>
                <w:rFonts w:ascii="Times New Roman" w:hAnsi="Times New Roman" w:cs="Times New Roman"/>
                <w:noProof/>
                <w:color w:val="000000" w:themeColor="text1"/>
                <w:lang w:val="ro-MD"/>
              </w:rPr>
              <w:drawing>
                <wp:inline distT="0" distB="0" distL="0" distR="0" wp14:anchorId="1CBF16D2" wp14:editId="248CBD07">
                  <wp:extent cx="311150" cy="139700"/>
                  <wp:effectExtent l="0" t="0" r="0" b="0"/>
                  <wp:docPr id="135" name="Picture 1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150" cy="1397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 xml:space="preserve"> prevăzute la </w:t>
            </w:r>
            <w:r w:rsidR="00A953D1" w:rsidRPr="00C011B2">
              <w:rPr>
                <w:rFonts w:ascii="Times New Roman" w:hAnsi="Times New Roman" w:cs="Times New Roman"/>
                <w:color w:val="000000" w:themeColor="text1"/>
                <w:lang w:val="ro-MD"/>
              </w:rPr>
              <w:t>pct.122</w:t>
            </w:r>
            <w:r w:rsidR="00D12468" w:rsidRPr="00C011B2">
              <w:rPr>
                <w:rFonts w:ascii="Times New Roman" w:hAnsi="Times New Roman" w:cs="Times New Roman"/>
                <w:color w:val="000000" w:themeColor="text1"/>
                <w:lang w:val="ro-MD"/>
              </w:rPr>
              <w:t xml:space="preserve"> pentru care </w:t>
            </w:r>
            <w:r w:rsidR="00D12468" w:rsidRPr="00C011B2">
              <w:rPr>
                <w:rFonts w:ascii="Times New Roman" w:hAnsi="Times New Roman" w:cs="Times New Roman"/>
                <w:i/>
                <w:iCs/>
                <w:color w:val="000000" w:themeColor="text1"/>
                <w:lang w:val="ro-MD"/>
              </w:rPr>
              <w:t>x</w:t>
            </w:r>
            <w:r w:rsidR="00D12468" w:rsidRPr="00C011B2">
              <w:rPr>
                <w:rFonts w:ascii="Times New Roman" w:hAnsi="Times New Roman" w:cs="Times New Roman"/>
                <w:i/>
                <w:iCs/>
                <w:color w:val="000000" w:themeColor="text1"/>
                <w:vertAlign w:val="subscript"/>
                <w:lang w:val="ro-MD"/>
              </w:rPr>
              <w:t>k</w:t>
            </w:r>
            <w:r w:rsidR="00D12468" w:rsidRPr="00C011B2">
              <w:rPr>
                <w:rFonts w:ascii="Times New Roman" w:hAnsi="Times New Roman" w:cs="Times New Roman"/>
                <w:i/>
                <w:iCs/>
                <w:color w:val="000000" w:themeColor="text1"/>
                <w:lang w:val="ro-MD"/>
              </w:rPr>
              <w:t> </w:t>
            </w:r>
            <w:r w:rsidR="00D12468" w:rsidRPr="00C011B2">
              <w:rPr>
                <w:rFonts w:ascii="Times New Roman" w:hAnsi="Times New Roman" w:cs="Times New Roman"/>
                <w:color w:val="000000" w:themeColor="text1"/>
                <w:lang w:val="ro-MD"/>
              </w:rPr>
              <w:t xml:space="preserve">este factorul de risc de schimb valutar între una dintre cele două monede ale elementului-suport și moneda de raportare sau moneda de bază a </w:t>
            </w:r>
            <w:r w:rsidR="000C5098"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 după caz.</w:t>
            </w:r>
          </w:p>
        </w:tc>
        <w:tc>
          <w:tcPr>
            <w:tcW w:w="450" w:type="pct"/>
          </w:tcPr>
          <w:p w14:paraId="32C17209" w14:textId="08C2EDEF"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24080F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4ECB4D3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E08F2C" w14:textId="30F7CE1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Cu permisiunea autorității sale competente, instituția poate împărți la 1,5 componentele </w:t>
            </w:r>
            <w:r w:rsidRPr="00C011B2">
              <w:rPr>
                <w:rFonts w:ascii="Times New Roman" w:hAnsi="Times New Roman" w:cs="Times New Roman"/>
                <w:noProof/>
                <w:color w:val="000000" w:themeColor="text1"/>
                <w:lang w:val="ro-MD"/>
              </w:rPr>
              <w:drawing>
                <wp:inline distT="0" distB="0" distL="0" distR="0" wp14:anchorId="76C5EEBF" wp14:editId="26BC6573">
                  <wp:extent cx="292100" cy="127000"/>
                  <wp:effectExtent l="0" t="0" r="0" b="6350"/>
                  <wp:docPr id="36" name="Picture 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și </w:t>
            </w:r>
            <w:r w:rsidRPr="00C011B2">
              <w:rPr>
                <w:rFonts w:ascii="Times New Roman" w:hAnsi="Times New Roman" w:cs="Times New Roman"/>
                <w:noProof/>
                <w:color w:val="000000" w:themeColor="text1"/>
                <w:lang w:val="ro-MD"/>
              </w:rPr>
              <w:drawing>
                <wp:inline distT="0" distB="0" distL="0" distR="0" wp14:anchorId="2265075B" wp14:editId="6685668F">
                  <wp:extent cx="292100" cy="139700"/>
                  <wp:effectExtent l="0" t="0" r="0" b="0"/>
                  <wp:docPr id="35" name="Picture 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prevăzute la articolul 325g alineatul (2) în mod consecvent pentru toți factorii de risc valutar ai instrumentelor care se raportează la cursul de schimb și care fac obiectul cerinței de fonduri proprii pentru riscul de curbură, cu condiția ca factorii de risc valutar bazați, după caz, pe moneda de raportare a instituției sau pe moneda de bază a instituției care sunt incluși în calculul componentelor respective să facă obiectul unei variații simultane.</w:t>
            </w:r>
          </w:p>
        </w:tc>
        <w:tc>
          <w:tcPr>
            <w:tcW w:w="1692" w:type="pct"/>
            <w:shd w:val="clear" w:color="auto" w:fill="auto"/>
          </w:tcPr>
          <w:p w14:paraId="61E13BFC" w14:textId="3EC9C25D"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199.</w:t>
            </w:r>
            <w:r w:rsidR="00D12468" w:rsidRPr="00C011B2">
              <w:rPr>
                <w:rFonts w:ascii="Times New Roman" w:hAnsi="Times New Roman" w:cs="Times New Roman"/>
                <w:color w:val="000000" w:themeColor="text1"/>
                <w:lang w:val="ro-MD"/>
              </w:rPr>
              <w:t xml:space="preserve">   Cu permisiunea </w:t>
            </w:r>
            <w:r w:rsidR="000C5098"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w:t>
            </w:r>
            <w:r w:rsidR="000C5098"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poate împărți la 1,5 componentele </w:t>
            </w:r>
            <w:r w:rsidR="00D12468" w:rsidRPr="00C011B2">
              <w:rPr>
                <w:rFonts w:ascii="Times New Roman" w:hAnsi="Times New Roman" w:cs="Times New Roman"/>
                <w:noProof/>
                <w:color w:val="000000" w:themeColor="text1"/>
                <w:lang w:val="ro-MD"/>
              </w:rPr>
              <w:drawing>
                <wp:inline distT="0" distB="0" distL="0" distR="0" wp14:anchorId="612EFDC5" wp14:editId="4FAACCF3">
                  <wp:extent cx="292100" cy="127000"/>
                  <wp:effectExtent l="0" t="0" r="0" b="6350"/>
                  <wp:docPr id="136" name="Picture 1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și </w:t>
            </w:r>
            <w:r w:rsidR="00D12468" w:rsidRPr="00C011B2">
              <w:rPr>
                <w:rFonts w:ascii="Times New Roman" w:hAnsi="Times New Roman" w:cs="Times New Roman"/>
                <w:noProof/>
                <w:color w:val="000000" w:themeColor="text1"/>
                <w:lang w:val="ro-MD"/>
              </w:rPr>
              <w:drawing>
                <wp:inline distT="0" distB="0" distL="0" distR="0" wp14:anchorId="04FAF2F3" wp14:editId="3E975BD5">
                  <wp:extent cx="292100" cy="139700"/>
                  <wp:effectExtent l="0" t="0" r="0" b="0"/>
                  <wp:docPr id="137" name="Picture 1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 cy="139700"/>
                          </a:xfrm>
                          <a:prstGeom prst="rect">
                            <a:avLst/>
                          </a:prstGeom>
                          <a:noFill/>
                          <a:ln>
                            <a:noFill/>
                          </a:ln>
                        </pic:spPr>
                      </pic:pic>
                    </a:graphicData>
                  </a:graphic>
                </wp:inline>
              </w:drawing>
            </w:r>
            <w:r w:rsidR="00D12468" w:rsidRPr="00C011B2">
              <w:rPr>
                <w:rFonts w:ascii="Times New Roman" w:hAnsi="Times New Roman" w:cs="Times New Roman"/>
                <w:color w:val="000000" w:themeColor="text1"/>
                <w:lang w:val="ro-MD"/>
              </w:rPr>
              <w:t xml:space="preserve"> prevăzute la </w:t>
            </w:r>
            <w:r w:rsidR="00A953D1" w:rsidRPr="00C011B2">
              <w:rPr>
                <w:rFonts w:ascii="Times New Roman" w:hAnsi="Times New Roman" w:cs="Times New Roman"/>
                <w:color w:val="000000" w:themeColor="text1"/>
                <w:lang w:val="ro-MD"/>
              </w:rPr>
              <w:t>pct.122</w:t>
            </w:r>
            <w:r w:rsidR="00D12468" w:rsidRPr="00C011B2">
              <w:rPr>
                <w:rFonts w:ascii="Times New Roman" w:hAnsi="Times New Roman" w:cs="Times New Roman"/>
                <w:color w:val="000000" w:themeColor="text1"/>
                <w:lang w:val="ro-MD"/>
              </w:rPr>
              <w:t xml:space="preserve"> în mod consecvent pentru toți factorii de risc valutar ai instrumentelor care se raportează la cursul de schimb și care fac obiectul cerinței de fonduri proprii pentru riscul de curbură, cu condiția ca factorii de risc valutar bazați, după caz, pe moneda de raportare a </w:t>
            </w:r>
            <w:r w:rsidR="000C5098"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 xml:space="preserve">sau pe moneda de bază a </w:t>
            </w:r>
            <w:r w:rsidR="000C5098"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care sunt incluși în calculul componentelor respective să facă obiectul unei variații simultane.</w:t>
            </w:r>
          </w:p>
        </w:tc>
        <w:tc>
          <w:tcPr>
            <w:tcW w:w="450" w:type="pct"/>
          </w:tcPr>
          <w:p w14:paraId="18C72ACF" w14:textId="392E9728"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BC20F22"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104D1D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135AA8B" w14:textId="2163BAD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(7)   Prin derogare de la alineatele (1) și (3), cu permisiunea autorității sale competente, o instituție </w:t>
            </w:r>
            <w:r w:rsidRPr="00C011B2">
              <w:rPr>
                <w:rFonts w:ascii="Times New Roman" w:hAnsi="Times New Roman" w:cs="Times New Roman"/>
                <w:color w:val="000000" w:themeColor="text1"/>
                <w:lang w:val="ro-MD"/>
              </w:rPr>
              <w:lastRenderedPageBreak/>
              <w:t>poate înlocui moneda sa de raportare cu o altă monedă („moneda de bază”) în toate cursurile de schimb spot pentru a exprima factorii de risc valutar delta și de curbură în cazul în care sunt îndeplinite toate condițiile următoare:</w:t>
            </w:r>
          </w:p>
          <w:p w14:paraId="6BD75B8B" w14:textId="0A04A9E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instituția utilizează o singură monedă de bază;</w:t>
            </w:r>
          </w:p>
          <w:p w14:paraId="09F5C9F3" w14:textId="6FF6963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instituția aplică moneda de bază în mod consecvent tuturor pozițiilor sale din portofoliul de tranzacționare și din afara acestuia;</w:t>
            </w:r>
          </w:p>
          <w:p w14:paraId="050833C8" w14:textId="61EEE9D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instituția a demonstrat în mod satisfăcător autorității competente că:</w:t>
            </w:r>
          </w:p>
          <w:p w14:paraId="5B3A67A7" w14:textId="258DE02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utilizarea monedei de bază alese oferă o reprezentare adecvată a riscurilor pentru pozițiile instituției care prezintă riscuri valutare;</w:t>
            </w:r>
          </w:p>
          <w:p w14:paraId="338EF7C8" w14:textId="4EDD2C7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moneda de bază aleasă este compatibilă cu modul în care instituția gestionează aceste riscuri valutare la nivel intern;</w:t>
            </w:r>
          </w:p>
          <w:p w14:paraId="23B786DB" w14:textId="15FF5AC0"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alegerea monedei de bază nu este motivată în principal de dorința de a diminua cerințele de fonduri proprii ale instituției;</w:t>
            </w:r>
          </w:p>
          <w:p w14:paraId="4307A7A7" w14:textId="00492DD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instituția ține cont de riscul de conversie dintre moneda de raportare și moneda de bază.</w:t>
            </w:r>
          </w:p>
          <w:p w14:paraId="5313442E" w14:textId="1270BD3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 instituție care a fost autorizată să utilizeze o monedă de bază astfel cum se prevede la primul paragraf convertește cerințele de fonduri proprii rezultate pentru </w:t>
            </w:r>
            <w:r w:rsidRPr="00C011B2">
              <w:rPr>
                <w:rFonts w:ascii="Times New Roman" w:hAnsi="Times New Roman" w:cs="Times New Roman"/>
                <w:color w:val="000000" w:themeColor="text1"/>
                <w:lang w:val="ro-MD"/>
              </w:rPr>
              <w:lastRenderedPageBreak/>
              <w:t>riscul valutar în moneda de raportare utilizând cursul de schimb spot predominant dintre moneda de bază și moneda de raportare.</w:t>
            </w:r>
          </w:p>
        </w:tc>
        <w:tc>
          <w:tcPr>
            <w:tcW w:w="1692" w:type="pct"/>
            <w:shd w:val="clear" w:color="auto" w:fill="auto"/>
          </w:tcPr>
          <w:p w14:paraId="015D7029" w14:textId="37B5CC2C"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200.</w:t>
            </w:r>
            <w:r w:rsidR="00D12468" w:rsidRPr="00C011B2">
              <w:rPr>
                <w:rFonts w:ascii="Times New Roman" w:hAnsi="Times New Roman" w:cs="Times New Roman"/>
                <w:color w:val="000000" w:themeColor="text1"/>
                <w:lang w:val="ro-MD"/>
              </w:rPr>
              <w:t xml:space="preserve">   Prin derogare de la </w:t>
            </w:r>
            <w:r w:rsidR="000C5098" w:rsidRPr="00C011B2">
              <w:rPr>
                <w:rFonts w:ascii="Times New Roman" w:hAnsi="Times New Roman" w:cs="Times New Roman"/>
                <w:color w:val="000000" w:themeColor="text1"/>
                <w:lang w:val="ro-MD"/>
              </w:rPr>
              <w:t>pct.194</w:t>
            </w:r>
            <w:r w:rsidR="00D12468" w:rsidRPr="00C011B2">
              <w:rPr>
                <w:rFonts w:ascii="Times New Roman" w:hAnsi="Times New Roman" w:cs="Times New Roman"/>
                <w:color w:val="000000" w:themeColor="text1"/>
                <w:lang w:val="ro-MD"/>
              </w:rPr>
              <w:t xml:space="preserve"> și </w:t>
            </w:r>
            <w:r w:rsidR="000C5098" w:rsidRPr="00C011B2">
              <w:rPr>
                <w:rFonts w:ascii="Times New Roman" w:hAnsi="Times New Roman" w:cs="Times New Roman"/>
                <w:color w:val="000000" w:themeColor="text1"/>
                <w:lang w:val="ro-MD"/>
              </w:rPr>
              <w:t>196</w:t>
            </w:r>
            <w:r w:rsidR="00D12468" w:rsidRPr="00C011B2">
              <w:rPr>
                <w:rFonts w:ascii="Times New Roman" w:hAnsi="Times New Roman" w:cs="Times New Roman"/>
                <w:color w:val="000000" w:themeColor="text1"/>
                <w:lang w:val="ro-MD"/>
              </w:rPr>
              <w:t xml:space="preserve">, cu permisiunea </w:t>
            </w:r>
            <w:r w:rsidR="000C5098"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o </w:t>
            </w:r>
            <w:r w:rsidR="000C5098"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poate înlocui moneda sa de raportare cu o </w:t>
            </w:r>
            <w:r w:rsidR="00D12468" w:rsidRPr="00C011B2">
              <w:rPr>
                <w:rFonts w:ascii="Times New Roman" w:hAnsi="Times New Roman" w:cs="Times New Roman"/>
                <w:color w:val="000000" w:themeColor="text1"/>
                <w:lang w:val="ro-MD"/>
              </w:rPr>
              <w:lastRenderedPageBreak/>
              <w:t>altă monedă („moneda de bază”) în toate cursurile de schimb spot pentru a exprima factorii de risc valutar delta și de curbură în cazul în care sunt îndeplinite toate condițiile următoare:</w:t>
            </w:r>
          </w:p>
          <w:p w14:paraId="78A48CA3" w14:textId="7D056D33"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200.1.</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utilizează o singură monedă de bază;</w:t>
            </w:r>
          </w:p>
          <w:p w14:paraId="5BB44ED0" w14:textId="00F272B8"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200.2.</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aplică moneda de bază în mod consecvent tuturor pozițiilor sale din portofoliul de tranzacționare și din afara acestuia;</w:t>
            </w:r>
          </w:p>
          <w:p w14:paraId="2F4061D9" w14:textId="268F2909"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200.3.</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a demonstrat în mod satisfăcător </w:t>
            </w:r>
            <w:r w:rsidRPr="00C011B2">
              <w:rPr>
                <w:rFonts w:ascii="Times New Roman" w:hAnsi="Times New Roman" w:cs="Times New Roman"/>
                <w:color w:val="000000" w:themeColor="text1"/>
                <w:lang w:val="ro-MD"/>
              </w:rPr>
              <w:t xml:space="preserve"> BNM</w:t>
            </w:r>
            <w:r w:rsidR="00D12468" w:rsidRPr="00C011B2">
              <w:rPr>
                <w:rFonts w:ascii="Times New Roman" w:hAnsi="Times New Roman" w:cs="Times New Roman"/>
                <w:color w:val="000000" w:themeColor="text1"/>
                <w:lang w:val="ro-MD"/>
              </w:rPr>
              <w:t xml:space="preserve"> că:</w:t>
            </w:r>
          </w:p>
          <w:p w14:paraId="53F684F8" w14:textId="17B47027"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200.3.1.</w:t>
            </w:r>
            <w:r w:rsidR="00D12468" w:rsidRPr="00C011B2">
              <w:rPr>
                <w:rFonts w:ascii="Times New Roman" w:hAnsi="Times New Roman" w:cs="Times New Roman"/>
                <w:color w:val="000000" w:themeColor="text1"/>
                <w:lang w:val="ro-MD"/>
              </w:rPr>
              <w:t xml:space="preserve"> utilizarea monedei de bază alese oferă o reprezentare adecvată a riscurilor pentru pozițiile </w:t>
            </w:r>
            <w:r w:rsidRPr="00C011B2">
              <w:rPr>
                <w:rFonts w:ascii="Times New Roman" w:hAnsi="Times New Roman" w:cs="Times New Roman"/>
                <w:color w:val="000000" w:themeColor="text1"/>
                <w:lang w:val="ro-MD"/>
              </w:rPr>
              <w:t xml:space="preserve">băncii </w:t>
            </w:r>
            <w:r w:rsidR="00D12468" w:rsidRPr="00C011B2">
              <w:rPr>
                <w:rFonts w:ascii="Times New Roman" w:hAnsi="Times New Roman" w:cs="Times New Roman"/>
                <w:color w:val="000000" w:themeColor="text1"/>
                <w:lang w:val="ro-MD"/>
              </w:rPr>
              <w:t>care prezintă riscuri valutare;</w:t>
            </w:r>
          </w:p>
          <w:p w14:paraId="3357EE58" w14:textId="14086451"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200.3.2.</w:t>
            </w:r>
            <w:r w:rsidR="00D12468" w:rsidRPr="00C011B2">
              <w:rPr>
                <w:rFonts w:ascii="Times New Roman" w:hAnsi="Times New Roman" w:cs="Times New Roman"/>
                <w:color w:val="000000" w:themeColor="text1"/>
                <w:lang w:val="ro-MD"/>
              </w:rPr>
              <w:t xml:space="preserve"> moneda de bază aleasă este compatibilă cu modul în care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gestionează aceste riscuri valutare la nivel intern;</w:t>
            </w:r>
          </w:p>
          <w:p w14:paraId="4F5F6E0D" w14:textId="2BA5DCFC"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200.3.3.</w:t>
            </w:r>
            <w:r w:rsidR="00D12468" w:rsidRPr="00C011B2">
              <w:rPr>
                <w:rFonts w:ascii="Times New Roman" w:hAnsi="Times New Roman" w:cs="Times New Roman"/>
                <w:color w:val="000000" w:themeColor="text1"/>
                <w:lang w:val="ro-MD"/>
              </w:rPr>
              <w:t xml:space="preserve"> alegerea monedei de bază nu este motivată în principal de dorința de a diminua cerințele de fonduri proprii ale </w:t>
            </w:r>
            <w:r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w:t>
            </w:r>
          </w:p>
          <w:p w14:paraId="1B0DB886" w14:textId="5A224747" w:rsidR="00D12468" w:rsidRPr="00C011B2" w:rsidRDefault="000C509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200.4.</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ține cont de riscul de conversie dintre moneda de raportare și moneda de bază.</w:t>
            </w:r>
          </w:p>
          <w:p w14:paraId="252B8AC1" w14:textId="2170ED08" w:rsidR="00D12468" w:rsidRPr="00C011B2" w:rsidRDefault="009E33F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201. </w:t>
            </w:r>
            <w:r w:rsidR="00D12468" w:rsidRPr="00C011B2">
              <w:rPr>
                <w:rFonts w:ascii="Times New Roman" w:hAnsi="Times New Roman" w:cs="Times New Roman"/>
                <w:color w:val="000000" w:themeColor="text1"/>
                <w:lang w:val="ro-MD"/>
              </w:rPr>
              <w:t xml:space="preserve">O </w:t>
            </w:r>
            <w:r w:rsidR="000C5098"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care </w:t>
            </w:r>
            <w:r w:rsidR="007C777F" w:rsidRPr="00C011B2">
              <w:rPr>
                <w:rFonts w:ascii="Times New Roman" w:hAnsi="Times New Roman" w:cs="Times New Roman"/>
                <w:color w:val="000000" w:themeColor="text1"/>
                <w:lang w:val="ro-MD"/>
              </w:rPr>
              <w:t xml:space="preserve">are permisiunea </w:t>
            </w:r>
            <w:r w:rsidR="00D12468" w:rsidRPr="00C011B2">
              <w:rPr>
                <w:rFonts w:ascii="Times New Roman" w:hAnsi="Times New Roman" w:cs="Times New Roman"/>
                <w:color w:val="000000" w:themeColor="text1"/>
                <w:lang w:val="ro-MD"/>
              </w:rPr>
              <w:t xml:space="preserve">să utilizeze o monedă de bază astfel cum se prevede la </w:t>
            </w:r>
            <w:r w:rsidR="000C5098" w:rsidRPr="00C011B2">
              <w:rPr>
                <w:rFonts w:ascii="Times New Roman" w:hAnsi="Times New Roman" w:cs="Times New Roman"/>
                <w:color w:val="000000" w:themeColor="text1"/>
                <w:lang w:val="ro-MD"/>
              </w:rPr>
              <w:t>pct.200</w:t>
            </w:r>
            <w:r w:rsidR="00D12468" w:rsidRPr="00C011B2">
              <w:rPr>
                <w:rFonts w:ascii="Times New Roman" w:hAnsi="Times New Roman" w:cs="Times New Roman"/>
                <w:color w:val="000000" w:themeColor="text1"/>
                <w:lang w:val="ro-MD"/>
              </w:rPr>
              <w:t xml:space="preserve"> convertește cerințele de fonduri proprii rezultate pentru riscul valutar în moneda de raportare utilizând cursul de schimb spot </w:t>
            </w:r>
            <w:r w:rsidR="00D12468" w:rsidRPr="00C011B2">
              <w:rPr>
                <w:rFonts w:ascii="Times New Roman" w:hAnsi="Times New Roman" w:cs="Times New Roman"/>
                <w:color w:val="000000" w:themeColor="text1"/>
                <w:lang w:val="ro-MD"/>
              </w:rPr>
              <w:lastRenderedPageBreak/>
              <w:t>predominant dintre moneda de bază și moneda de raportare.</w:t>
            </w:r>
          </w:p>
        </w:tc>
        <w:tc>
          <w:tcPr>
            <w:tcW w:w="450" w:type="pct"/>
          </w:tcPr>
          <w:p w14:paraId="1276D320" w14:textId="06896A29"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38E3143"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FA7D23" w14:paraId="0E82D82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58B6AB5"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55" w:tooltip="32019R0876: INSERTED" w:history="1">
              <w:r w:rsidR="00D12468" w:rsidRPr="00C011B2">
                <w:rPr>
                  <w:rStyle w:val="Hyperlink"/>
                  <w:rFonts w:ascii="Times New Roman" w:hAnsi="Times New Roman" w:cs="Times New Roman"/>
                  <w:b/>
                  <w:bCs/>
                  <w:lang w:val="ro-MD"/>
                </w:rPr>
                <w:t>▼M8</w:t>
              </w:r>
            </w:hyperlink>
          </w:p>
          <w:p w14:paraId="40896E1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2</w:t>
            </w:r>
          </w:p>
          <w:p w14:paraId="7351DF2B"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Definițiile sensibilităților</w:t>
            </w:r>
          </w:p>
          <w:p w14:paraId="26EB5AE6"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325r</w:t>
            </w:r>
          </w:p>
          <w:p w14:paraId="0FD6692B" w14:textId="114572F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Sensibilitățile la riscul delta</w:t>
            </w:r>
          </w:p>
        </w:tc>
        <w:tc>
          <w:tcPr>
            <w:tcW w:w="1692" w:type="pct"/>
            <w:shd w:val="clear" w:color="auto" w:fill="auto"/>
          </w:tcPr>
          <w:p w14:paraId="00308D52" w14:textId="7F5141CF" w:rsidR="00D12468" w:rsidRPr="00C011B2" w:rsidRDefault="00D12468" w:rsidP="00D12468">
            <w:pPr>
              <w:spacing w:after="0" w:line="276" w:lineRule="auto"/>
              <w:jc w:val="both"/>
              <w:rPr>
                <w:rFonts w:ascii="Times New Roman" w:hAnsi="Times New Roman" w:cs="Times New Roman"/>
                <w:color w:val="000000" w:themeColor="text1"/>
                <w:lang w:val="ro-MD"/>
              </w:rPr>
            </w:pPr>
            <w:bookmarkStart w:id="180" w:name="_Hlk195091466"/>
            <w:bookmarkStart w:id="181" w:name="_Hlk222991338"/>
            <w:r w:rsidRPr="00C011B2">
              <w:rPr>
                <w:rFonts w:ascii="Times New Roman" w:hAnsi="Times New Roman" w:cs="Times New Roman"/>
                <w:color w:val="000000" w:themeColor="text1"/>
                <w:lang w:val="ro-MD"/>
              </w:rPr>
              <w:t>Subsecțiunea 2</w:t>
            </w:r>
            <w:r w:rsidR="002515C2" w:rsidRPr="00C011B2">
              <w:rPr>
                <w:rFonts w:ascii="Times New Roman" w:hAnsi="Times New Roman" w:cs="Times New Roman"/>
                <w:color w:val="000000" w:themeColor="text1"/>
                <w:lang w:val="ro-MD"/>
              </w:rPr>
              <w:t>.</w:t>
            </w:r>
          </w:p>
          <w:p w14:paraId="61AA3AC2"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Definițiile sensibilităților</w:t>
            </w:r>
          </w:p>
          <w:p w14:paraId="2F8D56B0" w14:textId="316FF6C0" w:rsidR="00D12468" w:rsidRPr="00C011B2" w:rsidRDefault="001E58F2" w:rsidP="00D12468">
            <w:pPr>
              <w:spacing w:after="0" w:line="276" w:lineRule="auto"/>
              <w:jc w:val="both"/>
              <w:rPr>
                <w:rFonts w:ascii="Times New Roman" w:hAnsi="Times New Roman" w:cs="Times New Roman"/>
                <w:color w:val="000000" w:themeColor="text1"/>
                <w:lang w:val="ro-MD"/>
              </w:rPr>
            </w:pPr>
            <w:bookmarkStart w:id="182" w:name="_Hlk199514330"/>
            <w:r w:rsidRPr="00C011B2">
              <w:rPr>
                <w:rFonts w:ascii="Times New Roman" w:hAnsi="Times New Roman" w:cs="Times New Roman"/>
                <w:i/>
                <w:iCs/>
                <w:color w:val="000000" w:themeColor="text1"/>
                <w:lang w:val="ro-MD"/>
              </w:rPr>
              <w:t>Paragraful 1</w:t>
            </w:r>
            <w:bookmarkEnd w:id="182"/>
            <w:r w:rsidRPr="00C011B2">
              <w:rPr>
                <w:rFonts w:ascii="Times New Roman" w:hAnsi="Times New Roman" w:cs="Times New Roman"/>
                <w:i/>
                <w:iCs/>
                <w:color w:val="000000" w:themeColor="text1"/>
                <w:lang w:val="ro-MD"/>
              </w:rPr>
              <w:t>.</w:t>
            </w:r>
            <w:r w:rsidR="00D12468" w:rsidRPr="00C011B2">
              <w:rPr>
                <w:rFonts w:ascii="Times New Roman" w:hAnsi="Times New Roman" w:cs="Times New Roman"/>
                <w:b/>
                <w:bCs/>
                <w:color w:val="000000" w:themeColor="text1"/>
                <w:lang w:val="ro-MD"/>
              </w:rPr>
              <w:t>Sensibilitățile la riscul delta</w:t>
            </w:r>
            <w:bookmarkEnd w:id="180"/>
            <w:bookmarkEnd w:id="181"/>
          </w:p>
        </w:tc>
        <w:tc>
          <w:tcPr>
            <w:tcW w:w="450" w:type="pct"/>
          </w:tcPr>
          <w:p w14:paraId="5C435D0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1F54AD23"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5402DC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F847EF7" w14:textId="1E7CC68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calculează sensibilitățile la riscul general de rată a dobânzii (GIRR) delta după cum urmează:</w:t>
            </w:r>
          </w:p>
          <w:p w14:paraId="36CA1650" w14:textId="33D97B3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sensibilitățile la factori de risc care constau în rate fără risc se calculează după cum urmează:</w:t>
            </w:r>
          </w:p>
          <w:p w14:paraId="01C6D01C" w14:textId="414F553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A384D06" wp14:editId="0AE9AAEF">
                  <wp:extent cx="3055620" cy="388620"/>
                  <wp:effectExtent l="0" t="0" r="0" b="0"/>
                  <wp:docPr id="42" name="Picture 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55620" cy="388620"/>
                          </a:xfrm>
                          <a:prstGeom prst="rect">
                            <a:avLst/>
                          </a:prstGeom>
                          <a:noFill/>
                          <a:ln>
                            <a:noFill/>
                          </a:ln>
                        </pic:spPr>
                      </pic:pic>
                    </a:graphicData>
                  </a:graphic>
                </wp:inline>
              </w:drawing>
            </w:r>
          </w:p>
          <w:p w14:paraId="432A7BD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88" w:type="dxa"/>
              <w:tblLayout w:type="fixed"/>
              <w:tblCellMar>
                <w:left w:w="0" w:type="dxa"/>
                <w:right w:w="0" w:type="dxa"/>
              </w:tblCellMar>
              <w:tblLook w:val="04A0" w:firstRow="1" w:lastRow="0" w:firstColumn="1" w:lastColumn="0" w:noHBand="0" w:noVBand="1"/>
            </w:tblPr>
            <w:tblGrid>
              <w:gridCol w:w="754"/>
              <w:gridCol w:w="102"/>
              <w:gridCol w:w="4232"/>
            </w:tblGrid>
            <w:tr w:rsidR="00D12468" w:rsidRPr="00FA7D23" w14:paraId="07AAF549" w14:textId="77777777" w:rsidTr="00306585">
              <w:tc>
                <w:tcPr>
                  <w:tcW w:w="754" w:type="dxa"/>
                  <w:shd w:val="clear" w:color="auto" w:fill="auto"/>
                  <w:hideMark/>
                </w:tcPr>
                <w:p w14:paraId="4FDEC83F" w14:textId="3D5C8D6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CEFCC80" wp14:editId="631F285E">
                        <wp:extent cx="431800" cy="336550"/>
                        <wp:effectExtent l="0" t="0" r="6350" b="6350"/>
                        <wp:docPr id="41" name="Picture 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1800" cy="336550"/>
                                </a:xfrm>
                                <a:prstGeom prst="rect">
                                  <a:avLst/>
                                </a:prstGeom>
                                <a:noFill/>
                                <a:ln>
                                  <a:noFill/>
                                </a:ln>
                              </pic:spPr>
                            </pic:pic>
                          </a:graphicData>
                        </a:graphic>
                      </wp:inline>
                    </w:drawing>
                  </w:r>
                </w:p>
              </w:tc>
              <w:tc>
                <w:tcPr>
                  <w:tcW w:w="102" w:type="dxa"/>
                  <w:shd w:val="clear" w:color="auto" w:fill="auto"/>
                  <w:hideMark/>
                </w:tcPr>
                <w:p w14:paraId="30B4E62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32" w:type="dxa"/>
                  <w:shd w:val="clear" w:color="auto" w:fill="auto"/>
                  <w:hideMark/>
                </w:tcPr>
                <w:p w14:paraId="26EDB0F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 de risc care constau în rate fără risc;</w:t>
                  </w:r>
                </w:p>
              </w:tc>
            </w:tr>
          </w:tbl>
          <w:p w14:paraId="4490A72B"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34" w:type="dxa"/>
              <w:tblLayout w:type="fixed"/>
              <w:tblCellMar>
                <w:left w:w="0" w:type="dxa"/>
                <w:right w:w="0" w:type="dxa"/>
              </w:tblCellMar>
              <w:tblLook w:val="04A0" w:firstRow="1" w:lastRow="0" w:firstColumn="1" w:lastColumn="0" w:noHBand="0" w:noVBand="1"/>
            </w:tblPr>
            <w:tblGrid>
              <w:gridCol w:w="328"/>
              <w:gridCol w:w="144"/>
              <w:gridCol w:w="4462"/>
            </w:tblGrid>
            <w:tr w:rsidR="00D12468" w:rsidRPr="00FA7D23" w14:paraId="146BC154" w14:textId="77777777" w:rsidTr="00306585">
              <w:tc>
                <w:tcPr>
                  <w:tcW w:w="328" w:type="dxa"/>
                  <w:shd w:val="clear" w:color="auto" w:fill="auto"/>
                  <w:hideMark/>
                </w:tcPr>
                <w:p w14:paraId="7C69F88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t>
                  </w:r>
                  <w:r w:rsidRPr="00C011B2">
                    <w:rPr>
                      <w:rFonts w:ascii="Times New Roman" w:hAnsi="Times New Roman" w:cs="Times New Roman"/>
                      <w:color w:val="000000" w:themeColor="text1"/>
                      <w:vertAlign w:val="subscript"/>
                      <w:lang w:val="ro-MD"/>
                    </w:rPr>
                    <w:t>kt</w:t>
                  </w:r>
                </w:p>
              </w:tc>
              <w:tc>
                <w:tcPr>
                  <w:tcW w:w="144" w:type="dxa"/>
                  <w:shd w:val="clear" w:color="auto" w:fill="auto"/>
                  <w:hideMark/>
                </w:tcPr>
                <w:p w14:paraId="08715AE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62" w:type="dxa"/>
                  <w:shd w:val="clear" w:color="auto" w:fill="auto"/>
                  <w:hideMark/>
                </w:tcPr>
                <w:p w14:paraId="7FB9C29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rata unei curbe fără risc k cu o scadență „t”;</w:t>
                  </w:r>
                </w:p>
              </w:tc>
            </w:tr>
          </w:tbl>
          <w:p w14:paraId="04E4614D"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FA7D23" w14:paraId="3B3CA606" w14:textId="77777777" w:rsidTr="00306585">
              <w:tc>
                <w:tcPr>
                  <w:tcW w:w="912" w:type="dxa"/>
                  <w:shd w:val="clear" w:color="auto" w:fill="auto"/>
                  <w:hideMark/>
                </w:tcPr>
                <w:p w14:paraId="487579C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5DCD809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2FCBDF2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20B9F944"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33" w:type="dxa"/>
              <w:tblLayout w:type="fixed"/>
              <w:tblCellMar>
                <w:left w:w="0" w:type="dxa"/>
                <w:right w:w="0" w:type="dxa"/>
              </w:tblCellMar>
              <w:tblLook w:val="04A0" w:firstRow="1" w:lastRow="0" w:firstColumn="1" w:lastColumn="0" w:noHBand="0" w:noVBand="1"/>
            </w:tblPr>
            <w:tblGrid>
              <w:gridCol w:w="612"/>
              <w:gridCol w:w="120"/>
              <w:gridCol w:w="4401"/>
            </w:tblGrid>
            <w:tr w:rsidR="00D12468" w:rsidRPr="00FA7D23" w14:paraId="42F4BA91" w14:textId="77777777" w:rsidTr="00306585">
              <w:tc>
                <w:tcPr>
                  <w:tcW w:w="612" w:type="dxa"/>
                  <w:shd w:val="clear" w:color="auto" w:fill="auto"/>
                  <w:hideMark/>
                </w:tcPr>
                <w:p w14:paraId="199C6B5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20" w:type="dxa"/>
                  <w:shd w:val="clear" w:color="auto" w:fill="auto"/>
                  <w:hideMark/>
                </w:tcPr>
                <w:p w14:paraId="20CDAC1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01" w:type="dxa"/>
                  <w:shd w:val="clear" w:color="auto" w:fill="auto"/>
                  <w:hideMark/>
                </w:tcPr>
                <w:p w14:paraId="0D4FA18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r</w:t>
                  </w:r>
                  <w:r w:rsidRPr="00C011B2">
                    <w:rPr>
                      <w:rFonts w:ascii="Times New Roman" w:hAnsi="Times New Roman" w:cs="Times New Roman"/>
                      <w:color w:val="000000" w:themeColor="text1"/>
                      <w:vertAlign w:val="subscript"/>
                      <w:lang w:val="ro-MD"/>
                    </w:rPr>
                    <w:t>kt</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20878BF4" w14:textId="3958DA1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sensibilitățile la factori de risc care constau în riscul de inflație și riscul de bază intervalutară se calculează după cum urmează:</w:t>
            </w:r>
          </w:p>
          <w:p w14:paraId="0B10C31F" w14:textId="502251E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768524EF" wp14:editId="611DD286">
                  <wp:extent cx="3055620" cy="401320"/>
                  <wp:effectExtent l="0" t="0" r="0" b="0"/>
                  <wp:docPr id="40" name="Picture 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55620" cy="401320"/>
                          </a:xfrm>
                          <a:prstGeom prst="rect">
                            <a:avLst/>
                          </a:prstGeom>
                          <a:noFill/>
                          <a:ln>
                            <a:noFill/>
                          </a:ln>
                        </pic:spPr>
                      </pic:pic>
                    </a:graphicData>
                  </a:graphic>
                </wp:inline>
              </w:drawing>
            </w:r>
          </w:p>
          <w:p w14:paraId="1D1A279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140" w:type="dxa"/>
              <w:tblLayout w:type="fixed"/>
              <w:tblCellMar>
                <w:left w:w="0" w:type="dxa"/>
                <w:right w:w="0" w:type="dxa"/>
              </w:tblCellMar>
              <w:tblLook w:val="04A0" w:firstRow="1" w:lastRow="0" w:firstColumn="1" w:lastColumn="0" w:noHBand="0" w:noVBand="1"/>
            </w:tblPr>
            <w:tblGrid>
              <w:gridCol w:w="612"/>
              <w:gridCol w:w="76"/>
              <w:gridCol w:w="4452"/>
            </w:tblGrid>
            <w:tr w:rsidR="00D12468" w:rsidRPr="00C011B2" w14:paraId="278E9FC8" w14:textId="77777777" w:rsidTr="00306585">
              <w:tc>
                <w:tcPr>
                  <w:tcW w:w="612" w:type="dxa"/>
                  <w:shd w:val="clear" w:color="auto" w:fill="auto"/>
                  <w:hideMark/>
                </w:tcPr>
                <w:p w14:paraId="0F6CE56F" w14:textId="1ECA637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CE6EE3E" wp14:editId="49CED4E6">
                        <wp:extent cx="355600" cy="355600"/>
                        <wp:effectExtent l="0" t="0" r="6350" b="6350"/>
                        <wp:docPr id="39" name="Picture 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tc>
              <w:tc>
                <w:tcPr>
                  <w:tcW w:w="76" w:type="dxa"/>
                  <w:shd w:val="clear" w:color="auto" w:fill="auto"/>
                  <w:hideMark/>
                </w:tcPr>
                <w:p w14:paraId="5FAA7B2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52" w:type="dxa"/>
                  <w:shd w:val="clear" w:color="auto" w:fill="auto"/>
                  <w:hideMark/>
                </w:tcPr>
                <w:p w14:paraId="2A44AC3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 de risc care constau în riscul de inflație și riscul de bază intervalutară;</w:t>
                  </w:r>
                </w:p>
              </w:tc>
            </w:tr>
          </w:tbl>
          <w:p w14:paraId="2594762D"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62" w:type="dxa"/>
              <w:tblLayout w:type="fixed"/>
              <w:tblCellMar>
                <w:left w:w="0" w:type="dxa"/>
                <w:right w:w="0" w:type="dxa"/>
              </w:tblCellMar>
              <w:tblLook w:val="04A0" w:firstRow="1" w:lastRow="0" w:firstColumn="1" w:lastColumn="0" w:noHBand="0" w:noVBand="1"/>
            </w:tblPr>
            <w:tblGrid>
              <w:gridCol w:w="612"/>
              <w:gridCol w:w="76"/>
              <w:gridCol w:w="4474"/>
            </w:tblGrid>
            <w:tr w:rsidR="00D12468" w:rsidRPr="00FA7D23" w14:paraId="1B88CC4B" w14:textId="77777777" w:rsidTr="00306585">
              <w:tc>
                <w:tcPr>
                  <w:tcW w:w="612" w:type="dxa"/>
                  <w:shd w:val="clear" w:color="auto" w:fill="auto"/>
                  <w:hideMark/>
                </w:tcPr>
                <w:p w14:paraId="4B8670DE" w14:textId="11BFBD6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24E9F74" wp14:editId="4086E303">
                        <wp:extent cx="323850" cy="304800"/>
                        <wp:effectExtent l="0" t="0" r="0" b="0"/>
                        <wp:docPr id="38"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tc>
              <w:tc>
                <w:tcPr>
                  <w:tcW w:w="76" w:type="dxa"/>
                  <w:shd w:val="clear" w:color="auto" w:fill="auto"/>
                  <w:hideMark/>
                </w:tcPr>
                <w:p w14:paraId="7FA4CA4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74" w:type="dxa"/>
                  <w:shd w:val="clear" w:color="auto" w:fill="auto"/>
                  <w:hideMark/>
                </w:tcPr>
                <w:p w14:paraId="6FF16A5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vector din m componente reprezentând curba inflației implicite sau curba bazei intervalutare pentru o anumită monedă „j”, „m” fiind egal cu numărul variabilelor legate de inflație sau de baza intervalutară utilizate în modelul de evaluare al instrumentului „i”;</w:t>
                  </w:r>
                </w:p>
              </w:tc>
            </w:tr>
          </w:tbl>
          <w:p w14:paraId="6A122080"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857" w:type="dxa"/>
              <w:tblLayout w:type="fixed"/>
              <w:tblCellMar>
                <w:left w:w="0" w:type="dxa"/>
                <w:right w:w="0" w:type="dxa"/>
              </w:tblCellMar>
              <w:tblLook w:val="04A0" w:firstRow="1" w:lastRow="0" w:firstColumn="1" w:lastColumn="0" w:noHBand="0" w:noVBand="1"/>
            </w:tblPr>
            <w:tblGrid>
              <w:gridCol w:w="612"/>
              <w:gridCol w:w="143"/>
              <w:gridCol w:w="4102"/>
            </w:tblGrid>
            <w:tr w:rsidR="00D12468" w:rsidRPr="00C011B2" w14:paraId="1DAD3A26" w14:textId="77777777" w:rsidTr="00306585">
              <w:tc>
                <w:tcPr>
                  <w:tcW w:w="612" w:type="dxa"/>
                  <w:shd w:val="clear" w:color="auto" w:fill="auto"/>
                  <w:hideMark/>
                </w:tcPr>
                <w:p w14:paraId="5475C4BC" w14:textId="40BD55D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D482ABD" wp14:editId="0A60DAFA">
                        <wp:extent cx="355600" cy="336550"/>
                        <wp:effectExtent l="0" t="0" r="6350" b="6350"/>
                        <wp:docPr id="37" name="Picture 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p>
              </w:tc>
              <w:tc>
                <w:tcPr>
                  <w:tcW w:w="143" w:type="dxa"/>
                  <w:shd w:val="clear" w:color="auto" w:fill="auto"/>
                  <w:hideMark/>
                </w:tcPr>
                <w:p w14:paraId="4509524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02" w:type="dxa"/>
                  <w:shd w:val="clear" w:color="auto" w:fill="auto"/>
                  <w:hideMark/>
                </w:tcPr>
                <w:p w14:paraId="11A5B8B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matricea unitară de dimensiuni (1 × m);</w:t>
                  </w:r>
                </w:p>
              </w:tc>
            </w:tr>
          </w:tbl>
          <w:p w14:paraId="199C9794"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FA7D23" w14:paraId="72DA4083" w14:textId="77777777" w:rsidTr="00306585">
              <w:tc>
                <w:tcPr>
                  <w:tcW w:w="912" w:type="dxa"/>
                  <w:shd w:val="clear" w:color="auto" w:fill="auto"/>
                  <w:hideMark/>
                </w:tcPr>
                <w:p w14:paraId="276FBF1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0502A34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513ED76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39E9E75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361"/>
              <w:gridCol w:w="150"/>
              <w:gridCol w:w="4301"/>
            </w:tblGrid>
            <w:tr w:rsidR="00D12468" w:rsidRPr="00FA7D23" w14:paraId="16C8E3F1" w14:textId="77777777" w:rsidTr="00306585">
              <w:tc>
                <w:tcPr>
                  <w:tcW w:w="711" w:type="dxa"/>
                  <w:shd w:val="clear" w:color="auto" w:fill="auto"/>
                  <w:hideMark/>
                </w:tcPr>
                <w:p w14:paraId="5D5CB0E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284" w:type="dxa"/>
                  <w:shd w:val="clear" w:color="auto" w:fill="auto"/>
                  <w:hideMark/>
                </w:tcPr>
                <w:p w14:paraId="47FC300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694" w:type="dxa"/>
                  <w:shd w:val="clear" w:color="auto" w:fill="auto"/>
                  <w:hideMark/>
                </w:tcPr>
                <w:p w14:paraId="30CBD57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variabile ale modelului de evaluare.</w:t>
                  </w:r>
                </w:p>
              </w:tc>
            </w:tr>
          </w:tbl>
          <w:p w14:paraId="2E08978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6AFC1E43" w14:textId="267FC847" w:rsidR="00D12468" w:rsidRPr="00C011B2" w:rsidRDefault="001E58F2" w:rsidP="00D12468">
            <w:pPr>
              <w:spacing w:after="0" w:line="276" w:lineRule="auto"/>
              <w:jc w:val="both"/>
              <w:rPr>
                <w:rFonts w:ascii="Times New Roman" w:hAnsi="Times New Roman" w:cs="Times New Roman"/>
                <w:color w:val="000000" w:themeColor="text1"/>
                <w:lang w:val="ro-MD"/>
              </w:rPr>
            </w:pPr>
            <w:bookmarkStart w:id="183" w:name="_Hlk222991379"/>
            <w:r w:rsidRPr="00C011B2">
              <w:rPr>
                <w:rFonts w:ascii="Times New Roman" w:hAnsi="Times New Roman" w:cs="Times New Roman"/>
                <w:color w:val="000000" w:themeColor="text1"/>
                <w:lang w:val="ro-MD"/>
              </w:rPr>
              <w:lastRenderedPageBreak/>
              <w:t>202.</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sensibilitățile la riscul general de rată a dobânzii (GIRR) delta după cum urmează:</w:t>
            </w:r>
          </w:p>
          <w:p w14:paraId="6521DD5C" w14:textId="0F330544" w:rsidR="00D12468" w:rsidRPr="00C011B2" w:rsidRDefault="001E58F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202.1.</w:t>
            </w:r>
            <w:r w:rsidR="00D12468" w:rsidRPr="00C011B2">
              <w:rPr>
                <w:rFonts w:ascii="Times New Roman" w:hAnsi="Times New Roman" w:cs="Times New Roman"/>
                <w:color w:val="000000" w:themeColor="text1"/>
                <w:lang w:val="ro-MD"/>
              </w:rPr>
              <w:t> sensibilitățile la factori de risc care constau în rate fără risc se calculează după cum urmează:</w:t>
            </w:r>
          </w:p>
          <w:p w14:paraId="5F35F75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96FDF72" wp14:editId="43DBD182">
                  <wp:extent cx="3055620" cy="388620"/>
                  <wp:effectExtent l="0" t="0" r="0" b="0"/>
                  <wp:docPr id="138" name="Picture 1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55620" cy="388620"/>
                          </a:xfrm>
                          <a:prstGeom prst="rect">
                            <a:avLst/>
                          </a:prstGeom>
                          <a:noFill/>
                          <a:ln>
                            <a:noFill/>
                          </a:ln>
                        </pic:spPr>
                      </pic:pic>
                    </a:graphicData>
                  </a:graphic>
                </wp:inline>
              </w:drawing>
            </w:r>
          </w:p>
          <w:p w14:paraId="345F04D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88" w:type="dxa"/>
              <w:tblLayout w:type="fixed"/>
              <w:tblCellMar>
                <w:left w:w="0" w:type="dxa"/>
                <w:right w:w="0" w:type="dxa"/>
              </w:tblCellMar>
              <w:tblLook w:val="04A0" w:firstRow="1" w:lastRow="0" w:firstColumn="1" w:lastColumn="0" w:noHBand="0" w:noVBand="1"/>
            </w:tblPr>
            <w:tblGrid>
              <w:gridCol w:w="754"/>
              <w:gridCol w:w="102"/>
              <w:gridCol w:w="4232"/>
            </w:tblGrid>
            <w:tr w:rsidR="00D12468" w:rsidRPr="00FA7D23" w14:paraId="0F719130" w14:textId="77777777" w:rsidTr="001E785F">
              <w:tc>
                <w:tcPr>
                  <w:tcW w:w="754" w:type="dxa"/>
                  <w:shd w:val="clear" w:color="auto" w:fill="auto"/>
                  <w:hideMark/>
                </w:tcPr>
                <w:p w14:paraId="3C4ABC4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30151CC" wp14:editId="44ABFCB0">
                        <wp:extent cx="431800" cy="336550"/>
                        <wp:effectExtent l="0" t="0" r="6350" b="6350"/>
                        <wp:docPr id="139" name="Picture 1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1800" cy="336550"/>
                                </a:xfrm>
                                <a:prstGeom prst="rect">
                                  <a:avLst/>
                                </a:prstGeom>
                                <a:noFill/>
                                <a:ln>
                                  <a:noFill/>
                                </a:ln>
                              </pic:spPr>
                            </pic:pic>
                          </a:graphicData>
                        </a:graphic>
                      </wp:inline>
                    </w:drawing>
                  </w:r>
                </w:p>
              </w:tc>
              <w:tc>
                <w:tcPr>
                  <w:tcW w:w="102" w:type="dxa"/>
                  <w:shd w:val="clear" w:color="auto" w:fill="auto"/>
                  <w:hideMark/>
                </w:tcPr>
                <w:p w14:paraId="1A268EE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32" w:type="dxa"/>
                  <w:shd w:val="clear" w:color="auto" w:fill="auto"/>
                  <w:hideMark/>
                </w:tcPr>
                <w:p w14:paraId="5445A90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 de risc care constau în rate fără risc;</w:t>
                  </w:r>
                </w:p>
              </w:tc>
            </w:tr>
          </w:tbl>
          <w:p w14:paraId="12DBA1A7"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34" w:type="dxa"/>
              <w:tblLayout w:type="fixed"/>
              <w:tblCellMar>
                <w:left w:w="0" w:type="dxa"/>
                <w:right w:w="0" w:type="dxa"/>
              </w:tblCellMar>
              <w:tblLook w:val="04A0" w:firstRow="1" w:lastRow="0" w:firstColumn="1" w:lastColumn="0" w:noHBand="0" w:noVBand="1"/>
            </w:tblPr>
            <w:tblGrid>
              <w:gridCol w:w="328"/>
              <w:gridCol w:w="144"/>
              <w:gridCol w:w="4462"/>
            </w:tblGrid>
            <w:tr w:rsidR="00D12468" w:rsidRPr="00FA7D23" w14:paraId="6F7C4039" w14:textId="77777777" w:rsidTr="001E785F">
              <w:tc>
                <w:tcPr>
                  <w:tcW w:w="328" w:type="dxa"/>
                  <w:shd w:val="clear" w:color="auto" w:fill="auto"/>
                  <w:hideMark/>
                </w:tcPr>
                <w:p w14:paraId="0ED5348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t>
                  </w:r>
                  <w:r w:rsidRPr="00C011B2">
                    <w:rPr>
                      <w:rFonts w:ascii="Times New Roman" w:hAnsi="Times New Roman" w:cs="Times New Roman"/>
                      <w:color w:val="000000" w:themeColor="text1"/>
                      <w:vertAlign w:val="subscript"/>
                      <w:lang w:val="ro-MD"/>
                    </w:rPr>
                    <w:t>kt</w:t>
                  </w:r>
                </w:p>
              </w:tc>
              <w:tc>
                <w:tcPr>
                  <w:tcW w:w="144" w:type="dxa"/>
                  <w:shd w:val="clear" w:color="auto" w:fill="auto"/>
                  <w:hideMark/>
                </w:tcPr>
                <w:p w14:paraId="244CBCA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62" w:type="dxa"/>
                  <w:shd w:val="clear" w:color="auto" w:fill="auto"/>
                  <w:hideMark/>
                </w:tcPr>
                <w:p w14:paraId="2EEDAFC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rata unei curbe fără risc k cu o scadență „t”;</w:t>
                  </w:r>
                </w:p>
              </w:tc>
            </w:tr>
          </w:tbl>
          <w:p w14:paraId="0CB8C4F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FA7D23" w14:paraId="7AD33FC4" w14:textId="77777777" w:rsidTr="001E785F">
              <w:tc>
                <w:tcPr>
                  <w:tcW w:w="912" w:type="dxa"/>
                  <w:shd w:val="clear" w:color="auto" w:fill="auto"/>
                  <w:hideMark/>
                </w:tcPr>
                <w:p w14:paraId="276A088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29D6357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19CD7A2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1542451B"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33" w:type="dxa"/>
              <w:tblLayout w:type="fixed"/>
              <w:tblCellMar>
                <w:left w:w="0" w:type="dxa"/>
                <w:right w:w="0" w:type="dxa"/>
              </w:tblCellMar>
              <w:tblLook w:val="04A0" w:firstRow="1" w:lastRow="0" w:firstColumn="1" w:lastColumn="0" w:noHBand="0" w:noVBand="1"/>
            </w:tblPr>
            <w:tblGrid>
              <w:gridCol w:w="612"/>
              <w:gridCol w:w="120"/>
              <w:gridCol w:w="4401"/>
            </w:tblGrid>
            <w:tr w:rsidR="00D12468" w:rsidRPr="00FA7D23" w14:paraId="570EF717" w14:textId="77777777" w:rsidTr="001E785F">
              <w:tc>
                <w:tcPr>
                  <w:tcW w:w="612" w:type="dxa"/>
                  <w:shd w:val="clear" w:color="auto" w:fill="auto"/>
                  <w:hideMark/>
                </w:tcPr>
                <w:p w14:paraId="2A61DCE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20" w:type="dxa"/>
                  <w:shd w:val="clear" w:color="auto" w:fill="auto"/>
                  <w:hideMark/>
                </w:tcPr>
                <w:p w14:paraId="07633C7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01" w:type="dxa"/>
                  <w:shd w:val="clear" w:color="auto" w:fill="auto"/>
                  <w:hideMark/>
                </w:tcPr>
                <w:p w14:paraId="051378D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r</w:t>
                  </w:r>
                  <w:r w:rsidRPr="00C011B2">
                    <w:rPr>
                      <w:rFonts w:ascii="Times New Roman" w:hAnsi="Times New Roman" w:cs="Times New Roman"/>
                      <w:color w:val="000000" w:themeColor="text1"/>
                      <w:vertAlign w:val="subscript"/>
                      <w:lang w:val="ro-MD"/>
                    </w:rPr>
                    <w:t>kt</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742A0F49" w14:textId="335DC165" w:rsidR="00D12468" w:rsidRPr="00C011B2" w:rsidRDefault="001E58F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202.2.</w:t>
            </w:r>
            <w:r w:rsidR="00D12468" w:rsidRPr="00C011B2">
              <w:rPr>
                <w:rFonts w:ascii="Times New Roman" w:hAnsi="Times New Roman" w:cs="Times New Roman"/>
                <w:color w:val="000000" w:themeColor="text1"/>
                <w:lang w:val="ro-MD"/>
              </w:rPr>
              <w:t> sensibilitățile la factori de risc care constau în riscul de inflație și riscul de bază intervalutară se calculează după cum urmează:</w:t>
            </w:r>
          </w:p>
          <w:p w14:paraId="0C994CD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1509D644" wp14:editId="356D9884">
                  <wp:extent cx="3055620" cy="401320"/>
                  <wp:effectExtent l="0" t="0" r="0" b="0"/>
                  <wp:docPr id="140" name="Picture 1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55620" cy="401320"/>
                          </a:xfrm>
                          <a:prstGeom prst="rect">
                            <a:avLst/>
                          </a:prstGeom>
                          <a:noFill/>
                          <a:ln>
                            <a:noFill/>
                          </a:ln>
                        </pic:spPr>
                      </pic:pic>
                    </a:graphicData>
                  </a:graphic>
                </wp:inline>
              </w:drawing>
            </w:r>
          </w:p>
          <w:p w14:paraId="7026C97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140" w:type="dxa"/>
              <w:tblLayout w:type="fixed"/>
              <w:tblCellMar>
                <w:left w:w="0" w:type="dxa"/>
                <w:right w:w="0" w:type="dxa"/>
              </w:tblCellMar>
              <w:tblLook w:val="04A0" w:firstRow="1" w:lastRow="0" w:firstColumn="1" w:lastColumn="0" w:noHBand="0" w:noVBand="1"/>
            </w:tblPr>
            <w:tblGrid>
              <w:gridCol w:w="612"/>
              <w:gridCol w:w="76"/>
              <w:gridCol w:w="4452"/>
            </w:tblGrid>
            <w:tr w:rsidR="00D12468" w:rsidRPr="00C011B2" w14:paraId="154FEF55" w14:textId="77777777" w:rsidTr="001E785F">
              <w:tc>
                <w:tcPr>
                  <w:tcW w:w="612" w:type="dxa"/>
                  <w:shd w:val="clear" w:color="auto" w:fill="auto"/>
                  <w:hideMark/>
                </w:tcPr>
                <w:p w14:paraId="1B0C053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880C111" wp14:editId="0E7B7D19">
                        <wp:extent cx="355600" cy="355600"/>
                        <wp:effectExtent l="0" t="0" r="6350" b="6350"/>
                        <wp:docPr id="141" name="Picture 1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tc>
              <w:tc>
                <w:tcPr>
                  <w:tcW w:w="76" w:type="dxa"/>
                  <w:shd w:val="clear" w:color="auto" w:fill="auto"/>
                  <w:hideMark/>
                </w:tcPr>
                <w:p w14:paraId="3730FC4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52" w:type="dxa"/>
                  <w:shd w:val="clear" w:color="auto" w:fill="auto"/>
                  <w:hideMark/>
                </w:tcPr>
                <w:p w14:paraId="6D4BF05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 de risc care constau în riscul de inflație și riscul de bază intervalutară;</w:t>
                  </w:r>
                </w:p>
              </w:tc>
            </w:tr>
          </w:tbl>
          <w:p w14:paraId="369D4C7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62" w:type="dxa"/>
              <w:tblLayout w:type="fixed"/>
              <w:tblCellMar>
                <w:left w:w="0" w:type="dxa"/>
                <w:right w:w="0" w:type="dxa"/>
              </w:tblCellMar>
              <w:tblLook w:val="04A0" w:firstRow="1" w:lastRow="0" w:firstColumn="1" w:lastColumn="0" w:noHBand="0" w:noVBand="1"/>
            </w:tblPr>
            <w:tblGrid>
              <w:gridCol w:w="612"/>
              <w:gridCol w:w="76"/>
              <w:gridCol w:w="4474"/>
            </w:tblGrid>
            <w:tr w:rsidR="00D12468" w:rsidRPr="00FA7D23" w14:paraId="46588C02" w14:textId="77777777" w:rsidTr="001E785F">
              <w:tc>
                <w:tcPr>
                  <w:tcW w:w="612" w:type="dxa"/>
                  <w:shd w:val="clear" w:color="auto" w:fill="auto"/>
                  <w:hideMark/>
                </w:tcPr>
                <w:p w14:paraId="4B8C7BF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27AEC58" wp14:editId="30C9B1A7">
                        <wp:extent cx="323850" cy="304800"/>
                        <wp:effectExtent l="0" t="0" r="0" b="0"/>
                        <wp:docPr id="142" name="Picture 14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tc>
              <w:tc>
                <w:tcPr>
                  <w:tcW w:w="76" w:type="dxa"/>
                  <w:shd w:val="clear" w:color="auto" w:fill="auto"/>
                  <w:hideMark/>
                </w:tcPr>
                <w:p w14:paraId="677C14F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74" w:type="dxa"/>
                  <w:shd w:val="clear" w:color="auto" w:fill="auto"/>
                  <w:hideMark/>
                </w:tcPr>
                <w:p w14:paraId="1E3DDD1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vector din m componente reprezentând curba inflației implicite sau curba bazei intervalutare pentru o anumită monedă „j”, „m” fiind egal cu numărul variabilelor legate de inflație sau de baza intervalutară utilizate în modelul de evaluare al instrumentului „i”;</w:t>
                  </w:r>
                </w:p>
              </w:tc>
            </w:tr>
          </w:tbl>
          <w:p w14:paraId="4E0006D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857" w:type="dxa"/>
              <w:tblLayout w:type="fixed"/>
              <w:tblCellMar>
                <w:left w:w="0" w:type="dxa"/>
                <w:right w:w="0" w:type="dxa"/>
              </w:tblCellMar>
              <w:tblLook w:val="04A0" w:firstRow="1" w:lastRow="0" w:firstColumn="1" w:lastColumn="0" w:noHBand="0" w:noVBand="1"/>
            </w:tblPr>
            <w:tblGrid>
              <w:gridCol w:w="612"/>
              <w:gridCol w:w="143"/>
              <w:gridCol w:w="4102"/>
            </w:tblGrid>
            <w:tr w:rsidR="00D12468" w:rsidRPr="00C011B2" w14:paraId="7BD471D9" w14:textId="77777777" w:rsidTr="001E785F">
              <w:tc>
                <w:tcPr>
                  <w:tcW w:w="612" w:type="dxa"/>
                  <w:shd w:val="clear" w:color="auto" w:fill="auto"/>
                  <w:hideMark/>
                </w:tcPr>
                <w:p w14:paraId="72131EF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4B12AA9" wp14:editId="5BBE6AD0">
                        <wp:extent cx="355600" cy="336550"/>
                        <wp:effectExtent l="0" t="0" r="6350" b="6350"/>
                        <wp:docPr id="143" name="Picture 1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p>
              </w:tc>
              <w:tc>
                <w:tcPr>
                  <w:tcW w:w="143" w:type="dxa"/>
                  <w:shd w:val="clear" w:color="auto" w:fill="auto"/>
                  <w:hideMark/>
                </w:tcPr>
                <w:p w14:paraId="6298317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02" w:type="dxa"/>
                  <w:shd w:val="clear" w:color="auto" w:fill="auto"/>
                  <w:hideMark/>
                </w:tcPr>
                <w:p w14:paraId="03AF6C2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matricea unitară de dimensiuni (1 × m);</w:t>
                  </w:r>
                </w:p>
              </w:tc>
            </w:tr>
          </w:tbl>
          <w:p w14:paraId="20208AB2"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FA7D23" w14:paraId="0D070517" w14:textId="77777777" w:rsidTr="001E785F">
              <w:tc>
                <w:tcPr>
                  <w:tcW w:w="912" w:type="dxa"/>
                  <w:shd w:val="clear" w:color="auto" w:fill="auto"/>
                  <w:hideMark/>
                </w:tcPr>
                <w:p w14:paraId="1B7581B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05FD318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5D61D3C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615AFDD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383"/>
              <w:gridCol w:w="158"/>
              <w:gridCol w:w="4570"/>
            </w:tblGrid>
            <w:tr w:rsidR="00D12468" w:rsidRPr="00FA7D23" w14:paraId="61197A26" w14:textId="77777777" w:rsidTr="001E785F">
              <w:tc>
                <w:tcPr>
                  <w:tcW w:w="711" w:type="dxa"/>
                  <w:shd w:val="clear" w:color="auto" w:fill="auto"/>
                  <w:hideMark/>
                </w:tcPr>
                <w:p w14:paraId="7ACA4EE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284" w:type="dxa"/>
                  <w:shd w:val="clear" w:color="auto" w:fill="auto"/>
                  <w:hideMark/>
                </w:tcPr>
                <w:p w14:paraId="3E417CD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694" w:type="dxa"/>
                  <w:shd w:val="clear" w:color="auto" w:fill="auto"/>
                  <w:hideMark/>
                </w:tcPr>
                <w:p w14:paraId="715EE8E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variabile ale modelului de evaluare.</w:t>
                  </w:r>
                </w:p>
              </w:tc>
            </w:tr>
            <w:bookmarkEnd w:id="183"/>
          </w:tbl>
          <w:p w14:paraId="1AA9A3A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78F9264B" w14:textId="60BA47F0"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93F148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94CEE6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10DA691" w14:textId="5E5CFB0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calculează sensibilitățile la riscul de marjă de credit delta pentru toate pozițiile din securitizare și care nu provin din securitizare după cum urmează:</w:t>
            </w:r>
          </w:p>
          <w:p w14:paraId="73BBE0A4" w14:textId="585B31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2F0B3F2" wp14:editId="4056ADED">
                  <wp:extent cx="3055620" cy="350520"/>
                  <wp:effectExtent l="0" t="0" r="0" b="0"/>
                  <wp:docPr id="44" name="Picture 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55620" cy="350520"/>
                          </a:xfrm>
                          <a:prstGeom prst="rect">
                            <a:avLst/>
                          </a:prstGeom>
                          <a:noFill/>
                          <a:ln>
                            <a:noFill/>
                          </a:ln>
                        </pic:spPr>
                      </pic:pic>
                    </a:graphicData>
                  </a:graphic>
                </wp:inline>
              </w:drawing>
            </w:r>
          </w:p>
          <w:p w14:paraId="09A5D6D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247" w:type="dxa"/>
              <w:tblLayout w:type="fixed"/>
              <w:tblCellMar>
                <w:left w:w="0" w:type="dxa"/>
                <w:right w:w="0" w:type="dxa"/>
              </w:tblCellMar>
              <w:tblLook w:val="04A0" w:firstRow="1" w:lastRow="0" w:firstColumn="1" w:lastColumn="0" w:noHBand="0" w:noVBand="1"/>
            </w:tblPr>
            <w:tblGrid>
              <w:gridCol w:w="896"/>
              <w:gridCol w:w="76"/>
              <w:gridCol w:w="4275"/>
            </w:tblGrid>
            <w:tr w:rsidR="00D12468" w:rsidRPr="00C011B2" w14:paraId="67AD60D3" w14:textId="77777777" w:rsidTr="00306585">
              <w:tc>
                <w:tcPr>
                  <w:tcW w:w="896" w:type="dxa"/>
                  <w:shd w:val="clear" w:color="auto" w:fill="auto"/>
                  <w:hideMark/>
                </w:tcPr>
                <w:p w14:paraId="3A308353" w14:textId="307C4DD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73426B3" wp14:editId="5E81B151">
                        <wp:extent cx="584200" cy="336550"/>
                        <wp:effectExtent l="0" t="0" r="6350" b="6350"/>
                        <wp:docPr id="43" name="Picture 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4200" cy="336550"/>
                                </a:xfrm>
                                <a:prstGeom prst="rect">
                                  <a:avLst/>
                                </a:prstGeom>
                                <a:noFill/>
                                <a:ln>
                                  <a:noFill/>
                                </a:ln>
                              </pic:spPr>
                            </pic:pic>
                          </a:graphicData>
                        </a:graphic>
                      </wp:inline>
                    </w:drawing>
                  </w:r>
                </w:p>
              </w:tc>
              <w:tc>
                <w:tcPr>
                  <w:tcW w:w="76" w:type="dxa"/>
                  <w:shd w:val="clear" w:color="auto" w:fill="auto"/>
                  <w:hideMark/>
                </w:tcPr>
                <w:p w14:paraId="722AD2F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75" w:type="dxa"/>
                  <w:shd w:val="clear" w:color="auto" w:fill="auto"/>
                  <w:hideMark/>
                </w:tcPr>
                <w:p w14:paraId="6FECBA2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riscul de marjă de credit delta pentru toate pozițiile din securitizare și care nu provin din securitizare;</w:t>
                  </w:r>
                </w:p>
              </w:tc>
            </w:tr>
          </w:tbl>
          <w:p w14:paraId="01685A98"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891" w:type="dxa"/>
              <w:tblLayout w:type="fixed"/>
              <w:tblCellMar>
                <w:left w:w="0" w:type="dxa"/>
                <w:right w:w="0" w:type="dxa"/>
              </w:tblCellMar>
              <w:tblLook w:val="04A0" w:firstRow="1" w:lastRow="0" w:firstColumn="1" w:lastColumn="0" w:noHBand="0" w:noVBand="1"/>
            </w:tblPr>
            <w:tblGrid>
              <w:gridCol w:w="328"/>
              <w:gridCol w:w="114"/>
              <w:gridCol w:w="4449"/>
            </w:tblGrid>
            <w:tr w:rsidR="00D12468" w:rsidRPr="00C011B2" w14:paraId="1C300A0C" w14:textId="77777777" w:rsidTr="00306585">
              <w:tc>
                <w:tcPr>
                  <w:tcW w:w="328" w:type="dxa"/>
                  <w:shd w:val="clear" w:color="auto" w:fill="auto"/>
                  <w:hideMark/>
                </w:tcPr>
                <w:p w14:paraId="1B6827D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cs</w:t>
                  </w:r>
                  <w:r w:rsidRPr="00C011B2">
                    <w:rPr>
                      <w:rFonts w:ascii="Times New Roman" w:hAnsi="Times New Roman" w:cs="Times New Roman"/>
                      <w:color w:val="000000" w:themeColor="text1"/>
                      <w:vertAlign w:val="subscript"/>
                      <w:lang w:val="ro-MD"/>
                    </w:rPr>
                    <w:t>kt</w:t>
                  </w:r>
                </w:p>
              </w:tc>
              <w:tc>
                <w:tcPr>
                  <w:tcW w:w="114" w:type="dxa"/>
                  <w:shd w:val="clear" w:color="auto" w:fill="auto"/>
                  <w:hideMark/>
                </w:tcPr>
                <w:p w14:paraId="05CCA2B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49" w:type="dxa"/>
                  <w:shd w:val="clear" w:color="auto" w:fill="auto"/>
                  <w:hideMark/>
                </w:tcPr>
                <w:p w14:paraId="168C373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marjei de credit a emitentului j la scadența „t”;</w:t>
                  </w:r>
                </w:p>
              </w:tc>
            </w:tr>
          </w:tbl>
          <w:p w14:paraId="79FE393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FA7D23" w14:paraId="6AEB8E0E" w14:textId="77777777" w:rsidTr="00306585">
              <w:tc>
                <w:tcPr>
                  <w:tcW w:w="912" w:type="dxa"/>
                  <w:shd w:val="clear" w:color="auto" w:fill="auto"/>
                  <w:hideMark/>
                </w:tcPr>
                <w:p w14:paraId="28E7280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46F65ED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74A14BF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69B594C3"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96" w:type="dxa"/>
              <w:tblLayout w:type="fixed"/>
              <w:tblCellMar>
                <w:left w:w="0" w:type="dxa"/>
                <w:right w:w="0" w:type="dxa"/>
              </w:tblCellMar>
              <w:tblLook w:val="04A0" w:firstRow="1" w:lastRow="0" w:firstColumn="1" w:lastColumn="0" w:noHBand="0" w:noVBand="1"/>
            </w:tblPr>
            <w:tblGrid>
              <w:gridCol w:w="470"/>
              <w:gridCol w:w="118"/>
              <w:gridCol w:w="4408"/>
            </w:tblGrid>
            <w:tr w:rsidR="00D12468" w:rsidRPr="00C011B2" w14:paraId="5E51AFB0" w14:textId="77777777" w:rsidTr="00306585">
              <w:tc>
                <w:tcPr>
                  <w:tcW w:w="470" w:type="dxa"/>
                  <w:shd w:val="clear" w:color="auto" w:fill="auto"/>
                  <w:hideMark/>
                </w:tcPr>
                <w:p w14:paraId="7618E96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18" w:type="dxa"/>
                  <w:shd w:val="clear" w:color="auto" w:fill="auto"/>
                  <w:hideMark/>
                </w:tcPr>
                <w:p w14:paraId="34BF428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08" w:type="dxa"/>
                  <w:shd w:val="clear" w:color="auto" w:fill="auto"/>
                  <w:hideMark/>
                </w:tcPr>
                <w:p w14:paraId="2868FA2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cs</w:t>
                  </w:r>
                  <w:r w:rsidRPr="00C011B2">
                    <w:rPr>
                      <w:rFonts w:ascii="Times New Roman" w:hAnsi="Times New Roman" w:cs="Times New Roman"/>
                      <w:color w:val="000000" w:themeColor="text1"/>
                      <w:vertAlign w:val="subscript"/>
                      <w:lang w:val="ro-MD"/>
                    </w:rPr>
                    <w:t>kt</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340BB54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3148A1A" w14:textId="2352302C" w:rsidR="00D12468" w:rsidRPr="00C011B2" w:rsidRDefault="001E58F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203.</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sensibilitățile la riscul de marjă de credit delta pentru toate pozițiile din securitizare și care nu provin din securitizare după cum urmează:</w:t>
            </w:r>
          </w:p>
          <w:p w14:paraId="3602C76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72087A7" wp14:editId="3600FAA5">
                  <wp:extent cx="3055620" cy="350520"/>
                  <wp:effectExtent l="0" t="0" r="0" b="0"/>
                  <wp:docPr id="144" name="Picture 1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55620" cy="350520"/>
                          </a:xfrm>
                          <a:prstGeom prst="rect">
                            <a:avLst/>
                          </a:prstGeom>
                          <a:noFill/>
                          <a:ln>
                            <a:noFill/>
                          </a:ln>
                        </pic:spPr>
                      </pic:pic>
                    </a:graphicData>
                  </a:graphic>
                </wp:inline>
              </w:drawing>
            </w:r>
          </w:p>
          <w:p w14:paraId="23A9CBD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247" w:type="dxa"/>
              <w:tblLayout w:type="fixed"/>
              <w:tblCellMar>
                <w:left w:w="0" w:type="dxa"/>
                <w:right w:w="0" w:type="dxa"/>
              </w:tblCellMar>
              <w:tblLook w:val="04A0" w:firstRow="1" w:lastRow="0" w:firstColumn="1" w:lastColumn="0" w:noHBand="0" w:noVBand="1"/>
            </w:tblPr>
            <w:tblGrid>
              <w:gridCol w:w="896"/>
              <w:gridCol w:w="76"/>
              <w:gridCol w:w="4275"/>
            </w:tblGrid>
            <w:tr w:rsidR="00D12468" w:rsidRPr="00C011B2" w14:paraId="1245F6DE" w14:textId="77777777" w:rsidTr="001E785F">
              <w:tc>
                <w:tcPr>
                  <w:tcW w:w="896" w:type="dxa"/>
                  <w:shd w:val="clear" w:color="auto" w:fill="auto"/>
                  <w:hideMark/>
                </w:tcPr>
                <w:p w14:paraId="43FC9FE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E9C51D9" wp14:editId="2DFCDDBB">
                        <wp:extent cx="584200" cy="336550"/>
                        <wp:effectExtent l="0" t="0" r="6350" b="6350"/>
                        <wp:docPr id="145" name="Picture 1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4200" cy="336550"/>
                                </a:xfrm>
                                <a:prstGeom prst="rect">
                                  <a:avLst/>
                                </a:prstGeom>
                                <a:noFill/>
                                <a:ln>
                                  <a:noFill/>
                                </a:ln>
                              </pic:spPr>
                            </pic:pic>
                          </a:graphicData>
                        </a:graphic>
                      </wp:inline>
                    </w:drawing>
                  </w:r>
                </w:p>
              </w:tc>
              <w:tc>
                <w:tcPr>
                  <w:tcW w:w="76" w:type="dxa"/>
                  <w:shd w:val="clear" w:color="auto" w:fill="auto"/>
                  <w:hideMark/>
                </w:tcPr>
                <w:p w14:paraId="4D8F941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75" w:type="dxa"/>
                  <w:shd w:val="clear" w:color="auto" w:fill="auto"/>
                  <w:hideMark/>
                </w:tcPr>
                <w:p w14:paraId="18305BF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riscul de marjă de credit delta pentru toate pozițiile din securitizare și care nu provin din securitizare;</w:t>
                  </w:r>
                </w:p>
              </w:tc>
            </w:tr>
          </w:tbl>
          <w:p w14:paraId="211C6317"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891" w:type="dxa"/>
              <w:tblLayout w:type="fixed"/>
              <w:tblCellMar>
                <w:left w:w="0" w:type="dxa"/>
                <w:right w:w="0" w:type="dxa"/>
              </w:tblCellMar>
              <w:tblLook w:val="04A0" w:firstRow="1" w:lastRow="0" w:firstColumn="1" w:lastColumn="0" w:noHBand="0" w:noVBand="1"/>
            </w:tblPr>
            <w:tblGrid>
              <w:gridCol w:w="328"/>
              <w:gridCol w:w="114"/>
              <w:gridCol w:w="4449"/>
            </w:tblGrid>
            <w:tr w:rsidR="00D12468" w:rsidRPr="00C011B2" w14:paraId="5DCF09A8" w14:textId="77777777" w:rsidTr="001E785F">
              <w:tc>
                <w:tcPr>
                  <w:tcW w:w="328" w:type="dxa"/>
                  <w:shd w:val="clear" w:color="auto" w:fill="auto"/>
                  <w:hideMark/>
                </w:tcPr>
                <w:p w14:paraId="591224E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cs</w:t>
                  </w:r>
                  <w:r w:rsidRPr="00C011B2">
                    <w:rPr>
                      <w:rFonts w:ascii="Times New Roman" w:hAnsi="Times New Roman" w:cs="Times New Roman"/>
                      <w:color w:val="000000" w:themeColor="text1"/>
                      <w:vertAlign w:val="subscript"/>
                      <w:lang w:val="ro-MD"/>
                    </w:rPr>
                    <w:t>kt</w:t>
                  </w:r>
                </w:p>
              </w:tc>
              <w:tc>
                <w:tcPr>
                  <w:tcW w:w="114" w:type="dxa"/>
                  <w:shd w:val="clear" w:color="auto" w:fill="auto"/>
                  <w:hideMark/>
                </w:tcPr>
                <w:p w14:paraId="281F5B1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49" w:type="dxa"/>
                  <w:shd w:val="clear" w:color="auto" w:fill="auto"/>
                  <w:hideMark/>
                </w:tcPr>
                <w:p w14:paraId="55F61D4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marjei de credit a emitentului j la scadența „t”;</w:t>
                  </w:r>
                </w:p>
              </w:tc>
            </w:tr>
          </w:tbl>
          <w:p w14:paraId="6AB26771"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FA7D23" w14:paraId="5300908C" w14:textId="77777777" w:rsidTr="001E785F">
              <w:tc>
                <w:tcPr>
                  <w:tcW w:w="912" w:type="dxa"/>
                  <w:shd w:val="clear" w:color="auto" w:fill="auto"/>
                  <w:hideMark/>
                </w:tcPr>
                <w:p w14:paraId="59374C1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396EF9B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716F399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57B6241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96" w:type="dxa"/>
              <w:tblLayout w:type="fixed"/>
              <w:tblCellMar>
                <w:left w:w="0" w:type="dxa"/>
                <w:right w:w="0" w:type="dxa"/>
              </w:tblCellMar>
              <w:tblLook w:val="04A0" w:firstRow="1" w:lastRow="0" w:firstColumn="1" w:lastColumn="0" w:noHBand="0" w:noVBand="1"/>
            </w:tblPr>
            <w:tblGrid>
              <w:gridCol w:w="470"/>
              <w:gridCol w:w="118"/>
              <w:gridCol w:w="4408"/>
            </w:tblGrid>
            <w:tr w:rsidR="00D12468" w:rsidRPr="00C011B2" w14:paraId="07A59A63" w14:textId="77777777" w:rsidTr="001E785F">
              <w:tc>
                <w:tcPr>
                  <w:tcW w:w="470" w:type="dxa"/>
                  <w:shd w:val="clear" w:color="auto" w:fill="auto"/>
                  <w:hideMark/>
                </w:tcPr>
                <w:p w14:paraId="0193B9B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18" w:type="dxa"/>
                  <w:shd w:val="clear" w:color="auto" w:fill="auto"/>
                  <w:hideMark/>
                </w:tcPr>
                <w:p w14:paraId="1B49354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08" w:type="dxa"/>
                  <w:shd w:val="clear" w:color="auto" w:fill="auto"/>
                  <w:hideMark/>
                </w:tcPr>
                <w:p w14:paraId="628E497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cs</w:t>
                  </w:r>
                  <w:r w:rsidRPr="00C011B2">
                    <w:rPr>
                      <w:rFonts w:ascii="Times New Roman" w:hAnsi="Times New Roman" w:cs="Times New Roman"/>
                      <w:color w:val="000000" w:themeColor="text1"/>
                      <w:vertAlign w:val="subscript"/>
                      <w:lang w:val="ro-MD"/>
                    </w:rPr>
                    <w:t>kt</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4036ACA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0C8960AD" w14:textId="0EB925AE"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D4E8B9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0051C0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C5D754" w14:textId="19E264E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Instituțiile calculează sensibilitățile la riscul de devalorizare a titlurilor de capital delta după cum urmează:</w:t>
            </w:r>
          </w:p>
          <w:p w14:paraId="30CD6FFF" w14:textId="1D461EB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sensibilitățile la factorii de risc care constau în prețuri spot ale titlurilor de capital se calculează după cum urmează:</w:t>
            </w:r>
          </w:p>
          <w:p w14:paraId="544E6546" w14:textId="01D0C93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2D68096" wp14:editId="27C9BFD3">
                  <wp:extent cx="3055620" cy="400050"/>
                  <wp:effectExtent l="0" t="0" r="0" b="0"/>
                  <wp:docPr id="51" name="Picture 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55620" cy="400050"/>
                          </a:xfrm>
                          <a:prstGeom prst="rect">
                            <a:avLst/>
                          </a:prstGeom>
                          <a:noFill/>
                          <a:ln>
                            <a:noFill/>
                          </a:ln>
                        </pic:spPr>
                      </pic:pic>
                    </a:graphicData>
                  </a:graphic>
                </wp:inline>
              </w:drawing>
            </w:r>
          </w:p>
          <w:p w14:paraId="5E900DE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997" w:type="dxa"/>
              <w:tblInd w:w="44" w:type="dxa"/>
              <w:tblLayout w:type="fixed"/>
              <w:tblCellMar>
                <w:left w:w="0" w:type="dxa"/>
                <w:right w:w="0" w:type="dxa"/>
              </w:tblCellMar>
              <w:tblLook w:val="04A0" w:firstRow="1" w:lastRow="0" w:firstColumn="1" w:lastColumn="0" w:noHBand="0" w:noVBand="1"/>
            </w:tblPr>
            <w:tblGrid>
              <w:gridCol w:w="284"/>
              <w:gridCol w:w="83"/>
              <w:gridCol w:w="4630"/>
            </w:tblGrid>
            <w:tr w:rsidR="00D12468" w:rsidRPr="00C011B2" w14:paraId="5B7DEAB4" w14:textId="77777777" w:rsidTr="00306585">
              <w:tc>
                <w:tcPr>
                  <w:tcW w:w="284" w:type="dxa"/>
                  <w:shd w:val="clear" w:color="auto" w:fill="auto"/>
                  <w:hideMark/>
                </w:tcPr>
                <w:p w14:paraId="5771A70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83" w:type="dxa"/>
                  <w:shd w:val="clear" w:color="auto" w:fill="auto"/>
                  <w:hideMark/>
                </w:tcPr>
                <w:p w14:paraId="3E2201D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630" w:type="dxa"/>
                  <w:shd w:val="clear" w:color="auto" w:fill="auto"/>
                  <w:hideMark/>
                </w:tcPr>
                <w:p w14:paraId="39ADCC2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factorii de risc care constau în prețuri spot ale titlurilor de capital;</w:t>
                  </w:r>
                </w:p>
              </w:tc>
            </w:tr>
          </w:tbl>
          <w:p w14:paraId="08A1E2D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18"/>
              <w:gridCol w:w="230"/>
              <w:gridCol w:w="4364"/>
            </w:tblGrid>
            <w:tr w:rsidR="00D12468" w:rsidRPr="00C011B2" w14:paraId="4C773E06" w14:textId="77777777" w:rsidTr="00306585">
              <w:tc>
                <w:tcPr>
                  <w:tcW w:w="422" w:type="dxa"/>
                  <w:shd w:val="clear" w:color="auto" w:fill="auto"/>
                  <w:hideMark/>
                </w:tcPr>
                <w:p w14:paraId="4589329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445" w:type="dxa"/>
                  <w:shd w:val="clear" w:color="auto" w:fill="auto"/>
                  <w:hideMark/>
                </w:tcPr>
                <w:p w14:paraId="3B65CF4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822" w:type="dxa"/>
                  <w:shd w:val="clear" w:color="auto" w:fill="auto"/>
                  <w:hideMark/>
                </w:tcPr>
                <w:p w14:paraId="4BCE82A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anumit titlu de capital;</w:t>
                  </w:r>
                </w:p>
              </w:tc>
            </w:tr>
          </w:tbl>
          <w:p w14:paraId="1593419A"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82" w:type="dxa"/>
              <w:tblLayout w:type="fixed"/>
              <w:tblCellMar>
                <w:left w:w="0" w:type="dxa"/>
                <w:right w:w="0" w:type="dxa"/>
              </w:tblCellMar>
              <w:tblLook w:val="04A0" w:firstRow="1" w:lastRow="0" w:firstColumn="1" w:lastColumn="0" w:noHBand="0" w:noVBand="1"/>
            </w:tblPr>
            <w:tblGrid>
              <w:gridCol w:w="470"/>
              <w:gridCol w:w="119"/>
              <w:gridCol w:w="4393"/>
            </w:tblGrid>
            <w:tr w:rsidR="00D12468" w:rsidRPr="00C011B2" w14:paraId="32CAD916" w14:textId="77777777" w:rsidTr="00306585">
              <w:tc>
                <w:tcPr>
                  <w:tcW w:w="470" w:type="dxa"/>
                  <w:shd w:val="clear" w:color="auto" w:fill="auto"/>
                  <w:hideMark/>
                </w:tcPr>
                <w:p w14:paraId="4D48671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EQ</w:t>
                  </w:r>
                  <w:r w:rsidRPr="00C011B2">
                    <w:rPr>
                      <w:rFonts w:ascii="Times New Roman" w:hAnsi="Times New Roman" w:cs="Times New Roman"/>
                      <w:color w:val="000000" w:themeColor="text1"/>
                      <w:vertAlign w:val="subscript"/>
                      <w:lang w:val="ro-MD"/>
                    </w:rPr>
                    <w:t>k</w:t>
                  </w:r>
                </w:p>
              </w:tc>
              <w:tc>
                <w:tcPr>
                  <w:tcW w:w="119" w:type="dxa"/>
                  <w:shd w:val="clear" w:color="auto" w:fill="auto"/>
                  <w:hideMark/>
                </w:tcPr>
                <w:p w14:paraId="6DA8D03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3" w:type="dxa"/>
                  <w:shd w:val="clear" w:color="auto" w:fill="auto"/>
                  <w:hideMark/>
                </w:tcPr>
                <w:p w14:paraId="004A05B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prețului spot al titlului de capital respectiv;</w:t>
                  </w:r>
                </w:p>
              </w:tc>
            </w:tr>
          </w:tbl>
          <w:p w14:paraId="2AF6E807"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FA7D23" w14:paraId="498BC6E8" w14:textId="77777777" w:rsidTr="00306585">
              <w:tc>
                <w:tcPr>
                  <w:tcW w:w="912" w:type="dxa"/>
                  <w:shd w:val="clear" w:color="auto" w:fill="auto"/>
                  <w:hideMark/>
                </w:tcPr>
                <w:p w14:paraId="5D301DE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19F7D3B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538251D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125A8588"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99" w:type="dxa"/>
              <w:tblLayout w:type="fixed"/>
              <w:tblCellMar>
                <w:left w:w="0" w:type="dxa"/>
                <w:right w:w="0" w:type="dxa"/>
              </w:tblCellMar>
              <w:tblLook w:val="04A0" w:firstRow="1" w:lastRow="0" w:firstColumn="1" w:lastColumn="0" w:noHBand="0" w:noVBand="1"/>
            </w:tblPr>
            <w:tblGrid>
              <w:gridCol w:w="470"/>
              <w:gridCol w:w="117"/>
              <w:gridCol w:w="4412"/>
            </w:tblGrid>
            <w:tr w:rsidR="00D12468" w:rsidRPr="00FA7D23" w14:paraId="3EB72489" w14:textId="77777777" w:rsidTr="00306585">
              <w:tc>
                <w:tcPr>
                  <w:tcW w:w="470" w:type="dxa"/>
                  <w:shd w:val="clear" w:color="auto" w:fill="auto"/>
                  <w:hideMark/>
                </w:tcPr>
                <w:p w14:paraId="35C15E5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17" w:type="dxa"/>
                  <w:shd w:val="clear" w:color="auto" w:fill="auto"/>
                  <w:hideMark/>
                </w:tcPr>
                <w:p w14:paraId="564C0DD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3EBB9E5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EQ</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397CD9AE" w14:textId="109E965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sensibilitățile la factori de risc care constau în rate repo ale titlurilor de capital se calculează după cum urmează:</w:t>
            </w:r>
          </w:p>
          <w:p w14:paraId="05B7CBB8" w14:textId="1B87639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2A0FF18E" wp14:editId="54FA25C2">
                  <wp:extent cx="3055620" cy="395605"/>
                  <wp:effectExtent l="0" t="0" r="0" b="4445"/>
                  <wp:docPr id="50" name="Picture 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55620" cy="395605"/>
                          </a:xfrm>
                          <a:prstGeom prst="rect">
                            <a:avLst/>
                          </a:prstGeom>
                          <a:noFill/>
                          <a:ln>
                            <a:noFill/>
                          </a:ln>
                        </pic:spPr>
                      </pic:pic>
                    </a:graphicData>
                  </a:graphic>
                </wp:inline>
              </w:drawing>
            </w:r>
          </w:p>
          <w:p w14:paraId="770F0DB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222" w:type="dxa"/>
              <w:tblLayout w:type="fixed"/>
              <w:tblCellMar>
                <w:left w:w="0" w:type="dxa"/>
                <w:right w:w="0" w:type="dxa"/>
              </w:tblCellMar>
              <w:tblLook w:val="04A0" w:firstRow="1" w:lastRow="0" w:firstColumn="1" w:lastColumn="0" w:noHBand="0" w:noVBand="1"/>
            </w:tblPr>
            <w:tblGrid>
              <w:gridCol w:w="754"/>
              <w:gridCol w:w="82"/>
              <w:gridCol w:w="4386"/>
            </w:tblGrid>
            <w:tr w:rsidR="00D12468" w:rsidRPr="00C011B2" w14:paraId="24E6B1C1" w14:textId="77777777" w:rsidTr="00306585">
              <w:tc>
                <w:tcPr>
                  <w:tcW w:w="754" w:type="dxa"/>
                  <w:shd w:val="clear" w:color="auto" w:fill="auto"/>
                  <w:hideMark/>
                </w:tcPr>
                <w:p w14:paraId="178DDDFB" w14:textId="4AFE23B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0B2A030" wp14:editId="7AF2ADB0">
                        <wp:extent cx="393700" cy="323850"/>
                        <wp:effectExtent l="0" t="0" r="6350" b="0"/>
                        <wp:docPr id="49" name="Picture 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3700" cy="323850"/>
                                </a:xfrm>
                                <a:prstGeom prst="rect">
                                  <a:avLst/>
                                </a:prstGeom>
                                <a:noFill/>
                                <a:ln>
                                  <a:noFill/>
                                </a:ln>
                              </pic:spPr>
                            </pic:pic>
                          </a:graphicData>
                        </a:graphic>
                      </wp:inline>
                    </w:drawing>
                  </w:r>
                </w:p>
              </w:tc>
              <w:tc>
                <w:tcPr>
                  <w:tcW w:w="82" w:type="dxa"/>
                  <w:shd w:val="clear" w:color="auto" w:fill="auto"/>
                  <w:hideMark/>
                </w:tcPr>
                <w:p w14:paraId="3889982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86" w:type="dxa"/>
                  <w:shd w:val="clear" w:color="auto" w:fill="auto"/>
                  <w:hideMark/>
                </w:tcPr>
                <w:p w14:paraId="119F3CA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 de risc care constau în rate repo ale titlurilor de capital;</w:t>
                  </w:r>
                </w:p>
              </w:tc>
            </w:tr>
          </w:tbl>
          <w:p w14:paraId="413DFFD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43"/>
              <w:gridCol w:w="151"/>
              <w:gridCol w:w="4518"/>
            </w:tblGrid>
            <w:tr w:rsidR="00D12468" w:rsidRPr="00FA7D23" w14:paraId="7BEB83CF" w14:textId="77777777" w:rsidTr="00306585">
              <w:tc>
                <w:tcPr>
                  <w:tcW w:w="270" w:type="dxa"/>
                  <w:shd w:val="clear" w:color="auto" w:fill="auto"/>
                  <w:hideMark/>
                </w:tcPr>
                <w:p w14:paraId="028CED4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285" w:type="dxa"/>
                  <w:shd w:val="clear" w:color="auto" w:fill="auto"/>
                  <w:hideMark/>
                </w:tcPr>
                <w:p w14:paraId="7378185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34" w:type="dxa"/>
                  <w:shd w:val="clear" w:color="auto" w:fill="auto"/>
                  <w:hideMark/>
                </w:tcPr>
                <w:p w14:paraId="614A56A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titlul de capital;</w:t>
                  </w:r>
                </w:p>
              </w:tc>
            </w:tr>
          </w:tbl>
          <w:p w14:paraId="152C840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33" w:type="dxa"/>
              <w:tblLayout w:type="fixed"/>
              <w:tblCellMar>
                <w:left w:w="0" w:type="dxa"/>
                <w:right w:w="0" w:type="dxa"/>
              </w:tblCellMar>
              <w:tblLook w:val="04A0" w:firstRow="1" w:lastRow="0" w:firstColumn="1" w:lastColumn="0" w:noHBand="0" w:noVBand="1"/>
            </w:tblPr>
            <w:tblGrid>
              <w:gridCol w:w="612"/>
              <w:gridCol w:w="76"/>
              <w:gridCol w:w="4445"/>
            </w:tblGrid>
            <w:tr w:rsidR="00D12468" w:rsidRPr="00FA7D23" w14:paraId="6174A545" w14:textId="77777777" w:rsidTr="00306585">
              <w:tc>
                <w:tcPr>
                  <w:tcW w:w="612" w:type="dxa"/>
                  <w:shd w:val="clear" w:color="auto" w:fill="auto"/>
                  <w:hideMark/>
                </w:tcPr>
                <w:p w14:paraId="67D2B745" w14:textId="40A5651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FB835D8" wp14:editId="7A022DD6">
                        <wp:extent cx="361950" cy="279400"/>
                        <wp:effectExtent l="0" t="0" r="0" b="6350"/>
                        <wp:docPr id="48" name="Picture 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p>
              </w:tc>
              <w:tc>
                <w:tcPr>
                  <w:tcW w:w="76" w:type="dxa"/>
                  <w:shd w:val="clear" w:color="auto" w:fill="auto"/>
                  <w:hideMark/>
                </w:tcPr>
                <w:p w14:paraId="19CDB60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45" w:type="dxa"/>
                  <w:shd w:val="clear" w:color="auto" w:fill="auto"/>
                  <w:hideMark/>
                </w:tcPr>
                <w:p w14:paraId="03CCC38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vector din m componente care reprezintă structura termenului repo pentru un anumit titlu de capital k, m fiind egal cu numărul de rate repo care corespund diferitelor scadențe utilizate în modelul de evaluare al instrumentului i;</w:t>
                  </w:r>
                </w:p>
              </w:tc>
            </w:tr>
          </w:tbl>
          <w:p w14:paraId="52F52281"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576"/>
              <w:gridCol w:w="145"/>
              <w:gridCol w:w="4091"/>
            </w:tblGrid>
            <w:tr w:rsidR="00D12468" w:rsidRPr="00C011B2" w14:paraId="2120100F" w14:textId="77777777" w:rsidTr="00306585">
              <w:tc>
                <w:tcPr>
                  <w:tcW w:w="1145" w:type="dxa"/>
                  <w:shd w:val="clear" w:color="auto" w:fill="auto"/>
                  <w:hideMark/>
                </w:tcPr>
                <w:p w14:paraId="213991EC" w14:textId="0DA1319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8F6623A" wp14:editId="727F02F4">
                        <wp:extent cx="355600" cy="336550"/>
                        <wp:effectExtent l="0" t="0" r="6350" b="6350"/>
                        <wp:docPr id="47" name="Picture 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p>
              </w:tc>
              <w:tc>
                <w:tcPr>
                  <w:tcW w:w="274" w:type="dxa"/>
                  <w:shd w:val="clear" w:color="auto" w:fill="auto"/>
                  <w:hideMark/>
                </w:tcPr>
                <w:p w14:paraId="389FC32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70" w:type="dxa"/>
                  <w:shd w:val="clear" w:color="auto" w:fill="auto"/>
                  <w:hideMark/>
                </w:tcPr>
                <w:p w14:paraId="640EA6C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matricea unitară de dimensiuni (1 · m);</w:t>
                  </w:r>
                </w:p>
              </w:tc>
            </w:tr>
          </w:tbl>
          <w:p w14:paraId="6614D009"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FA7D23" w14:paraId="65C806C2" w14:textId="77777777" w:rsidTr="00306585">
              <w:tc>
                <w:tcPr>
                  <w:tcW w:w="912" w:type="dxa"/>
                  <w:shd w:val="clear" w:color="auto" w:fill="auto"/>
                  <w:hideMark/>
                </w:tcPr>
                <w:p w14:paraId="477DD92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41FFF4D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136005B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45B8330B"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39"/>
              <w:gridCol w:w="182"/>
              <w:gridCol w:w="4191"/>
            </w:tblGrid>
            <w:tr w:rsidR="00D12468" w:rsidRPr="00C011B2" w14:paraId="342E0199" w14:textId="77777777" w:rsidTr="00306585">
              <w:tc>
                <w:tcPr>
                  <w:tcW w:w="870" w:type="dxa"/>
                  <w:shd w:val="clear" w:color="auto" w:fill="auto"/>
                  <w:hideMark/>
                </w:tcPr>
                <w:p w14:paraId="468AFC6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348" w:type="dxa"/>
                  <w:shd w:val="clear" w:color="auto" w:fill="auto"/>
                  <w:hideMark/>
                </w:tcPr>
                <w:p w14:paraId="5D02836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471" w:type="dxa"/>
                  <w:shd w:val="clear" w:color="auto" w:fill="auto"/>
                  <w:hideMark/>
                </w:tcPr>
                <w:p w14:paraId="44776A18" w14:textId="2FAE668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w:t>
                  </w:r>
                  <w:r w:rsidRPr="00C011B2">
                    <w:rPr>
                      <w:rFonts w:ascii="Times New Roman" w:hAnsi="Times New Roman" w:cs="Times New Roman"/>
                      <w:color w:val="000000" w:themeColor="text1"/>
                      <w:lang w:val="ro-MD"/>
                    </w:rPr>
                    <w:br/>
                  </w:r>
                  <w:r w:rsidRPr="00C011B2">
                    <w:rPr>
                      <w:rFonts w:ascii="Times New Roman" w:hAnsi="Times New Roman" w:cs="Times New Roman"/>
                      <w:noProof/>
                      <w:color w:val="000000" w:themeColor="text1"/>
                      <w:lang w:val="ro-MD"/>
                    </w:rPr>
                    <w:drawing>
                      <wp:inline distT="0" distB="0" distL="0" distR="0" wp14:anchorId="1F234535" wp14:editId="49C1ED03">
                        <wp:extent cx="361950" cy="279400"/>
                        <wp:effectExtent l="0" t="0" r="0" b="6350"/>
                        <wp:docPr id="46" name="Picture 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00F4ACF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58D317FD" w14:textId="08E3DC67" w:rsidR="00D12468" w:rsidRPr="00C011B2" w:rsidRDefault="001E58F2" w:rsidP="00D12468">
            <w:pPr>
              <w:spacing w:after="0" w:line="276" w:lineRule="auto"/>
              <w:jc w:val="both"/>
              <w:rPr>
                <w:rFonts w:ascii="Times New Roman" w:hAnsi="Times New Roman" w:cs="Times New Roman"/>
                <w:color w:val="000000" w:themeColor="text1"/>
                <w:lang w:val="ro-MD"/>
              </w:rPr>
            </w:pPr>
            <w:bookmarkStart w:id="184" w:name="_Hlk222991795"/>
            <w:r w:rsidRPr="00C011B2">
              <w:rPr>
                <w:rFonts w:ascii="Times New Roman" w:hAnsi="Times New Roman" w:cs="Times New Roman"/>
                <w:color w:val="000000" w:themeColor="text1"/>
                <w:lang w:val="ro-MD"/>
              </w:rPr>
              <w:lastRenderedPageBreak/>
              <w:t>204.</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sensibilitățile la riscul de devalorizare a titlurilor de capital delta după cum urmează:</w:t>
            </w:r>
          </w:p>
          <w:p w14:paraId="354C2292" w14:textId="288B1258" w:rsidR="00D12468" w:rsidRPr="00C011B2" w:rsidRDefault="001E58F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204.1.</w:t>
            </w:r>
            <w:r w:rsidR="00D12468" w:rsidRPr="00C011B2">
              <w:rPr>
                <w:rFonts w:ascii="Times New Roman" w:hAnsi="Times New Roman" w:cs="Times New Roman"/>
                <w:color w:val="000000" w:themeColor="text1"/>
                <w:lang w:val="ro-MD"/>
              </w:rPr>
              <w:t> sensibilitățile la factorii de risc care constau în prețuri spot ale titlurilor de capital se calculează după cum urmează:</w:t>
            </w:r>
          </w:p>
          <w:p w14:paraId="44D716D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371FBE0" wp14:editId="26D89B31">
                  <wp:extent cx="3055620" cy="400050"/>
                  <wp:effectExtent l="0" t="0" r="0" b="0"/>
                  <wp:docPr id="146" name="Picture 1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55620" cy="400050"/>
                          </a:xfrm>
                          <a:prstGeom prst="rect">
                            <a:avLst/>
                          </a:prstGeom>
                          <a:noFill/>
                          <a:ln>
                            <a:noFill/>
                          </a:ln>
                        </pic:spPr>
                      </pic:pic>
                    </a:graphicData>
                  </a:graphic>
                </wp:inline>
              </w:drawing>
            </w:r>
          </w:p>
          <w:p w14:paraId="0A938A0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997" w:type="dxa"/>
              <w:tblInd w:w="44" w:type="dxa"/>
              <w:tblLayout w:type="fixed"/>
              <w:tblCellMar>
                <w:left w:w="0" w:type="dxa"/>
                <w:right w:w="0" w:type="dxa"/>
              </w:tblCellMar>
              <w:tblLook w:val="04A0" w:firstRow="1" w:lastRow="0" w:firstColumn="1" w:lastColumn="0" w:noHBand="0" w:noVBand="1"/>
            </w:tblPr>
            <w:tblGrid>
              <w:gridCol w:w="284"/>
              <w:gridCol w:w="83"/>
              <w:gridCol w:w="4630"/>
            </w:tblGrid>
            <w:tr w:rsidR="00D12468" w:rsidRPr="00C011B2" w14:paraId="382050E0" w14:textId="77777777" w:rsidTr="001E785F">
              <w:tc>
                <w:tcPr>
                  <w:tcW w:w="284" w:type="dxa"/>
                  <w:shd w:val="clear" w:color="auto" w:fill="auto"/>
                  <w:hideMark/>
                </w:tcPr>
                <w:p w14:paraId="5923CFB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83" w:type="dxa"/>
                  <w:shd w:val="clear" w:color="auto" w:fill="auto"/>
                  <w:hideMark/>
                </w:tcPr>
                <w:p w14:paraId="4DE3914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630" w:type="dxa"/>
                  <w:shd w:val="clear" w:color="auto" w:fill="auto"/>
                  <w:hideMark/>
                </w:tcPr>
                <w:p w14:paraId="2E48C0F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factorii de risc care constau în prețuri spot ale titlurilor de capital;</w:t>
                  </w:r>
                </w:p>
              </w:tc>
            </w:tr>
          </w:tbl>
          <w:p w14:paraId="4ACB663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31"/>
              <w:gridCol w:w="243"/>
              <w:gridCol w:w="4637"/>
            </w:tblGrid>
            <w:tr w:rsidR="00D12468" w:rsidRPr="00C011B2" w14:paraId="797E5826" w14:textId="77777777" w:rsidTr="001E785F">
              <w:tc>
                <w:tcPr>
                  <w:tcW w:w="422" w:type="dxa"/>
                  <w:shd w:val="clear" w:color="auto" w:fill="auto"/>
                  <w:hideMark/>
                </w:tcPr>
                <w:p w14:paraId="781DE2D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445" w:type="dxa"/>
                  <w:shd w:val="clear" w:color="auto" w:fill="auto"/>
                  <w:hideMark/>
                </w:tcPr>
                <w:p w14:paraId="2D9514A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822" w:type="dxa"/>
                  <w:shd w:val="clear" w:color="auto" w:fill="auto"/>
                  <w:hideMark/>
                </w:tcPr>
                <w:p w14:paraId="4B46E2F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anumit titlu de capital;</w:t>
                  </w:r>
                </w:p>
              </w:tc>
            </w:tr>
          </w:tbl>
          <w:p w14:paraId="7F08A702"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82" w:type="dxa"/>
              <w:tblLayout w:type="fixed"/>
              <w:tblCellMar>
                <w:left w:w="0" w:type="dxa"/>
                <w:right w:w="0" w:type="dxa"/>
              </w:tblCellMar>
              <w:tblLook w:val="04A0" w:firstRow="1" w:lastRow="0" w:firstColumn="1" w:lastColumn="0" w:noHBand="0" w:noVBand="1"/>
            </w:tblPr>
            <w:tblGrid>
              <w:gridCol w:w="470"/>
              <w:gridCol w:w="119"/>
              <w:gridCol w:w="4393"/>
            </w:tblGrid>
            <w:tr w:rsidR="00D12468" w:rsidRPr="00C011B2" w14:paraId="2C7EFBAA" w14:textId="77777777" w:rsidTr="001E785F">
              <w:tc>
                <w:tcPr>
                  <w:tcW w:w="470" w:type="dxa"/>
                  <w:shd w:val="clear" w:color="auto" w:fill="auto"/>
                  <w:hideMark/>
                </w:tcPr>
                <w:p w14:paraId="09FBE5A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EQ</w:t>
                  </w:r>
                  <w:r w:rsidRPr="00C011B2">
                    <w:rPr>
                      <w:rFonts w:ascii="Times New Roman" w:hAnsi="Times New Roman" w:cs="Times New Roman"/>
                      <w:color w:val="000000" w:themeColor="text1"/>
                      <w:vertAlign w:val="subscript"/>
                      <w:lang w:val="ro-MD"/>
                    </w:rPr>
                    <w:t>k</w:t>
                  </w:r>
                </w:p>
              </w:tc>
              <w:tc>
                <w:tcPr>
                  <w:tcW w:w="119" w:type="dxa"/>
                  <w:shd w:val="clear" w:color="auto" w:fill="auto"/>
                  <w:hideMark/>
                </w:tcPr>
                <w:p w14:paraId="1FA5D6C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3" w:type="dxa"/>
                  <w:shd w:val="clear" w:color="auto" w:fill="auto"/>
                  <w:hideMark/>
                </w:tcPr>
                <w:p w14:paraId="382CDF4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prețului spot al titlului de capital respectiv;</w:t>
                  </w:r>
                </w:p>
              </w:tc>
            </w:tr>
          </w:tbl>
          <w:p w14:paraId="1E89842C"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FA7D23" w14:paraId="64F5275B" w14:textId="77777777" w:rsidTr="001E785F">
              <w:tc>
                <w:tcPr>
                  <w:tcW w:w="912" w:type="dxa"/>
                  <w:shd w:val="clear" w:color="auto" w:fill="auto"/>
                  <w:hideMark/>
                </w:tcPr>
                <w:p w14:paraId="1CA0568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4E24BBB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7241E4D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2BF3B5B0"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99" w:type="dxa"/>
              <w:tblLayout w:type="fixed"/>
              <w:tblCellMar>
                <w:left w:w="0" w:type="dxa"/>
                <w:right w:w="0" w:type="dxa"/>
              </w:tblCellMar>
              <w:tblLook w:val="04A0" w:firstRow="1" w:lastRow="0" w:firstColumn="1" w:lastColumn="0" w:noHBand="0" w:noVBand="1"/>
            </w:tblPr>
            <w:tblGrid>
              <w:gridCol w:w="470"/>
              <w:gridCol w:w="117"/>
              <w:gridCol w:w="4412"/>
            </w:tblGrid>
            <w:tr w:rsidR="00D12468" w:rsidRPr="00FA7D23" w14:paraId="4E28B75E" w14:textId="77777777" w:rsidTr="001E785F">
              <w:tc>
                <w:tcPr>
                  <w:tcW w:w="470" w:type="dxa"/>
                  <w:shd w:val="clear" w:color="auto" w:fill="auto"/>
                  <w:hideMark/>
                </w:tcPr>
                <w:p w14:paraId="3F8DDC6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17" w:type="dxa"/>
                  <w:shd w:val="clear" w:color="auto" w:fill="auto"/>
                  <w:hideMark/>
                </w:tcPr>
                <w:p w14:paraId="404E4A5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1686D86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EQ</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0B0F63B9" w14:textId="7A4B72E9" w:rsidR="00D12468" w:rsidRPr="00C011B2" w:rsidRDefault="001E58F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204.2.</w:t>
            </w:r>
            <w:r w:rsidR="00D12468" w:rsidRPr="00C011B2">
              <w:rPr>
                <w:rFonts w:ascii="Times New Roman" w:hAnsi="Times New Roman" w:cs="Times New Roman"/>
                <w:color w:val="000000" w:themeColor="text1"/>
                <w:lang w:val="ro-MD"/>
              </w:rPr>
              <w:t> sensibilitățile la factori de risc care constau în rate repo ale titlurilor de capital se calculează după cum urmează:</w:t>
            </w:r>
          </w:p>
          <w:p w14:paraId="68716A2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5EC65FF8" wp14:editId="7B5C9DA2">
                  <wp:extent cx="3055620" cy="395605"/>
                  <wp:effectExtent l="0" t="0" r="0" b="4445"/>
                  <wp:docPr id="147" name="Picture 14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55620" cy="395605"/>
                          </a:xfrm>
                          <a:prstGeom prst="rect">
                            <a:avLst/>
                          </a:prstGeom>
                          <a:noFill/>
                          <a:ln>
                            <a:noFill/>
                          </a:ln>
                        </pic:spPr>
                      </pic:pic>
                    </a:graphicData>
                  </a:graphic>
                </wp:inline>
              </w:drawing>
            </w:r>
          </w:p>
          <w:p w14:paraId="6201371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222" w:type="dxa"/>
              <w:tblLayout w:type="fixed"/>
              <w:tblCellMar>
                <w:left w:w="0" w:type="dxa"/>
                <w:right w:w="0" w:type="dxa"/>
              </w:tblCellMar>
              <w:tblLook w:val="04A0" w:firstRow="1" w:lastRow="0" w:firstColumn="1" w:lastColumn="0" w:noHBand="0" w:noVBand="1"/>
            </w:tblPr>
            <w:tblGrid>
              <w:gridCol w:w="754"/>
              <w:gridCol w:w="82"/>
              <w:gridCol w:w="4386"/>
            </w:tblGrid>
            <w:tr w:rsidR="00D12468" w:rsidRPr="00C011B2" w14:paraId="55D63C0B" w14:textId="77777777" w:rsidTr="001E785F">
              <w:tc>
                <w:tcPr>
                  <w:tcW w:w="754" w:type="dxa"/>
                  <w:shd w:val="clear" w:color="auto" w:fill="auto"/>
                  <w:hideMark/>
                </w:tcPr>
                <w:p w14:paraId="63AC96D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B184950" wp14:editId="5DC14678">
                        <wp:extent cx="393700" cy="323850"/>
                        <wp:effectExtent l="0" t="0" r="6350" b="0"/>
                        <wp:docPr id="148" name="Picture 14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3700" cy="323850"/>
                                </a:xfrm>
                                <a:prstGeom prst="rect">
                                  <a:avLst/>
                                </a:prstGeom>
                                <a:noFill/>
                                <a:ln>
                                  <a:noFill/>
                                </a:ln>
                              </pic:spPr>
                            </pic:pic>
                          </a:graphicData>
                        </a:graphic>
                      </wp:inline>
                    </w:drawing>
                  </w:r>
                </w:p>
              </w:tc>
              <w:tc>
                <w:tcPr>
                  <w:tcW w:w="82" w:type="dxa"/>
                  <w:shd w:val="clear" w:color="auto" w:fill="auto"/>
                  <w:hideMark/>
                </w:tcPr>
                <w:p w14:paraId="6F24D77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86" w:type="dxa"/>
                  <w:shd w:val="clear" w:color="auto" w:fill="auto"/>
                  <w:hideMark/>
                </w:tcPr>
                <w:p w14:paraId="736A734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factori de risc care constau în rate repo ale titlurilor de capital;</w:t>
                  </w:r>
                </w:p>
              </w:tc>
            </w:tr>
          </w:tbl>
          <w:p w14:paraId="16CA6191"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51"/>
              <w:gridCol w:w="159"/>
              <w:gridCol w:w="4801"/>
            </w:tblGrid>
            <w:tr w:rsidR="00D12468" w:rsidRPr="00FA7D23" w14:paraId="17F62B4A" w14:textId="77777777" w:rsidTr="001E785F">
              <w:tc>
                <w:tcPr>
                  <w:tcW w:w="270" w:type="dxa"/>
                  <w:shd w:val="clear" w:color="auto" w:fill="auto"/>
                  <w:hideMark/>
                </w:tcPr>
                <w:p w14:paraId="6D0DBCE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285" w:type="dxa"/>
                  <w:shd w:val="clear" w:color="auto" w:fill="auto"/>
                  <w:hideMark/>
                </w:tcPr>
                <w:p w14:paraId="43150A3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34" w:type="dxa"/>
                  <w:shd w:val="clear" w:color="auto" w:fill="auto"/>
                  <w:hideMark/>
                </w:tcPr>
                <w:p w14:paraId="1934C1A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titlul de capital;</w:t>
                  </w:r>
                </w:p>
              </w:tc>
            </w:tr>
          </w:tbl>
          <w:p w14:paraId="59E786E1"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133" w:type="dxa"/>
              <w:tblLayout w:type="fixed"/>
              <w:tblCellMar>
                <w:left w:w="0" w:type="dxa"/>
                <w:right w:w="0" w:type="dxa"/>
              </w:tblCellMar>
              <w:tblLook w:val="04A0" w:firstRow="1" w:lastRow="0" w:firstColumn="1" w:lastColumn="0" w:noHBand="0" w:noVBand="1"/>
            </w:tblPr>
            <w:tblGrid>
              <w:gridCol w:w="612"/>
              <w:gridCol w:w="76"/>
              <w:gridCol w:w="4445"/>
            </w:tblGrid>
            <w:tr w:rsidR="00D12468" w:rsidRPr="00C011B2" w14:paraId="4EB0CE31" w14:textId="77777777" w:rsidTr="001E785F">
              <w:tc>
                <w:tcPr>
                  <w:tcW w:w="612" w:type="dxa"/>
                  <w:shd w:val="clear" w:color="auto" w:fill="auto"/>
                  <w:hideMark/>
                </w:tcPr>
                <w:p w14:paraId="222E4D2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AB96393" wp14:editId="152DF385">
                        <wp:extent cx="361950" cy="279400"/>
                        <wp:effectExtent l="0" t="0" r="0" b="6350"/>
                        <wp:docPr id="149" name="Picture 1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p>
              </w:tc>
              <w:tc>
                <w:tcPr>
                  <w:tcW w:w="76" w:type="dxa"/>
                  <w:shd w:val="clear" w:color="auto" w:fill="auto"/>
                  <w:hideMark/>
                </w:tcPr>
                <w:p w14:paraId="65522B0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45" w:type="dxa"/>
                  <w:shd w:val="clear" w:color="auto" w:fill="auto"/>
                  <w:hideMark/>
                </w:tcPr>
                <w:p w14:paraId="1C499A4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vector din m componente care reprezintă structura termenului repo pentru un anumit titlu de capital k, m fiind egal cu numărul de rate repo care corespund diferitelor scadențe utilizate în modelul de evaluare al instrumentului i;</w:t>
                  </w:r>
                </w:p>
              </w:tc>
            </w:tr>
          </w:tbl>
          <w:p w14:paraId="6FE30850"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610"/>
              <w:gridCol w:w="153"/>
              <w:gridCol w:w="4348"/>
            </w:tblGrid>
            <w:tr w:rsidR="00D12468" w:rsidRPr="00C011B2" w14:paraId="213163AC" w14:textId="77777777" w:rsidTr="001E785F">
              <w:tc>
                <w:tcPr>
                  <w:tcW w:w="1145" w:type="dxa"/>
                  <w:shd w:val="clear" w:color="auto" w:fill="auto"/>
                  <w:hideMark/>
                </w:tcPr>
                <w:p w14:paraId="73C2CF1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EE3E51F" wp14:editId="27D9ABC2">
                        <wp:extent cx="355600" cy="336550"/>
                        <wp:effectExtent l="0" t="0" r="6350" b="6350"/>
                        <wp:docPr id="150" name="Picture 15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p>
              </w:tc>
              <w:tc>
                <w:tcPr>
                  <w:tcW w:w="274" w:type="dxa"/>
                  <w:shd w:val="clear" w:color="auto" w:fill="auto"/>
                  <w:hideMark/>
                </w:tcPr>
                <w:p w14:paraId="138F59B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70" w:type="dxa"/>
                  <w:shd w:val="clear" w:color="auto" w:fill="auto"/>
                  <w:hideMark/>
                </w:tcPr>
                <w:p w14:paraId="7D72339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matricea unitară de dimensiuni (1 · m);</w:t>
                  </w:r>
                </w:p>
              </w:tc>
            </w:tr>
          </w:tbl>
          <w:p w14:paraId="7EC98C3B"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C011B2" w14:paraId="223B8FC8" w14:textId="77777777" w:rsidTr="001E785F">
              <w:tc>
                <w:tcPr>
                  <w:tcW w:w="912" w:type="dxa"/>
                  <w:shd w:val="clear" w:color="auto" w:fill="auto"/>
                  <w:hideMark/>
                </w:tcPr>
                <w:p w14:paraId="1515AFF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7C0C6C5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03A669F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6207B2D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6"/>
              <w:gridCol w:w="192"/>
              <w:gridCol w:w="4453"/>
            </w:tblGrid>
            <w:tr w:rsidR="00D12468" w:rsidRPr="00C011B2" w14:paraId="2E112981" w14:textId="77777777" w:rsidTr="001E785F">
              <w:tc>
                <w:tcPr>
                  <w:tcW w:w="870" w:type="dxa"/>
                  <w:shd w:val="clear" w:color="auto" w:fill="auto"/>
                  <w:hideMark/>
                </w:tcPr>
                <w:p w14:paraId="5C64AB0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348" w:type="dxa"/>
                  <w:shd w:val="clear" w:color="auto" w:fill="auto"/>
                  <w:hideMark/>
                </w:tcPr>
                <w:p w14:paraId="1D0161D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471" w:type="dxa"/>
                  <w:shd w:val="clear" w:color="auto" w:fill="auto"/>
                  <w:hideMark/>
                </w:tcPr>
                <w:p w14:paraId="59124C9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w:t>
                  </w:r>
                  <w:r w:rsidRPr="00C011B2">
                    <w:rPr>
                      <w:rFonts w:ascii="Times New Roman" w:hAnsi="Times New Roman" w:cs="Times New Roman"/>
                      <w:color w:val="000000" w:themeColor="text1"/>
                      <w:lang w:val="ro-MD"/>
                    </w:rPr>
                    <w:br/>
                  </w:r>
                  <w:r w:rsidRPr="00C011B2">
                    <w:rPr>
                      <w:rFonts w:ascii="Times New Roman" w:hAnsi="Times New Roman" w:cs="Times New Roman"/>
                      <w:noProof/>
                      <w:color w:val="000000" w:themeColor="text1"/>
                      <w:lang w:val="ro-MD"/>
                    </w:rPr>
                    <w:drawing>
                      <wp:inline distT="0" distB="0" distL="0" distR="0" wp14:anchorId="649EEE9E" wp14:editId="403505A1">
                        <wp:extent cx="361950" cy="279400"/>
                        <wp:effectExtent l="0" t="0" r="0" b="6350"/>
                        <wp:docPr id="151" name="Picture 1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bookmarkEnd w:id="184"/>
          </w:tbl>
          <w:p w14:paraId="459CB9C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288FE1A9" w14:textId="27FAD323"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2D0D19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68C202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28274BD" w14:textId="2BB3557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Instituțiile calculează sensibilitățile la riscul de marfă delta pentru fiecare factor de risc după cum urmează:</w:t>
            </w:r>
          </w:p>
          <w:p w14:paraId="61C51A1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86312D5" wp14:editId="1BD65FEE">
                  <wp:extent cx="3055620" cy="385445"/>
                  <wp:effectExtent l="0" t="0" r="0" b="0"/>
                  <wp:docPr id="45" name="Picture 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55620" cy="385445"/>
                          </a:xfrm>
                          <a:prstGeom prst="rect">
                            <a:avLst/>
                          </a:prstGeom>
                          <a:noFill/>
                          <a:ln>
                            <a:noFill/>
                          </a:ln>
                        </pic:spPr>
                      </pic:pic>
                    </a:graphicData>
                  </a:graphic>
                </wp:inline>
              </w:drawing>
            </w:r>
          </w:p>
          <w:p w14:paraId="61873C6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97"/>
              <w:gridCol w:w="164"/>
              <w:gridCol w:w="4451"/>
            </w:tblGrid>
            <w:tr w:rsidR="00D12468" w:rsidRPr="00C011B2" w14:paraId="5F305D07" w14:textId="77777777" w:rsidTr="001E785F">
              <w:tc>
                <w:tcPr>
                  <w:tcW w:w="378" w:type="dxa"/>
                  <w:shd w:val="clear" w:color="auto" w:fill="auto"/>
                  <w:hideMark/>
                </w:tcPr>
                <w:p w14:paraId="1C2668E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312" w:type="dxa"/>
                  <w:shd w:val="clear" w:color="auto" w:fill="auto"/>
                  <w:hideMark/>
                </w:tcPr>
                <w:p w14:paraId="08936C6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999" w:type="dxa"/>
                  <w:shd w:val="clear" w:color="auto" w:fill="auto"/>
                  <w:hideMark/>
                </w:tcPr>
                <w:p w14:paraId="1AB2FA1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riscul de marfă delta;</w:t>
                  </w:r>
                </w:p>
              </w:tc>
            </w:tr>
          </w:tbl>
          <w:p w14:paraId="5D6DC33D"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91"/>
              <w:gridCol w:w="202"/>
              <w:gridCol w:w="4419"/>
            </w:tblGrid>
            <w:tr w:rsidR="00D12468" w:rsidRPr="00C011B2" w14:paraId="322FDC7E" w14:textId="77777777" w:rsidTr="001E785F">
              <w:tc>
                <w:tcPr>
                  <w:tcW w:w="367" w:type="dxa"/>
                  <w:shd w:val="clear" w:color="auto" w:fill="auto"/>
                  <w:hideMark/>
                </w:tcPr>
                <w:p w14:paraId="56E7D20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388" w:type="dxa"/>
                  <w:shd w:val="clear" w:color="auto" w:fill="auto"/>
                  <w:hideMark/>
                </w:tcPr>
                <w:p w14:paraId="167037D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934" w:type="dxa"/>
                  <w:shd w:val="clear" w:color="auto" w:fill="auto"/>
                  <w:hideMark/>
                </w:tcPr>
                <w:p w14:paraId="6A1B3E3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factor de risc de marfă dat;</w:t>
                  </w:r>
                </w:p>
              </w:tc>
            </w:tr>
          </w:tbl>
          <w:p w14:paraId="712A8CE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622"/>
              <w:gridCol w:w="182"/>
              <w:gridCol w:w="4008"/>
            </w:tblGrid>
            <w:tr w:rsidR="00D12468" w:rsidRPr="00C011B2" w14:paraId="4C98A571" w14:textId="77777777" w:rsidTr="001E785F">
              <w:tc>
                <w:tcPr>
                  <w:tcW w:w="1240" w:type="dxa"/>
                  <w:shd w:val="clear" w:color="auto" w:fill="auto"/>
                  <w:hideMark/>
                </w:tcPr>
                <w:p w14:paraId="086DB1C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CTY</w:t>
                  </w:r>
                  <w:r w:rsidRPr="00C011B2">
                    <w:rPr>
                      <w:rFonts w:ascii="Times New Roman" w:hAnsi="Times New Roman" w:cs="Times New Roman"/>
                      <w:color w:val="000000" w:themeColor="text1"/>
                      <w:vertAlign w:val="subscript"/>
                      <w:lang w:val="ro-MD"/>
                    </w:rPr>
                    <w:t>k</w:t>
                  </w:r>
                </w:p>
              </w:tc>
              <w:tc>
                <w:tcPr>
                  <w:tcW w:w="349" w:type="dxa"/>
                  <w:shd w:val="clear" w:color="auto" w:fill="auto"/>
                  <w:hideMark/>
                </w:tcPr>
                <w:p w14:paraId="7348CF3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00" w:type="dxa"/>
                  <w:shd w:val="clear" w:color="auto" w:fill="auto"/>
                  <w:hideMark/>
                </w:tcPr>
                <w:p w14:paraId="4B42613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factorului de risc „k”;</w:t>
                  </w:r>
                </w:p>
              </w:tc>
            </w:tr>
          </w:tbl>
          <w:p w14:paraId="170FC2CF"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69" w:tooltip="32019R0876R(11): REPLACED" w:history="1">
              <w:r w:rsidR="00D12468" w:rsidRPr="00C011B2">
                <w:rPr>
                  <w:rStyle w:val="Hyperlink"/>
                  <w:rFonts w:ascii="Times New Roman" w:hAnsi="Times New Roman" w:cs="Times New Roman"/>
                  <w:b/>
                  <w:bCs/>
                  <w:lang w:val="ro-MD"/>
                </w:rPr>
                <w:t>▼C7</w:t>
              </w:r>
            </w:hyperlink>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C011B2" w14:paraId="6B39EAD2" w14:textId="77777777" w:rsidTr="001E785F">
              <w:tc>
                <w:tcPr>
                  <w:tcW w:w="912" w:type="dxa"/>
                  <w:shd w:val="clear" w:color="auto" w:fill="auto"/>
                  <w:hideMark/>
                </w:tcPr>
                <w:p w14:paraId="52B1421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75420DE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021B453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27F276D3"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0" w:tooltip="32019R0876: INSERTED" w:history="1">
              <w:r w:rsidR="00D12468" w:rsidRPr="00C011B2">
                <w:rPr>
                  <w:rStyle w:val="Hyperlink"/>
                  <w:rFonts w:ascii="Times New Roman" w:hAnsi="Times New Roman" w:cs="Times New Roman"/>
                  <w:b/>
                  <w:bCs/>
                  <w:lang w:val="ro-MD"/>
                </w:rPr>
                <w:t>▼M8</w:t>
              </w:r>
            </w:hyperlink>
          </w:p>
          <w:tbl>
            <w:tblPr>
              <w:tblW w:w="5075" w:type="dxa"/>
              <w:tblLayout w:type="fixed"/>
              <w:tblCellMar>
                <w:left w:w="0" w:type="dxa"/>
                <w:right w:w="0" w:type="dxa"/>
              </w:tblCellMar>
              <w:tblLook w:val="04A0" w:firstRow="1" w:lastRow="0" w:firstColumn="1" w:lastColumn="0" w:noHBand="0" w:noVBand="1"/>
            </w:tblPr>
            <w:tblGrid>
              <w:gridCol w:w="470"/>
              <w:gridCol w:w="89"/>
              <w:gridCol w:w="4516"/>
            </w:tblGrid>
            <w:tr w:rsidR="00D12468" w:rsidRPr="00C011B2" w14:paraId="5E5A4702" w14:textId="77777777" w:rsidTr="00306585">
              <w:tc>
                <w:tcPr>
                  <w:tcW w:w="470" w:type="dxa"/>
                  <w:shd w:val="clear" w:color="auto" w:fill="auto"/>
                  <w:hideMark/>
                </w:tcPr>
                <w:p w14:paraId="1BC542D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89" w:type="dxa"/>
                  <w:shd w:val="clear" w:color="auto" w:fill="auto"/>
                  <w:hideMark/>
                </w:tcPr>
                <w:p w14:paraId="79A2D35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516" w:type="dxa"/>
                  <w:shd w:val="clear" w:color="auto" w:fill="auto"/>
                  <w:hideMark/>
                </w:tcPr>
                <w:p w14:paraId="76921C7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CTY</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modelul de evaluare al instrumentului „i”.</w:t>
                  </w:r>
                </w:p>
              </w:tc>
            </w:tr>
          </w:tbl>
          <w:p w14:paraId="6AA6844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4D25D059" w14:textId="5EFCD779" w:rsidR="00D12468" w:rsidRPr="00C011B2" w:rsidRDefault="001E58F2" w:rsidP="00D12468">
            <w:pPr>
              <w:spacing w:after="0" w:line="276" w:lineRule="auto"/>
              <w:jc w:val="both"/>
              <w:rPr>
                <w:rFonts w:ascii="Times New Roman" w:hAnsi="Times New Roman" w:cs="Times New Roman"/>
                <w:color w:val="000000" w:themeColor="text1"/>
                <w:lang w:val="ro-MD"/>
              </w:rPr>
            </w:pPr>
            <w:bookmarkStart w:id="185" w:name="_Hlk222992083"/>
            <w:r w:rsidRPr="00C011B2">
              <w:rPr>
                <w:rFonts w:ascii="Times New Roman" w:hAnsi="Times New Roman" w:cs="Times New Roman"/>
                <w:color w:val="000000" w:themeColor="text1"/>
                <w:lang w:val="ro-MD"/>
              </w:rPr>
              <w:lastRenderedPageBreak/>
              <w:t>205.</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sensibilitățile la riscul de marfă delta pentru fiecare factor de risc după cum urmează:</w:t>
            </w:r>
          </w:p>
          <w:p w14:paraId="3EB6BE8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FD62384" wp14:editId="651D58CA">
                  <wp:extent cx="3055620" cy="385445"/>
                  <wp:effectExtent l="0" t="0" r="0" b="0"/>
                  <wp:docPr id="152" name="Picture 1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55620" cy="385445"/>
                          </a:xfrm>
                          <a:prstGeom prst="rect">
                            <a:avLst/>
                          </a:prstGeom>
                          <a:noFill/>
                          <a:ln>
                            <a:noFill/>
                          </a:ln>
                        </pic:spPr>
                      </pic:pic>
                    </a:graphicData>
                  </a:graphic>
                </wp:inline>
              </w:drawing>
            </w:r>
          </w:p>
          <w:p w14:paraId="03B7EC8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208"/>
              <w:gridCol w:w="173"/>
              <w:gridCol w:w="4730"/>
            </w:tblGrid>
            <w:tr w:rsidR="00D12468" w:rsidRPr="00C011B2" w14:paraId="32CA6DCD" w14:textId="77777777" w:rsidTr="001E785F">
              <w:tc>
                <w:tcPr>
                  <w:tcW w:w="378" w:type="dxa"/>
                  <w:shd w:val="clear" w:color="auto" w:fill="auto"/>
                  <w:hideMark/>
                </w:tcPr>
                <w:p w14:paraId="41F8D1D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312" w:type="dxa"/>
                  <w:shd w:val="clear" w:color="auto" w:fill="auto"/>
                  <w:hideMark/>
                </w:tcPr>
                <w:p w14:paraId="0196780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999" w:type="dxa"/>
                  <w:shd w:val="clear" w:color="auto" w:fill="auto"/>
                  <w:hideMark/>
                </w:tcPr>
                <w:p w14:paraId="0486648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riscul de marfă delta;</w:t>
                  </w:r>
                </w:p>
              </w:tc>
            </w:tr>
          </w:tbl>
          <w:p w14:paraId="1AE314A5"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02"/>
              <w:gridCol w:w="213"/>
              <w:gridCol w:w="4696"/>
            </w:tblGrid>
            <w:tr w:rsidR="00D12468" w:rsidRPr="00C011B2" w14:paraId="4E210164" w14:textId="77777777" w:rsidTr="001E785F">
              <w:tc>
                <w:tcPr>
                  <w:tcW w:w="367" w:type="dxa"/>
                  <w:shd w:val="clear" w:color="auto" w:fill="auto"/>
                  <w:hideMark/>
                </w:tcPr>
                <w:p w14:paraId="149BB6D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388" w:type="dxa"/>
                  <w:shd w:val="clear" w:color="auto" w:fill="auto"/>
                  <w:hideMark/>
                </w:tcPr>
                <w:p w14:paraId="34C28E2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934" w:type="dxa"/>
                  <w:shd w:val="clear" w:color="auto" w:fill="auto"/>
                  <w:hideMark/>
                </w:tcPr>
                <w:p w14:paraId="26D4D5F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factor de risc de marfă dat;</w:t>
                  </w:r>
                </w:p>
              </w:tc>
            </w:tr>
          </w:tbl>
          <w:p w14:paraId="633F324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660"/>
              <w:gridCol w:w="193"/>
              <w:gridCol w:w="4258"/>
            </w:tblGrid>
            <w:tr w:rsidR="00D12468" w:rsidRPr="00C011B2" w14:paraId="09838D1D" w14:textId="77777777" w:rsidTr="001E785F">
              <w:tc>
                <w:tcPr>
                  <w:tcW w:w="1240" w:type="dxa"/>
                  <w:shd w:val="clear" w:color="auto" w:fill="auto"/>
                  <w:hideMark/>
                </w:tcPr>
                <w:p w14:paraId="0A79BBB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CTY</w:t>
                  </w:r>
                  <w:r w:rsidRPr="00C011B2">
                    <w:rPr>
                      <w:rFonts w:ascii="Times New Roman" w:hAnsi="Times New Roman" w:cs="Times New Roman"/>
                      <w:color w:val="000000" w:themeColor="text1"/>
                      <w:vertAlign w:val="subscript"/>
                      <w:lang w:val="ro-MD"/>
                    </w:rPr>
                    <w:t>k</w:t>
                  </w:r>
                </w:p>
              </w:tc>
              <w:tc>
                <w:tcPr>
                  <w:tcW w:w="349" w:type="dxa"/>
                  <w:shd w:val="clear" w:color="auto" w:fill="auto"/>
                  <w:hideMark/>
                </w:tcPr>
                <w:p w14:paraId="7B2446F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100" w:type="dxa"/>
                  <w:shd w:val="clear" w:color="auto" w:fill="auto"/>
                  <w:hideMark/>
                </w:tcPr>
                <w:p w14:paraId="39C3042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factorului de risc „k”;</w:t>
                  </w:r>
                </w:p>
              </w:tc>
            </w:tr>
          </w:tbl>
          <w:p w14:paraId="16C93A73" w14:textId="24E32D80" w:rsidR="00D12468" w:rsidRPr="00C011B2" w:rsidRDefault="00D12468" w:rsidP="00D12468">
            <w:pPr>
              <w:spacing w:after="0" w:line="276" w:lineRule="auto"/>
              <w:jc w:val="both"/>
              <w:rPr>
                <w:rFonts w:ascii="Times New Roman" w:hAnsi="Times New Roman" w:cs="Times New Roman"/>
                <w:b/>
                <w:bCs/>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C011B2" w14:paraId="78B33C1E" w14:textId="77777777" w:rsidTr="001E785F">
              <w:tc>
                <w:tcPr>
                  <w:tcW w:w="912" w:type="dxa"/>
                  <w:shd w:val="clear" w:color="auto" w:fill="auto"/>
                  <w:hideMark/>
                </w:tcPr>
                <w:p w14:paraId="40D407F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2143A0A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3A76C01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0F1632FA" w14:textId="3A555A99" w:rsidR="00D12468" w:rsidRPr="00C011B2" w:rsidRDefault="00D12468" w:rsidP="00D12468">
            <w:pPr>
              <w:spacing w:after="0" w:line="276" w:lineRule="auto"/>
              <w:jc w:val="both"/>
              <w:rPr>
                <w:rFonts w:ascii="Times New Roman" w:hAnsi="Times New Roman" w:cs="Times New Roman"/>
                <w:b/>
                <w:bCs/>
                <w:color w:val="000000" w:themeColor="text1"/>
                <w:lang w:val="ro-MD"/>
              </w:rPr>
            </w:pPr>
          </w:p>
          <w:tbl>
            <w:tblPr>
              <w:tblW w:w="5075" w:type="dxa"/>
              <w:tblLayout w:type="fixed"/>
              <w:tblCellMar>
                <w:left w:w="0" w:type="dxa"/>
                <w:right w:w="0" w:type="dxa"/>
              </w:tblCellMar>
              <w:tblLook w:val="04A0" w:firstRow="1" w:lastRow="0" w:firstColumn="1" w:lastColumn="0" w:noHBand="0" w:noVBand="1"/>
            </w:tblPr>
            <w:tblGrid>
              <w:gridCol w:w="470"/>
              <w:gridCol w:w="89"/>
              <w:gridCol w:w="4516"/>
            </w:tblGrid>
            <w:tr w:rsidR="00D12468" w:rsidRPr="00C011B2" w14:paraId="76FC8062" w14:textId="77777777" w:rsidTr="001E785F">
              <w:tc>
                <w:tcPr>
                  <w:tcW w:w="470" w:type="dxa"/>
                  <w:shd w:val="clear" w:color="auto" w:fill="auto"/>
                  <w:hideMark/>
                </w:tcPr>
                <w:p w14:paraId="61AE5FD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89" w:type="dxa"/>
                  <w:shd w:val="clear" w:color="auto" w:fill="auto"/>
                  <w:hideMark/>
                </w:tcPr>
                <w:p w14:paraId="799F655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516" w:type="dxa"/>
                  <w:shd w:val="clear" w:color="auto" w:fill="auto"/>
                  <w:hideMark/>
                </w:tcPr>
                <w:p w14:paraId="73008BB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CTY</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modelul de evaluare al instrumentului „i”.</w:t>
                  </w:r>
                </w:p>
              </w:tc>
            </w:tr>
            <w:bookmarkEnd w:id="185"/>
          </w:tbl>
          <w:p w14:paraId="112D763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181C7DA3" w14:textId="6A6AEA73"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80C9A6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359942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DA64AD" w14:textId="6082D90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Instituțiile calculează sensibilitățile la riscul valutar delta pentru fiecare factor de risc valutar k după cum urmează:</w:t>
            </w:r>
          </w:p>
          <w:p w14:paraId="6854FE10" w14:textId="7076889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53F8C0E" wp14:editId="6DD07071">
                  <wp:extent cx="3055620" cy="416560"/>
                  <wp:effectExtent l="0" t="0" r="0" b="2540"/>
                  <wp:docPr id="52" name="Picture 5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55620" cy="416560"/>
                          </a:xfrm>
                          <a:prstGeom prst="rect">
                            <a:avLst/>
                          </a:prstGeom>
                          <a:noFill/>
                          <a:ln>
                            <a:noFill/>
                          </a:ln>
                        </pic:spPr>
                      </pic:pic>
                    </a:graphicData>
                  </a:graphic>
                </wp:inline>
              </w:drawing>
            </w:r>
          </w:p>
          <w:p w14:paraId="1FA3950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205"/>
              <w:gridCol w:w="171"/>
              <w:gridCol w:w="4436"/>
            </w:tblGrid>
            <w:tr w:rsidR="00D12468" w:rsidRPr="00C011B2" w14:paraId="3EC713AF" w14:textId="77777777" w:rsidTr="00306585">
              <w:tc>
                <w:tcPr>
                  <w:tcW w:w="394" w:type="dxa"/>
                  <w:shd w:val="clear" w:color="auto" w:fill="auto"/>
                  <w:hideMark/>
                </w:tcPr>
                <w:p w14:paraId="61986ED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326" w:type="dxa"/>
                  <w:shd w:val="clear" w:color="auto" w:fill="auto"/>
                  <w:hideMark/>
                </w:tcPr>
                <w:p w14:paraId="2FE0939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969" w:type="dxa"/>
                  <w:shd w:val="clear" w:color="auto" w:fill="auto"/>
                  <w:hideMark/>
                </w:tcPr>
                <w:p w14:paraId="558A896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riscul valutar delta;</w:t>
                  </w:r>
                </w:p>
              </w:tc>
            </w:tr>
          </w:tbl>
          <w:p w14:paraId="764AE86D"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02"/>
              <w:gridCol w:w="212"/>
              <w:gridCol w:w="4398"/>
            </w:tblGrid>
            <w:tr w:rsidR="00D12468" w:rsidRPr="00C011B2" w14:paraId="764E5075" w14:textId="77777777" w:rsidTr="00306585">
              <w:tc>
                <w:tcPr>
                  <w:tcW w:w="388" w:type="dxa"/>
                  <w:shd w:val="clear" w:color="auto" w:fill="auto"/>
                  <w:hideMark/>
                </w:tcPr>
                <w:p w14:paraId="32C3A53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409" w:type="dxa"/>
                  <w:shd w:val="clear" w:color="auto" w:fill="auto"/>
                  <w:hideMark/>
                </w:tcPr>
                <w:p w14:paraId="16A6267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892" w:type="dxa"/>
                  <w:shd w:val="clear" w:color="auto" w:fill="auto"/>
                  <w:hideMark/>
                </w:tcPr>
                <w:p w14:paraId="7F1F7EB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factor de risc valutar dat;</w:t>
                  </w:r>
                </w:p>
              </w:tc>
            </w:tr>
          </w:tbl>
          <w:p w14:paraId="35718813"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96"/>
              <w:gridCol w:w="210"/>
              <w:gridCol w:w="4106"/>
            </w:tblGrid>
            <w:tr w:rsidR="00D12468" w:rsidRPr="00C011B2" w14:paraId="237459C2" w14:textId="77777777" w:rsidTr="00306585">
              <w:tc>
                <w:tcPr>
                  <w:tcW w:w="986" w:type="dxa"/>
                  <w:shd w:val="clear" w:color="auto" w:fill="auto"/>
                  <w:hideMark/>
                </w:tcPr>
                <w:p w14:paraId="5F7E063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FX</w:t>
                  </w:r>
                  <w:r w:rsidRPr="00C011B2">
                    <w:rPr>
                      <w:rFonts w:ascii="Times New Roman" w:hAnsi="Times New Roman" w:cs="Times New Roman"/>
                      <w:color w:val="000000" w:themeColor="text1"/>
                      <w:vertAlign w:val="subscript"/>
                      <w:lang w:val="ro-MD"/>
                    </w:rPr>
                    <w:t>k</w:t>
                  </w:r>
                </w:p>
              </w:tc>
              <w:tc>
                <w:tcPr>
                  <w:tcW w:w="404" w:type="dxa"/>
                  <w:shd w:val="clear" w:color="auto" w:fill="auto"/>
                  <w:hideMark/>
                </w:tcPr>
                <w:p w14:paraId="00C1202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99" w:type="dxa"/>
                  <w:shd w:val="clear" w:color="auto" w:fill="auto"/>
                  <w:hideMark/>
                </w:tcPr>
                <w:p w14:paraId="0BFA7C04"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factorului de risc;</w:t>
                  </w:r>
                </w:p>
              </w:tc>
            </w:tr>
          </w:tbl>
          <w:p w14:paraId="41A41E36"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2" w:tooltip="32019R0876R(11): REPLACED" w:history="1">
              <w:r w:rsidR="00D12468" w:rsidRPr="00C011B2">
                <w:rPr>
                  <w:rStyle w:val="Hyperlink"/>
                  <w:rFonts w:ascii="Times New Roman" w:hAnsi="Times New Roman" w:cs="Times New Roman"/>
                  <w:b/>
                  <w:bCs/>
                  <w:lang w:val="ro-MD"/>
                </w:rPr>
                <w:t>▼C7</w:t>
              </w:r>
            </w:hyperlink>
          </w:p>
          <w:tbl>
            <w:tblPr>
              <w:tblW w:w="5000" w:type="pct"/>
              <w:tblLayout w:type="fixed"/>
              <w:tblCellMar>
                <w:left w:w="0" w:type="dxa"/>
                <w:right w:w="0" w:type="dxa"/>
              </w:tblCellMar>
              <w:tblLook w:val="04A0" w:firstRow="1" w:lastRow="0" w:firstColumn="1" w:lastColumn="0" w:noHBand="0" w:noVBand="1"/>
            </w:tblPr>
            <w:tblGrid>
              <w:gridCol w:w="460"/>
              <w:gridCol w:w="140"/>
              <w:gridCol w:w="4212"/>
            </w:tblGrid>
            <w:tr w:rsidR="00D12468" w:rsidRPr="00C011B2" w14:paraId="5FD7DF81" w14:textId="77777777" w:rsidTr="00306585">
              <w:tc>
                <w:tcPr>
                  <w:tcW w:w="912" w:type="dxa"/>
                  <w:shd w:val="clear" w:color="auto" w:fill="auto"/>
                  <w:hideMark/>
                </w:tcPr>
                <w:p w14:paraId="5027DEB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2496D8A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4A02934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77A64F39"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3" w:tooltip="32019R0876: INSERTED" w:history="1">
              <w:r w:rsidR="00D12468" w:rsidRPr="00C011B2">
                <w:rPr>
                  <w:rStyle w:val="Hyperlink"/>
                  <w:rFonts w:ascii="Times New Roman" w:hAnsi="Times New Roman" w:cs="Times New Roman"/>
                  <w:b/>
                  <w:bCs/>
                  <w:lang w:val="ro-MD"/>
                </w:rPr>
                <w:t>▼M8</w:t>
              </w:r>
            </w:hyperlink>
          </w:p>
          <w:tbl>
            <w:tblPr>
              <w:tblW w:w="5071" w:type="dxa"/>
              <w:tblLayout w:type="fixed"/>
              <w:tblCellMar>
                <w:left w:w="0" w:type="dxa"/>
                <w:right w:w="0" w:type="dxa"/>
              </w:tblCellMar>
              <w:tblLook w:val="04A0" w:firstRow="1" w:lastRow="0" w:firstColumn="1" w:lastColumn="0" w:noHBand="0" w:noVBand="1"/>
            </w:tblPr>
            <w:tblGrid>
              <w:gridCol w:w="470"/>
              <w:gridCol w:w="90"/>
              <w:gridCol w:w="4511"/>
            </w:tblGrid>
            <w:tr w:rsidR="00D12468" w:rsidRPr="00C011B2" w14:paraId="510DC609" w14:textId="77777777" w:rsidTr="00306585">
              <w:tc>
                <w:tcPr>
                  <w:tcW w:w="470" w:type="dxa"/>
                  <w:shd w:val="clear" w:color="auto" w:fill="auto"/>
                  <w:hideMark/>
                </w:tcPr>
                <w:p w14:paraId="423A251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90" w:type="dxa"/>
                  <w:shd w:val="clear" w:color="auto" w:fill="auto"/>
                  <w:hideMark/>
                </w:tcPr>
                <w:p w14:paraId="4BAE701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511" w:type="dxa"/>
                  <w:shd w:val="clear" w:color="auto" w:fill="auto"/>
                  <w:hideMark/>
                </w:tcPr>
                <w:p w14:paraId="7E10440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FX</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modelul de evaluare al instrumentului „i”.</w:t>
                  </w:r>
                </w:p>
              </w:tc>
            </w:tr>
          </w:tbl>
          <w:p w14:paraId="5CE7755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1E4356B" w14:textId="39E2FB06" w:rsidR="00D12468" w:rsidRPr="00C011B2" w:rsidRDefault="001E58F2" w:rsidP="00D12468">
            <w:pPr>
              <w:spacing w:after="0" w:line="276" w:lineRule="auto"/>
              <w:jc w:val="both"/>
              <w:rPr>
                <w:rFonts w:ascii="Times New Roman" w:hAnsi="Times New Roman" w:cs="Times New Roman"/>
                <w:color w:val="000000" w:themeColor="text1"/>
                <w:lang w:val="ro-MD"/>
              </w:rPr>
            </w:pPr>
            <w:bookmarkStart w:id="186" w:name="_Hlk222992243"/>
            <w:r w:rsidRPr="00C011B2">
              <w:rPr>
                <w:rFonts w:ascii="Times New Roman" w:hAnsi="Times New Roman" w:cs="Times New Roman"/>
                <w:color w:val="000000" w:themeColor="text1"/>
                <w:lang w:val="ro-MD"/>
              </w:rPr>
              <w:t>206.</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sensibilitățile la riscul valutar delta pentru fiecare factor de risc valutar k după cum urmează:</w:t>
            </w:r>
          </w:p>
          <w:p w14:paraId="1AE2234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843D177" wp14:editId="3CC7B3F9">
                  <wp:extent cx="3055620" cy="416560"/>
                  <wp:effectExtent l="0" t="0" r="0" b="2540"/>
                  <wp:docPr id="153" name="Picture 1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55620" cy="416560"/>
                          </a:xfrm>
                          <a:prstGeom prst="rect">
                            <a:avLst/>
                          </a:prstGeom>
                          <a:noFill/>
                          <a:ln>
                            <a:noFill/>
                          </a:ln>
                        </pic:spPr>
                      </pic:pic>
                    </a:graphicData>
                  </a:graphic>
                </wp:inline>
              </w:drawing>
            </w:r>
          </w:p>
          <w:p w14:paraId="706F8F9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216"/>
              <w:gridCol w:w="181"/>
              <w:gridCol w:w="4714"/>
            </w:tblGrid>
            <w:tr w:rsidR="00D12468" w:rsidRPr="00C011B2" w14:paraId="0A859C08" w14:textId="77777777" w:rsidTr="001E785F">
              <w:tc>
                <w:tcPr>
                  <w:tcW w:w="394" w:type="dxa"/>
                  <w:shd w:val="clear" w:color="auto" w:fill="auto"/>
                  <w:hideMark/>
                </w:tcPr>
                <w:p w14:paraId="02E3796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326" w:type="dxa"/>
                  <w:shd w:val="clear" w:color="auto" w:fill="auto"/>
                  <w:hideMark/>
                </w:tcPr>
                <w:p w14:paraId="6BB63D0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969" w:type="dxa"/>
                  <w:shd w:val="clear" w:color="auto" w:fill="auto"/>
                  <w:hideMark/>
                </w:tcPr>
                <w:p w14:paraId="494F83F1"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sensibilitățile la riscul valutar delta;</w:t>
                  </w:r>
                </w:p>
              </w:tc>
            </w:tr>
          </w:tbl>
          <w:p w14:paraId="42BF8C7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13"/>
              <w:gridCol w:w="224"/>
              <w:gridCol w:w="4674"/>
            </w:tblGrid>
            <w:tr w:rsidR="00D12468" w:rsidRPr="00C011B2" w14:paraId="543DC88E" w14:textId="77777777" w:rsidTr="001E785F">
              <w:tc>
                <w:tcPr>
                  <w:tcW w:w="388" w:type="dxa"/>
                  <w:shd w:val="clear" w:color="auto" w:fill="auto"/>
                  <w:hideMark/>
                </w:tcPr>
                <w:p w14:paraId="497C757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409" w:type="dxa"/>
                  <w:shd w:val="clear" w:color="auto" w:fill="auto"/>
                  <w:hideMark/>
                </w:tcPr>
                <w:p w14:paraId="46B4287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892" w:type="dxa"/>
                  <w:shd w:val="clear" w:color="auto" w:fill="auto"/>
                  <w:hideMark/>
                </w:tcPr>
                <w:p w14:paraId="0880E78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factor de risc valutar dat;</w:t>
                  </w:r>
                </w:p>
              </w:tc>
            </w:tr>
          </w:tbl>
          <w:p w14:paraId="6143CC1F"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527"/>
              <w:gridCol w:w="221"/>
              <w:gridCol w:w="4363"/>
            </w:tblGrid>
            <w:tr w:rsidR="00D12468" w:rsidRPr="00C011B2" w14:paraId="5974F078" w14:textId="77777777" w:rsidTr="001E785F">
              <w:tc>
                <w:tcPr>
                  <w:tcW w:w="986" w:type="dxa"/>
                  <w:shd w:val="clear" w:color="auto" w:fill="auto"/>
                  <w:hideMark/>
                </w:tcPr>
                <w:p w14:paraId="00FAA79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FX</w:t>
                  </w:r>
                  <w:r w:rsidRPr="00C011B2">
                    <w:rPr>
                      <w:rFonts w:ascii="Times New Roman" w:hAnsi="Times New Roman" w:cs="Times New Roman"/>
                      <w:color w:val="000000" w:themeColor="text1"/>
                      <w:vertAlign w:val="subscript"/>
                      <w:lang w:val="ro-MD"/>
                    </w:rPr>
                    <w:t>k</w:t>
                  </w:r>
                </w:p>
              </w:tc>
              <w:tc>
                <w:tcPr>
                  <w:tcW w:w="404" w:type="dxa"/>
                  <w:shd w:val="clear" w:color="auto" w:fill="auto"/>
                  <w:hideMark/>
                </w:tcPr>
                <w:p w14:paraId="2AFD108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99" w:type="dxa"/>
                  <w:shd w:val="clear" w:color="auto" w:fill="auto"/>
                  <w:hideMark/>
                </w:tcPr>
                <w:p w14:paraId="496F9A0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factorului de risc;</w:t>
                  </w:r>
                </w:p>
              </w:tc>
            </w:tr>
          </w:tbl>
          <w:p w14:paraId="763A1FBB" w14:textId="53C4E820" w:rsidR="00D12468" w:rsidRPr="00C011B2" w:rsidRDefault="00D12468" w:rsidP="00D12468">
            <w:pPr>
              <w:spacing w:after="0" w:line="276" w:lineRule="auto"/>
              <w:jc w:val="both"/>
              <w:rPr>
                <w:rFonts w:ascii="Times New Roman" w:hAnsi="Times New Roman" w:cs="Times New Roman"/>
                <w:b/>
                <w:bCs/>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88"/>
              <w:gridCol w:w="147"/>
              <w:gridCol w:w="4476"/>
            </w:tblGrid>
            <w:tr w:rsidR="00D12468" w:rsidRPr="00C011B2" w14:paraId="50101BBA" w14:textId="77777777" w:rsidTr="001E785F">
              <w:tc>
                <w:tcPr>
                  <w:tcW w:w="912" w:type="dxa"/>
                  <w:shd w:val="clear" w:color="auto" w:fill="auto"/>
                  <w:hideMark/>
                </w:tcPr>
                <w:p w14:paraId="2EE0379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w:t>
                  </w:r>
                </w:p>
              </w:tc>
              <w:tc>
                <w:tcPr>
                  <w:tcW w:w="263" w:type="dxa"/>
                  <w:shd w:val="clear" w:color="auto" w:fill="auto"/>
                  <w:hideMark/>
                </w:tcPr>
                <w:p w14:paraId="6AC1F3B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14" w:type="dxa"/>
                  <w:shd w:val="clear" w:color="auto" w:fill="auto"/>
                  <w:hideMark/>
                </w:tcPr>
                <w:p w14:paraId="2DAFE5D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funcția de evaluare a instrumentului „i”; și</w:t>
                  </w:r>
                </w:p>
              </w:tc>
            </w:tr>
          </w:tbl>
          <w:p w14:paraId="15048D22" w14:textId="4409F063" w:rsidR="00D12468" w:rsidRPr="00C011B2" w:rsidRDefault="00D12468" w:rsidP="00D12468">
            <w:pPr>
              <w:spacing w:after="0" w:line="276" w:lineRule="auto"/>
              <w:jc w:val="both"/>
              <w:rPr>
                <w:rFonts w:ascii="Times New Roman" w:hAnsi="Times New Roman" w:cs="Times New Roman"/>
                <w:b/>
                <w:bCs/>
                <w:color w:val="000000" w:themeColor="text1"/>
                <w:lang w:val="ro-MD"/>
              </w:rPr>
            </w:pPr>
          </w:p>
          <w:tbl>
            <w:tblPr>
              <w:tblW w:w="5071" w:type="dxa"/>
              <w:tblLayout w:type="fixed"/>
              <w:tblCellMar>
                <w:left w:w="0" w:type="dxa"/>
                <w:right w:w="0" w:type="dxa"/>
              </w:tblCellMar>
              <w:tblLook w:val="04A0" w:firstRow="1" w:lastRow="0" w:firstColumn="1" w:lastColumn="0" w:noHBand="0" w:noVBand="1"/>
            </w:tblPr>
            <w:tblGrid>
              <w:gridCol w:w="470"/>
              <w:gridCol w:w="90"/>
              <w:gridCol w:w="4511"/>
            </w:tblGrid>
            <w:tr w:rsidR="00D12468" w:rsidRPr="00C011B2" w14:paraId="571EEBAB" w14:textId="77777777" w:rsidTr="001E785F">
              <w:tc>
                <w:tcPr>
                  <w:tcW w:w="470" w:type="dxa"/>
                  <w:shd w:val="clear" w:color="auto" w:fill="auto"/>
                  <w:hideMark/>
                </w:tcPr>
                <w:p w14:paraId="6AA70DA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y, z</w:t>
                  </w:r>
                </w:p>
              </w:tc>
              <w:tc>
                <w:tcPr>
                  <w:tcW w:w="90" w:type="dxa"/>
                  <w:shd w:val="clear" w:color="auto" w:fill="auto"/>
                  <w:hideMark/>
                </w:tcPr>
                <w:p w14:paraId="25C43B6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511" w:type="dxa"/>
                  <w:shd w:val="clear" w:color="auto" w:fill="auto"/>
                  <w:hideMark/>
                </w:tcPr>
                <w:p w14:paraId="7428AA6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FX</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modelul de evaluare al instrumentului „i”.</w:t>
                  </w:r>
                </w:p>
              </w:tc>
            </w:tr>
            <w:bookmarkEnd w:id="186"/>
          </w:tbl>
          <w:p w14:paraId="368DFF0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007D504A" w14:textId="22B12747"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7DE8D1"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B08B2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18A5515"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325s</w:t>
            </w:r>
          </w:p>
          <w:p w14:paraId="350CFADB" w14:textId="7923D96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Sensibilitățile la riscul vega</w:t>
            </w:r>
          </w:p>
        </w:tc>
        <w:tc>
          <w:tcPr>
            <w:tcW w:w="1692" w:type="pct"/>
            <w:shd w:val="clear" w:color="auto" w:fill="auto"/>
          </w:tcPr>
          <w:p w14:paraId="4E0084E4" w14:textId="6173FC0B" w:rsidR="00D12468" w:rsidRPr="00C011B2" w:rsidRDefault="00707412" w:rsidP="00D12468">
            <w:pPr>
              <w:spacing w:after="0" w:line="276" w:lineRule="auto"/>
              <w:jc w:val="both"/>
              <w:rPr>
                <w:rFonts w:ascii="Times New Roman" w:hAnsi="Times New Roman" w:cs="Times New Roman"/>
                <w:color w:val="000000" w:themeColor="text1"/>
                <w:lang w:val="ro-MD"/>
              </w:rPr>
            </w:pPr>
            <w:bookmarkStart w:id="187" w:name="_Hlk195091541"/>
            <w:r w:rsidRPr="00C011B2">
              <w:rPr>
                <w:rFonts w:ascii="Times New Roman" w:hAnsi="Times New Roman" w:cs="Times New Roman"/>
                <w:i/>
                <w:iCs/>
                <w:color w:val="000000" w:themeColor="text1"/>
                <w:lang w:val="ro-MD"/>
              </w:rPr>
              <w:t xml:space="preserve">Paragraful 2. </w:t>
            </w:r>
            <w:r w:rsidR="00D12468" w:rsidRPr="00C011B2">
              <w:rPr>
                <w:rFonts w:ascii="Times New Roman" w:hAnsi="Times New Roman" w:cs="Times New Roman"/>
                <w:b/>
                <w:bCs/>
                <w:color w:val="000000" w:themeColor="text1"/>
                <w:lang w:val="ro-MD"/>
              </w:rPr>
              <w:t>Sensibilitățile la riscul vega</w:t>
            </w:r>
            <w:bookmarkEnd w:id="187"/>
          </w:p>
        </w:tc>
        <w:tc>
          <w:tcPr>
            <w:tcW w:w="450" w:type="pct"/>
          </w:tcPr>
          <w:p w14:paraId="04F6F6CC"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1166AD0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DF93B0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C480F4" w14:textId="799E73C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calculează sensibilitatea la risc vega al unei opțiuni față de un factor de risc dat „k” după cum urmează:</w:t>
            </w:r>
          </w:p>
          <w:p w14:paraId="2193DBA5" w14:textId="39E0DD4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41BC0A98" wp14:editId="75061214">
                  <wp:extent cx="3055620" cy="514350"/>
                  <wp:effectExtent l="0" t="0" r="0" b="0"/>
                  <wp:docPr id="53" name="Picture 5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55620" cy="514350"/>
                          </a:xfrm>
                          <a:prstGeom prst="rect">
                            <a:avLst/>
                          </a:prstGeom>
                          <a:noFill/>
                          <a:ln>
                            <a:noFill/>
                          </a:ln>
                        </pic:spPr>
                      </pic:pic>
                    </a:graphicData>
                  </a:graphic>
                </wp:inline>
              </w:drawing>
            </w:r>
          </w:p>
          <w:p w14:paraId="405E1BF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83"/>
              <w:gridCol w:w="153"/>
              <w:gridCol w:w="4476"/>
            </w:tblGrid>
            <w:tr w:rsidR="00D12468" w:rsidRPr="00C011B2" w14:paraId="2F065D25" w14:textId="77777777" w:rsidTr="00BE1F6F">
              <w:tc>
                <w:tcPr>
                  <w:tcW w:w="350" w:type="dxa"/>
                  <w:shd w:val="clear" w:color="auto" w:fill="auto"/>
                  <w:hideMark/>
                </w:tcPr>
                <w:p w14:paraId="7563901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290" w:type="dxa"/>
                  <w:shd w:val="clear" w:color="auto" w:fill="auto"/>
                  <w:hideMark/>
                </w:tcPr>
                <w:p w14:paraId="079BDFD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049" w:type="dxa"/>
                  <w:shd w:val="clear" w:color="auto" w:fill="auto"/>
                  <w:hideMark/>
                </w:tcPr>
                <w:p w14:paraId="01E7A73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la risc vega al unei opțiuni;</w:t>
                  </w:r>
                </w:p>
              </w:tc>
            </w:tr>
          </w:tbl>
          <w:p w14:paraId="2230137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47" w:type="dxa"/>
              <w:tblLayout w:type="fixed"/>
              <w:tblCellMar>
                <w:left w:w="0" w:type="dxa"/>
                <w:right w:w="0" w:type="dxa"/>
              </w:tblCellMar>
              <w:tblLook w:val="04A0" w:firstRow="1" w:lastRow="0" w:firstColumn="1" w:lastColumn="0" w:noHBand="0" w:noVBand="1"/>
            </w:tblPr>
            <w:tblGrid>
              <w:gridCol w:w="328"/>
              <w:gridCol w:w="97"/>
              <w:gridCol w:w="4622"/>
            </w:tblGrid>
            <w:tr w:rsidR="00D12468" w:rsidRPr="00C011B2" w14:paraId="48E00FB4" w14:textId="77777777" w:rsidTr="00BE1F6F">
              <w:tc>
                <w:tcPr>
                  <w:tcW w:w="328" w:type="dxa"/>
                  <w:shd w:val="clear" w:color="auto" w:fill="auto"/>
                  <w:hideMark/>
                </w:tcPr>
                <w:p w14:paraId="29675722"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97" w:type="dxa"/>
                  <w:shd w:val="clear" w:color="auto" w:fill="auto"/>
                  <w:hideMark/>
                </w:tcPr>
                <w:p w14:paraId="7C866ED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622" w:type="dxa"/>
                  <w:shd w:val="clear" w:color="auto" w:fill="auto"/>
                  <w:hideMark/>
                </w:tcPr>
                <w:p w14:paraId="4C5736D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anumit factor de risc vega, care constă într-o volatilitate implicită;</w:t>
                  </w:r>
                </w:p>
              </w:tc>
            </w:tr>
          </w:tbl>
          <w:p w14:paraId="56C7434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69" w:type="dxa"/>
              <w:tblLayout w:type="fixed"/>
              <w:tblCellMar>
                <w:left w:w="0" w:type="dxa"/>
                <w:right w:w="0" w:type="dxa"/>
              </w:tblCellMar>
              <w:tblLook w:val="04A0" w:firstRow="1" w:lastRow="0" w:firstColumn="1" w:lastColumn="0" w:noHBand="0" w:noVBand="1"/>
            </w:tblPr>
            <w:tblGrid>
              <w:gridCol w:w="470"/>
              <w:gridCol w:w="83"/>
              <w:gridCol w:w="4516"/>
            </w:tblGrid>
            <w:tr w:rsidR="00D12468" w:rsidRPr="00C011B2" w14:paraId="10A5927A" w14:textId="77777777" w:rsidTr="00BE1F6F">
              <w:tc>
                <w:tcPr>
                  <w:tcW w:w="470" w:type="dxa"/>
                  <w:shd w:val="clear" w:color="auto" w:fill="auto"/>
                  <w:hideMark/>
                </w:tcPr>
                <w:p w14:paraId="356DFC2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w:t>
                  </w:r>
                  <w:r w:rsidRPr="00C011B2">
                    <w:rPr>
                      <w:rFonts w:ascii="Times New Roman" w:hAnsi="Times New Roman" w:cs="Times New Roman"/>
                      <w:color w:val="000000" w:themeColor="text1"/>
                      <w:vertAlign w:val="subscript"/>
                      <w:lang w:val="ro-MD"/>
                    </w:rPr>
                    <w:t>k</w:t>
                  </w:r>
                </w:p>
              </w:tc>
              <w:tc>
                <w:tcPr>
                  <w:tcW w:w="83" w:type="dxa"/>
                  <w:shd w:val="clear" w:color="auto" w:fill="auto"/>
                  <w:hideMark/>
                </w:tcPr>
                <w:p w14:paraId="576F1E7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516" w:type="dxa"/>
                  <w:shd w:val="clear" w:color="auto" w:fill="auto"/>
                  <w:hideMark/>
                </w:tcPr>
                <w:p w14:paraId="5CF07AD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factorului de risc respectiv, care ar trebui să fie exprimată ca procent; și</w:t>
                  </w:r>
                </w:p>
              </w:tc>
            </w:tr>
          </w:tbl>
          <w:p w14:paraId="3AF11C46"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99" w:type="dxa"/>
              <w:tblLayout w:type="fixed"/>
              <w:tblCellMar>
                <w:left w:w="0" w:type="dxa"/>
                <w:right w:w="0" w:type="dxa"/>
              </w:tblCellMar>
              <w:tblLook w:val="04A0" w:firstRow="1" w:lastRow="0" w:firstColumn="1" w:lastColumn="0" w:noHBand="0" w:noVBand="1"/>
            </w:tblPr>
            <w:tblGrid>
              <w:gridCol w:w="470"/>
              <w:gridCol w:w="117"/>
              <w:gridCol w:w="4412"/>
            </w:tblGrid>
            <w:tr w:rsidR="00D12468" w:rsidRPr="00C011B2" w14:paraId="3C6B80F2" w14:textId="77777777" w:rsidTr="00BE1F6F">
              <w:tc>
                <w:tcPr>
                  <w:tcW w:w="470" w:type="dxa"/>
                  <w:shd w:val="clear" w:color="auto" w:fill="auto"/>
                  <w:hideMark/>
                </w:tcPr>
                <w:p w14:paraId="4ED68DFC"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17" w:type="dxa"/>
                  <w:shd w:val="clear" w:color="auto" w:fill="auto"/>
                  <w:hideMark/>
                </w:tcPr>
                <w:p w14:paraId="1811CD3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7DFBB56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vol</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3F219F0F"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0EEF48A3" w14:textId="3FDADD3E" w:rsidR="00D12468" w:rsidRPr="00C011B2" w:rsidRDefault="0070741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207.</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sensibilitatea la risc vega al unei opțiuni față de un factor de risc dat „k” după cum urmează:</w:t>
            </w:r>
          </w:p>
          <w:p w14:paraId="0CC2561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210997D5" wp14:editId="08129488">
                  <wp:extent cx="3055620" cy="514350"/>
                  <wp:effectExtent l="0" t="0" r="0" b="0"/>
                  <wp:docPr id="154" name="Picture 1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55620" cy="514350"/>
                          </a:xfrm>
                          <a:prstGeom prst="rect">
                            <a:avLst/>
                          </a:prstGeom>
                          <a:noFill/>
                          <a:ln>
                            <a:noFill/>
                          </a:ln>
                        </pic:spPr>
                      </pic:pic>
                    </a:graphicData>
                  </a:graphic>
                </wp:inline>
              </w:drawing>
            </w:r>
          </w:p>
          <w:p w14:paraId="166E08D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93"/>
              <w:gridCol w:w="162"/>
              <w:gridCol w:w="4756"/>
            </w:tblGrid>
            <w:tr w:rsidR="00D12468" w:rsidRPr="00C011B2" w14:paraId="536A051F" w14:textId="77777777" w:rsidTr="001E785F">
              <w:tc>
                <w:tcPr>
                  <w:tcW w:w="350" w:type="dxa"/>
                  <w:shd w:val="clear" w:color="auto" w:fill="auto"/>
                  <w:hideMark/>
                </w:tcPr>
                <w:p w14:paraId="16555747"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w:t>
                  </w:r>
                  <w:r w:rsidRPr="00C011B2">
                    <w:rPr>
                      <w:rFonts w:ascii="Times New Roman" w:hAnsi="Times New Roman" w:cs="Times New Roman"/>
                      <w:color w:val="000000" w:themeColor="text1"/>
                      <w:vertAlign w:val="subscript"/>
                      <w:lang w:val="ro-MD"/>
                    </w:rPr>
                    <w:t>k</w:t>
                  </w:r>
                </w:p>
              </w:tc>
              <w:tc>
                <w:tcPr>
                  <w:tcW w:w="290" w:type="dxa"/>
                  <w:shd w:val="clear" w:color="auto" w:fill="auto"/>
                  <w:hideMark/>
                </w:tcPr>
                <w:p w14:paraId="6302035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049" w:type="dxa"/>
                  <w:shd w:val="clear" w:color="auto" w:fill="auto"/>
                  <w:hideMark/>
                </w:tcPr>
                <w:p w14:paraId="5F477540"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sensibilitatea la risc vega al unei opțiuni;</w:t>
                  </w:r>
                </w:p>
              </w:tc>
            </w:tr>
          </w:tbl>
          <w:p w14:paraId="25534D2E"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47" w:type="dxa"/>
              <w:tblLayout w:type="fixed"/>
              <w:tblCellMar>
                <w:left w:w="0" w:type="dxa"/>
                <w:right w:w="0" w:type="dxa"/>
              </w:tblCellMar>
              <w:tblLook w:val="04A0" w:firstRow="1" w:lastRow="0" w:firstColumn="1" w:lastColumn="0" w:noHBand="0" w:noVBand="1"/>
            </w:tblPr>
            <w:tblGrid>
              <w:gridCol w:w="328"/>
              <w:gridCol w:w="97"/>
              <w:gridCol w:w="4622"/>
            </w:tblGrid>
            <w:tr w:rsidR="00D12468" w:rsidRPr="00C011B2" w14:paraId="1C525A89" w14:textId="77777777" w:rsidTr="001E785F">
              <w:tc>
                <w:tcPr>
                  <w:tcW w:w="328" w:type="dxa"/>
                  <w:shd w:val="clear" w:color="auto" w:fill="auto"/>
                  <w:hideMark/>
                </w:tcPr>
                <w:p w14:paraId="07C4AC2A"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k</w:t>
                  </w:r>
                </w:p>
              </w:tc>
              <w:tc>
                <w:tcPr>
                  <w:tcW w:w="97" w:type="dxa"/>
                  <w:shd w:val="clear" w:color="auto" w:fill="auto"/>
                  <w:hideMark/>
                </w:tcPr>
                <w:p w14:paraId="1F0D818E"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622" w:type="dxa"/>
                  <w:shd w:val="clear" w:color="auto" w:fill="auto"/>
                  <w:hideMark/>
                </w:tcPr>
                <w:p w14:paraId="642FE43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anumit factor de risc vega, care constă într-o volatilitate implicită;</w:t>
                  </w:r>
                </w:p>
              </w:tc>
            </w:tr>
          </w:tbl>
          <w:p w14:paraId="1E6803BA"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5069" w:type="dxa"/>
              <w:tblLayout w:type="fixed"/>
              <w:tblCellMar>
                <w:left w:w="0" w:type="dxa"/>
                <w:right w:w="0" w:type="dxa"/>
              </w:tblCellMar>
              <w:tblLook w:val="04A0" w:firstRow="1" w:lastRow="0" w:firstColumn="1" w:lastColumn="0" w:noHBand="0" w:noVBand="1"/>
            </w:tblPr>
            <w:tblGrid>
              <w:gridCol w:w="470"/>
              <w:gridCol w:w="83"/>
              <w:gridCol w:w="4516"/>
            </w:tblGrid>
            <w:tr w:rsidR="00D12468" w:rsidRPr="00C011B2" w14:paraId="377DBAD5" w14:textId="77777777" w:rsidTr="001E785F">
              <w:tc>
                <w:tcPr>
                  <w:tcW w:w="470" w:type="dxa"/>
                  <w:shd w:val="clear" w:color="auto" w:fill="auto"/>
                  <w:hideMark/>
                </w:tcPr>
                <w:p w14:paraId="1763B4C3"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w:t>
                  </w:r>
                  <w:r w:rsidRPr="00C011B2">
                    <w:rPr>
                      <w:rFonts w:ascii="Times New Roman" w:hAnsi="Times New Roman" w:cs="Times New Roman"/>
                      <w:color w:val="000000" w:themeColor="text1"/>
                      <w:vertAlign w:val="subscript"/>
                      <w:lang w:val="ro-MD"/>
                    </w:rPr>
                    <w:t>k</w:t>
                  </w:r>
                </w:p>
              </w:tc>
              <w:tc>
                <w:tcPr>
                  <w:tcW w:w="83" w:type="dxa"/>
                  <w:shd w:val="clear" w:color="auto" w:fill="auto"/>
                  <w:hideMark/>
                </w:tcPr>
                <w:p w14:paraId="671A6D8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516" w:type="dxa"/>
                  <w:shd w:val="clear" w:color="auto" w:fill="auto"/>
                  <w:hideMark/>
                </w:tcPr>
                <w:p w14:paraId="7BE912A8"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factorului de risc respectiv, care ar trebui să fie exprimată ca procent; și</w:t>
                  </w:r>
                </w:p>
              </w:tc>
            </w:tr>
          </w:tbl>
          <w:p w14:paraId="6D754455" w14:textId="77777777" w:rsidR="00D12468" w:rsidRPr="00C011B2" w:rsidRDefault="00D12468" w:rsidP="00D12468">
            <w:pPr>
              <w:spacing w:after="0" w:line="276" w:lineRule="auto"/>
              <w:jc w:val="both"/>
              <w:rPr>
                <w:rFonts w:ascii="Times New Roman" w:hAnsi="Times New Roman" w:cs="Times New Roman"/>
                <w:vanish/>
                <w:color w:val="000000" w:themeColor="text1"/>
                <w:lang w:val="ro-MD"/>
              </w:rPr>
            </w:pPr>
          </w:p>
          <w:tbl>
            <w:tblPr>
              <w:tblW w:w="4999" w:type="dxa"/>
              <w:tblLayout w:type="fixed"/>
              <w:tblCellMar>
                <w:left w:w="0" w:type="dxa"/>
                <w:right w:w="0" w:type="dxa"/>
              </w:tblCellMar>
              <w:tblLook w:val="04A0" w:firstRow="1" w:lastRow="0" w:firstColumn="1" w:lastColumn="0" w:noHBand="0" w:noVBand="1"/>
            </w:tblPr>
            <w:tblGrid>
              <w:gridCol w:w="470"/>
              <w:gridCol w:w="117"/>
              <w:gridCol w:w="4412"/>
            </w:tblGrid>
            <w:tr w:rsidR="00D12468" w:rsidRPr="00C011B2" w14:paraId="4C70DE36" w14:textId="77777777" w:rsidTr="001E785F">
              <w:tc>
                <w:tcPr>
                  <w:tcW w:w="470" w:type="dxa"/>
                  <w:shd w:val="clear" w:color="auto" w:fill="auto"/>
                  <w:hideMark/>
                </w:tcPr>
                <w:p w14:paraId="46CB719B"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x, y</w:t>
                  </w:r>
                </w:p>
              </w:tc>
              <w:tc>
                <w:tcPr>
                  <w:tcW w:w="117" w:type="dxa"/>
                  <w:shd w:val="clear" w:color="auto" w:fill="auto"/>
                  <w:hideMark/>
                </w:tcPr>
                <w:p w14:paraId="05D2238D"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69AA7C56"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factori de risc decât vol</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din funcția de evaluare V</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w:t>
                  </w:r>
                </w:p>
              </w:tc>
            </w:tr>
          </w:tbl>
          <w:p w14:paraId="07DFCB49"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2F8651EA" w14:textId="2EF2585E"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F013FC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F37D37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FEC859B" w14:textId="6A343C4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cazul claselor de risc în care factorii de risc vega au o dimensiune legată de scadență, dar normele care prevăd punerea în corespondență a factorilor de risc nu se aplică, deoarece opțiunile nu au o scadență, instituțiile pun în corespondență factorii respectivi cu cea mai lungă scadență indicată. Opțiunile în cauză fac obiectul majorării pentru riscul rezidual.</w:t>
            </w:r>
          </w:p>
        </w:tc>
        <w:tc>
          <w:tcPr>
            <w:tcW w:w="1692" w:type="pct"/>
            <w:shd w:val="clear" w:color="auto" w:fill="auto"/>
          </w:tcPr>
          <w:p w14:paraId="6FCE52B6" w14:textId="54B82EE4" w:rsidR="00D12468" w:rsidRPr="00C011B2" w:rsidRDefault="00707412"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208.</w:t>
            </w:r>
            <w:r w:rsidR="00D12468" w:rsidRPr="00C011B2">
              <w:rPr>
                <w:rFonts w:ascii="Times New Roman" w:hAnsi="Times New Roman" w:cs="Times New Roman"/>
                <w:color w:val="000000" w:themeColor="text1"/>
                <w:lang w:val="ro-MD"/>
              </w:rPr>
              <w:t xml:space="preserve">   În cazul claselor de risc în care factorii de risc vega au o dimensiune legată de scadență, dar normele care prevăd punerea în corespondență a factorilor de risc nu se aplică, deoarece opțiunile nu au o scadență,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pun în corespondență factorii respectivi cu cea mai lungă scadență indicată. Opțiunile în cauză fac obiectul majorării pentru riscul rezidual.</w:t>
            </w:r>
          </w:p>
        </w:tc>
        <w:tc>
          <w:tcPr>
            <w:tcW w:w="450" w:type="pct"/>
          </w:tcPr>
          <w:p w14:paraId="5948144A" w14:textId="2234D5C8"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D3F449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BC8F63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687ED9F" w14:textId="6AA6A41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opțiunilor care nu au un preț de exercitare sau o barieră și al opțiunilor care au mai multe prețuri de exercitare sau bariere, instituțiile realizează punerea în corespondență în funcție de prețurile de exercitare și de scadența utilizate la nivel intern de către instituții pentru a evalua opțiunea. Opțiunile în cauză fac, de asemenea, obiectul majorării pentru riscul rezidual.</w:t>
            </w:r>
          </w:p>
        </w:tc>
        <w:tc>
          <w:tcPr>
            <w:tcW w:w="1692" w:type="pct"/>
            <w:shd w:val="clear" w:color="auto" w:fill="auto"/>
          </w:tcPr>
          <w:p w14:paraId="27B3A6AF" w14:textId="0ECF1653" w:rsidR="00D12468" w:rsidRPr="00C011B2" w:rsidRDefault="007F5B6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209.</w:t>
            </w:r>
            <w:r w:rsidR="00D12468" w:rsidRPr="00C011B2">
              <w:rPr>
                <w:rFonts w:ascii="Times New Roman" w:hAnsi="Times New Roman" w:cs="Times New Roman"/>
                <w:color w:val="000000" w:themeColor="text1"/>
                <w:lang w:val="ro-MD"/>
              </w:rPr>
              <w:t xml:space="preserve">   În cazul opțiunilor care nu au un preț de exercitare sau o barieră și al opțiunilor care au mai multe prețuri de exercitare sau bariere,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realizează punerea în corespondență în funcție de prețurile de exercitare și de scadența utilizate la nivel intern de către </w:t>
            </w:r>
            <w:r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pentru a evalua opțiunea. Opțiunile în cauză fac, de asemenea, obiectul majorării pentru riscul rezidual.</w:t>
            </w:r>
          </w:p>
        </w:tc>
        <w:tc>
          <w:tcPr>
            <w:tcW w:w="450" w:type="pct"/>
          </w:tcPr>
          <w:p w14:paraId="320E4AB6" w14:textId="3F7D23D9"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954F85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75792A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4F51481" w14:textId="500750EF"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 Instituțiile nu calculează riscul vega pentru tranșele din securitizare incluse în ACTP, astfel cum sunt menționate la articolul 325 alineatele (6), (7) și (8) care nu au o volatilitate implicită. Cerințele de fonduri proprii pentru riscul delta și riscul de curbură se calculează pentru tranșele din securitizare respective.</w:t>
            </w:r>
          </w:p>
        </w:tc>
        <w:tc>
          <w:tcPr>
            <w:tcW w:w="1692" w:type="pct"/>
            <w:shd w:val="clear" w:color="auto" w:fill="auto"/>
          </w:tcPr>
          <w:p w14:paraId="59207C24" w14:textId="4FEA1F2F" w:rsidR="00D12468" w:rsidRPr="00C011B2" w:rsidRDefault="007F5B6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210.</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nu calculează riscul vega pentru tranșele din securitizare incluse în ACTP, astfel cum sunt menționate la </w:t>
            </w:r>
            <w:r w:rsidR="00E735F5" w:rsidRPr="00C011B2">
              <w:rPr>
                <w:rFonts w:ascii="Times New Roman" w:hAnsi="Times New Roman" w:cs="Times New Roman"/>
                <w:color w:val="000000" w:themeColor="text1"/>
                <w:lang w:val="ro-MD"/>
              </w:rPr>
              <w:t>pct.75-78</w:t>
            </w:r>
            <w:r w:rsidR="00D12468" w:rsidRPr="00C011B2">
              <w:rPr>
                <w:rFonts w:ascii="Times New Roman" w:hAnsi="Times New Roman" w:cs="Times New Roman"/>
                <w:color w:val="000000" w:themeColor="text1"/>
                <w:lang w:val="ro-MD"/>
              </w:rPr>
              <w:t xml:space="preserve"> care nu au o volatilitate implicită. Cerințele de fonduri proprii pentru riscul delta și riscul de curbură se calculează pentru tranșele din securitizare respective.</w:t>
            </w:r>
          </w:p>
        </w:tc>
        <w:tc>
          <w:tcPr>
            <w:tcW w:w="450" w:type="pct"/>
          </w:tcPr>
          <w:p w14:paraId="4E4764C4" w14:textId="66015D36"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3F19E6D"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18D725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4D46AB6"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325t</w:t>
            </w:r>
          </w:p>
          <w:p w14:paraId="1C4338C9" w14:textId="5E38CC3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privind calcularea sensibilităților</w:t>
            </w:r>
          </w:p>
        </w:tc>
        <w:tc>
          <w:tcPr>
            <w:tcW w:w="1692" w:type="pct"/>
            <w:shd w:val="clear" w:color="auto" w:fill="auto"/>
          </w:tcPr>
          <w:p w14:paraId="59E63A14" w14:textId="1F27BFF9" w:rsidR="00D12468" w:rsidRPr="00C011B2" w:rsidRDefault="00E8631B" w:rsidP="00D12468">
            <w:pPr>
              <w:spacing w:after="0" w:line="276" w:lineRule="auto"/>
              <w:jc w:val="both"/>
              <w:rPr>
                <w:rFonts w:ascii="Times New Roman" w:hAnsi="Times New Roman" w:cs="Times New Roman"/>
                <w:color w:val="000000" w:themeColor="text1"/>
                <w:lang w:val="ro-MD"/>
              </w:rPr>
            </w:pPr>
            <w:bookmarkStart w:id="188" w:name="_Hlk195091573"/>
            <w:r w:rsidRPr="00C011B2">
              <w:rPr>
                <w:rFonts w:ascii="Times New Roman" w:hAnsi="Times New Roman" w:cs="Times New Roman"/>
                <w:i/>
                <w:iCs/>
                <w:color w:val="000000" w:themeColor="text1"/>
                <w:lang w:val="ro-MD"/>
              </w:rPr>
              <w:t xml:space="preserve">Paragraful 3. </w:t>
            </w:r>
            <w:r w:rsidR="00D12468" w:rsidRPr="00C011B2">
              <w:rPr>
                <w:rFonts w:ascii="Times New Roman" w:hAnsi="Times New Roman" w:cs="Times New Roman"/>
                <w:b/>
                <w:bCs/>
                <w:color w:val="000000" w:themeColor="text1"/>
                <w:lang w:val="ro-MD"/>
              </w:rPr>
              <w:t>Cerințe privind calcularea sensibilităților</w:t>
            </w:r>
            <w:bookmarkEnd w:id="188"/>
          </w:p>
        </w:tc>
        <w:tc>
          <w:tcPr>
            <w:tcW w:w="450" w:type="pct"/>
          </w:tcPr>
          <w:p w14:paraId="704F00E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21E2B6D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228C8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F416751" w14:textId="0ADEF108" w:rsidR="00D12468" w:rsidRPr="00C011B2" w:rsidRDefault="00D12468" w:rsidP="00D12468">
            <w:pPr>
              <w:tabs>
                <w:tab w:val="left" w:pos="4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determină sensibilitățile pornind de la modelele de evaluare utilizate de instituție ca bază pentru raportarea profiturilor și a pierderilor către conducerea superioară, utilizând formulele stabilite în prezenta subsecțiune.</w:t>
            </w:r>
          </w:p>
          <w:p w14:paraId="2B255FB9" w14:textId="77777777" w:rsidR="00D12468" w:rsidRPr="00C011B2" w:rsidRDefault="00FA7D23" w:rsidP="00D12468">
            <w:pPr>
              <w:tabs>
                <w:tab w:val="left" w:pos="490"/>
              </w:tabs>
              <w:spacing w:after="0" w:line="276" w:lineRule="auto"/>
              <w:jc w:val="both"/>
              <w:rPr>
                <w:rFonts w:ascii="Times New Roman" w:hAnsi="Times New Roman" w:cs="Times New Roman"/>
                <w:b/>
                <w:bCs/>
                <w:color w:val="000000" w:themeColor="text1"/>
                <w:lang w:val="ro-MD"/>
              </w:rPr>
            </w:pPr>
            <w:hyperlink r:id="rId75" w:tooltip="32024R1623: REPLACED" w:history="1">
              <w:r w:rsidR="00D12468" w:rsidRPr="00C011B2">
                <w:rPr>
                  <w:rStyle w:val="Hyperlink"/>
                  <w:rFonts w:ascii="Times New Roman" w:hAnsi="Times New Roman" w:cs="Times New Roman"/>
                  <w:b/>
                  <w:bCs/>
                  <w:lang w:val="ro-MD"/>
                </w:rPr>
                <w:t>▼M17</w:t>
              </w:r>
            </w:hyperlink>
          </w:p>
          <w:p w14:paraId="10FB82FC" w14:textId="25D17B7A" w:rsidR="00D12468" w:rsidRPr="00C011B2" w:rsidRDefault="00D12468" w:rsidP="00D12468">
            <w:pPr>
              <w:tabs>
                <w:tab w:val="left" w:pos="4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Prin derogare de la primul paragraf de la prezentul alineat, autoritățile competente pot solicita unei instituții căreia i s-a acordat aprobarea de a utiliza abordarea bazată pe modele interne alternativă prevăzută în capitolul 1b să utilizeze funcțiile de evaluare ale sistemului de măsurare a riscului din cadrul abordării lor bazate pe modele interne la calcularea sensibilităților în temeiul prezentului capitol în scopul calculului și al cerințelor de raportare prevăzute la articolul 325 alineatul (3).</w:t>
            </w:r>
          </w:p>
        </w:tc>
        <w:tc>
          <w:tcPr>
            <w:tcW w:w="1692" w:type="pct"/>
            <w:shd w:val="clear" w:color="auto" w:fill="auto"/>
          </w:tcPr>
          <w:p w14:paraId="7445159E" w14:textId="7A0837D9" w:rsidR="00D12468" w:rsidRPr="00C011B2" w:rsidRDefault="00E8631B" w:rsidP="00D12468">
            <w:pPr>
              <w:tabs>
                <w:tab w:val="left" w:pos="4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211.</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determină sensibilitățile pornind de la modelele de evaluare utilizate de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ca bază pentru raportarea profiturilor și a pierderilor către conducerea superioară, utilizând formulele stabilite în prezenta subsecțiune.</w:t>
            </w:r>
          </w:p>
          <w:p w14:paraId="1BDCBFB6" w14:textId="1F7CA277" w:rsidR="00D12468" w:rsidRPr="00C011B2" w:rsidRDefault="00E8631B"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212. </w:t>
            </w:r>
            <w:r w:rsidR="00D12468" w:rsidRPr="00C011B2">
              <w:rPr>
                <w:rFonts w:ascii="Times New Roman" w:hAnsi="Times New Roman" w:cs="Times New Roman"/>
                <w:color w:val="000000" w:themeColor="text1"/>
                <w:lang w:val="ro-MD"/>
              </w:rPr>
              <w:t xml:space="preserve">Prin derogare de la </w:t>
            </w:r>
            <w:r w:rsidRPr="00C011B2">
              <w:rPr>
                <w:rFonts w:ascii="Times New Roman" w:hAnsi="Times New Roman" w:cs="Times New Roman"/>
                <w:color w:val="000000" w:themeColor="text1"/>
                <w:lang w:val="ro-MD"/>
              </w:rPr>
              <w:t>pct.211</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BNM poate</w:t>
            </w:r>
            <w:r w:rsidR="00D12468" w:rsidRPr="00C011B2">
              <w:rPr>
                <w:rFonts w:ascii="Times New Roman" w:hAnsi="Times New Roman" w:cs="Times New Roman"/>
                <w:color w:val="000000" w:themeColor="text1"/>
                <w:lang w:val="ro-MD"/>
              </w:rPr>
              <w:t xml:space="preserve"> solicita unei </w:t>
            </w:r>
            <w:r w:rsidR="0085245C" w:rsidRPr="00C011B2">
              <w:rPr>
                <w:rFonts w:ascii="Times New Roman" w:hAnsi="Times New Roman" w:cs="Times New Roman"/>
                <w:color w:val="000000" w:themeColor="text1"/>
                <w:lang w:val="ro-MD"/>
              </w:rPr>
              <w:t xml:space="preserve">bănci </w:t>
            </w:r>
            <w:r w:rsidR="00D12468" w:rsidRPr="00C011B2">
              <w:rPr>
                <w:rFonts w:ascii="Times New Roman" w:hAnsi="Times New Roman" w:cs="Times New Roman"/>
                <w:color w:val="000000" w:themeColor="text1"/>
                <w:lang w:val="ro-MD"/>
              </w:rPr>
              <w:t>căreia i s-a acordat aprobarea de a utiliza abordarea bazată pe modele interne alternativă prevăzută în capitolul </w:t>
            </w:r>
            <w:r w:rsidR="0085245C" w:rsidRPr="00C011B2">
              <w:rPr>
                <w:rFonts w:ascii="Times New Roman" w:hAnsi="Times New Roman" w:cs="Times New Roman"/>
                <w:color w:val="000000" w:themeColor="text1"/>
                <w:lang w:val="ro-MD"/>
              </w:rPr>
              <w:t xml:space="preserve">III </w:t>
            </w:r>
            <w:r w:rsidR="00D12468" w:rsidRPr="00C011B2">
              <w:rPr>
                <w:rFonts w:ascii="Times New Roman" w:hAnsi="Times New Roman" w:cs="Times New Roman"/>
                <w:color w:val="000000" w:themeColor="text1"/>
                <w:lang w:val="ro-MD"/>
              </w:rPr>
              <w:t xml:space="preserve">să utilizeze funcțiile de evaluare ale sistemului de măsurare a riscului din cadrul abordării lor bazate pe modele interne la calcularea sensibilităților în temeiul prezentului capitol în scopul calculului și al cerințelor de raportare prevăzute la </w:t>
            </w:r>
            <w:r w:rsidR="004358B0" w:rsidRPr="00C011B2">
              <w:rPr>
                <w:rFonts w:ascii="Times New Roman" w:hAnsi="Times New Roman" w:cs="Times New Roman"/>
                <w:color w:val="000000" w:themeColor="text1"/>
                <w:lang w:val="ro-MD"/>
              </w:rPr>
              <w:t>pct.72</w:t>
            </w:r>
            <w:r w:rsidR="00D12468" w:rsidRPr="00C011B2">
              <w:rPr>
                <w:rFonts w:ascii="Times New Roman" w:hAnsi="Times New Roman" w:cs="Times New Roman"/>
                <w:color w:val="000000" w:themeColor="text1"/>
                <w:lang w:val="ro-MD"/>
              </w:rPr>
              <w:t>.</w:t>
            </w:r>
          </w:p>
        </w:tc>
        <w:tc>
          <w:tcPr>
            <w:tcW w:w="450" w:type="pct"/>
          </w:tcPr>
          <w:p w14:paraId="7EB36B80" w14:textId="0E50CBEC"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4300B28"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20C8EFD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8A58B0"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6" w:tooltip="32019R0876: INSERTED" w:history="1">
              <w:r w:rsidR="00D12468" w:rsidRPr="00C011B2">
                <w:rPr>
                  <w:rStyle w:val="Hyperlink"/>
                  <w:rFonts w:ascii="Times New Roman" w:hAnsi="Times New Roman" w:cs="Times New Roman"/>
                  <w:b/>
                  <w:bCs/>
                  <w:lang w:val="ro-MD"/>
                </w:rPr>
                <w:t>▼M8</w:t>
              </w:r>
            </w:hyperlink>
          </w:p>
          <w:p w14:paraId="7A683FD6" w14:textId="28E9C343"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Atunci când calculează sensibilitățile la riscul delta ale instrumentelor cu opționalitate sau ale celor menționate la articolul 325e alineatul (2) litera (a), instituțiile pot presupune că factorii de risc privind volatilitatea implicită rămân constanți.</w:t>
            </w:r>
          </w:p>
        </w:tc>
        <w:tc>
          <w:tcPr>
            <w:tcW w:w="1692" w:type="pct"/>
            <w:shd w:val="clear" w:color="auto" w:fill="auto"/>
          </w:tcPr>
          <w:p w14:paraId="0C65E18B" w14:textId="7E79D9AC" w:rsidR="00D12468" w:rsidRPr="00C011B2" w:rsidRDefault="0085245C"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213.</w:t>
            </w:r>
            <w:r w:rsidR="00D12468" w:rsidRPr="00C011B2">
              <w:rPr>
                <w:rFonts w:ascii="Times New Roman" w:hAnsi="Times New Roman" w:cs="Times New Roman"/>
                <w:color w:val="000000" w:themeColor="text1"/>
                <w:lang w:val="ro-MD"/>
              </w:rPr>
              <w:t>   Atunci când calculează sensibilitățile la riscul delta ale instrumentelor cu opționalitate sau ale celor menționate la</w:t>
            </w:r>
            <w:r w:rsidR="004358B0" w:rsidRPr="00C011B2">
              <w:rPr>
                <w:rFonts w:ascii="Times New Roman" w:hAnsi="Times New Roman" w:cs="Times New Roman"/>
                <w:color w:val="000000" w:themeColor="text1"/>
                <w:lang w:val="ro-MD"/>
              </w:rPr>
              <w:t xml:space="preserve"> subpct.105.</w:t>
            </w:r>
            <w:r w:rsidR="002420C8" w:rsidRPr="00C011B2">
              <w:rPr>
                <w:rFonts w:ascii="Times New Roman" w:hAnsi="Times New Roman" w:cs="Times New Roman"/>
                <w:color w:val="000000" w:themeColor="text1"/>
                <w:lang w:val="ro-MD"/>
              </w:rPr>
              <w:t>1</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pot presupune că factorii de risc privind volatilitatea implicită rămân constanți.</w:t>
            </w:r>
          </w:p>
        </w:tc>
        <w:tc>
          <w:tcPr>
            <w:tcW w:w="450" w:type="pct"/>
          </w:tcPr>
          <w:p w14:paraId="3B8A3B15" w14:textId="4CABCC04"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1096733"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4B9D53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DCA23F5" w14:textId="04868D6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Atunci când se calculează sensibilitățile la riscul vega ale instrumentelor cu opționalitate menționate la articolul 325e alineatul (2) litera (b), se aplică următoarele cerințe:</w:t>
            </w:r>
          </w:p>
          <w:p w14:paraId="692E40C2" w14:textId="52E05E1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pentru riscul general de rată a dobânzii și riscul de marjă de credit, instituțiile presupun, pentru fiecare monedă, că instrumentul-suport al factorilor de risc pentru volatilitate pentru care este calculat riscul vega urmează o distribuție fie log-normală, fie normală în cadrul modelelor de evaluare utilizate pentru instrumentele respective;</w:t>
            </w:r>
          </w:p>
          <w:p w14:paraId="3188DD84" w14:textId="582D09D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pentru riscul de devalorizare a titlurilor de capital, riscul de marfă și riscul valutar, instituțiile presupun că instrumentul-suport al factorilor de risc pentru volatilitate pentru care este calculat riscul vega urmează o distribuție log-normală în cadrul modelelor de evaluare utilizate pentru instrumentele respective.</w:t>
            </w:r>
          </w:p>
        </w:tc>
        <w:tc>
          <w:tcPr>
            <w:tcW w:w="1692" w:type="pct"/>
            <w:shd w:val="clear" w:color="auto" w:fill="auto"/>
          </w:tcPr>
          <w:p w14:paraId="01F815F4" w14:textId="50EE8449" w:rsidR="00D12468" w:rsidRPr="00C011B2" w:rsidRDefault="0085245C"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214.</w:t>
            </w:r>
            <w:r w:rsidR="00D12468" w:rsidRPr="00C011B2">
              <w:rPr>
                <w:rFonts w:ascii="Times New Roman" w:hAnsi="Times New Roman" w:cs="Times New Roman"/>
                <w:color w:val="000000" w:themeColor="text1"/>
                <w:lang w:val="ro-MD"/>
              </w:rPr>
              <w:t>   Atunci când se calculează sensibilitățile la riscul vega ale instrumentelor cu opționalitate menționate la</w:t>
            </w:r>
            <w:r w:rsidR="002420C8" w:rsidRPr="00C011B2">
              <w:rPr>
                <w:rFonts w:ascii="Times New Roman" w:hAnsi="Times New Roman" w:cs="Times New Roman"/>
                <w:color w:val="000000" w:themeColor="text1"/>
                <w:lang w:val="ro-MD"/>
              </w:rPr>
              <w:t xml:space="preserve"> subpct.105.2</w:t>
            </w:r>
            <w:r w:rsidR="00D12468" w:rsidRPr="00C011B2">
              <w:rPr>
                <w:rFonts w:ascii="Times New Roman" w:hAnsi="Times New Roman" w:cs="Times New Roman"/>
                <w:color w:val="000000" w:themeColor="text1"/>
                <w:lang w:val="ro-MD"/>
              </w:rPr>
              <w:t>, se aplică următoarele cerințe:</w:t>
            </w:r>
          </w:p>
          <w:p w14:paraId="256EF24E" w14:textId="19ED5BAA" w:rsidR="00D12468" w:rsidRPr="00C011B2" w:rsidRDefault="0085245C"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214.1.</w:t>
            </w:r>
            <w:r w:rsidR="00D12468" w:rsidRPr="00C011B2">
              <w:rPr>
                <w:rFonts w:ascii="Times New Roman" w:hAnsi="Times New Roman" w:cs="Times New Roman"/>
                <w:color w:val="000000" w:themeColor="text1"/>
                <w:lang w:val="ro-MD"/>
              </w:rPr>
              <w:t xml:space="preserve"> pentru riscul general de rată a dobânzii și riscul de marjă de credit,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presupun, pentru fiecare monedă, că instrumentul-suport al factorilor de risc pentru volatilitate pentru care este calculat riscul vega urmează o distribuție fie log-normală, fie normală în cadrul modelelor de evaluare utilizate pentru instrumentele respective;</w:t>
            </w:r>
          </w:p>
          <w:p w14:paraId="6AA6D18A" w14:textId="21EAFBEA" w:rsidR="00D12468" w:rsidRPr="00C011B2" w:rsidRDefault="0085245C"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214.2.</w:t>
            </w:r>
            <w:r w:rsidR="00D12468" w:rsidRPr="00C011B2">
              <w:rPr>
                <w:rFonts w:ascii="Times New Roman" w:hAnsi="Times New Roman" w:cs="Times New Roman"/>
                <w:color w:val="000000" w:themeColor="text1"/>
                <w:lang w:val="ro-MD"/>
              </w:rPr>
              <w:t xml:space="preserve"> pentru riscul de devalorizare a titlurilor de capital, riscul de marfă și riscul valutar, </w:t>
            </w:r>
            <w:r w:rsidR="00EC2C84"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presupun că instrumentul-suport al factorilor de risc pentru volatilitate pentru care este calculat riscul vega urmează o distribuție log-normală în cadrul modelelor de evaluare utilizate pentru instrumentele respective.</w:t>
            </w:r>
          </w:p>
        </w:tc>
        <w:tc>
          <w:tcPr>
            <w:tcW w:w="450" w:type="pct"/>
          </w:tcPr>
          <w:p w14:paraId="1CC18B01" w14:textId="057BEF84"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7FE601B"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1EDBA83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12EFEAC" w14:textId="31F41BD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   Instituțiile calculează toate sensibilitățile cu excepția sensibilităților la ajustările evaluării creditului.</w:t>
            </w:r>
          </w:p>
        </w:tc>
        <w:tc>
          <w:tcPr>
            <w:tcW w:w="1692" w:type="pct"/>
            <w:shd w:val="clear" w:color="auto" w:fill="auto"/>
          </w:tcPr>
          <w:p w14:paraId="72ECCA99" w14:textId="78D7BA3E" w:rsidR="00D12468" w:rsidRPr="00C011B2" w:rsidRDefault="00EC2C8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215.</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calculează toate sensibilitățile cu excepția sensibilităților la ajustările evaluării creditului.</w:t>
            </w:r>
          </w:p>
        </w:tc>
        <w:tc>
          <w:tcPr>
            <w:tcW w:w="450" w:type="pct"/>
          </w:tcPr>
          <w:p w14:paraId="01253FAE" w14:textId="3B5C9420"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D089F8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FF7AC3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995BDD0" w14:textId="2E473CF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Prin derogare de la alineatul (1), sub rezerva aprobării de către autoritățile competente, o instituție poate să utilizeze definiții alternative ale sensibilităților la riscul delta la calcularea cerințelor de fonduri proprii ale unei poziții din portofoliul de tranzacționare în conformitate cu prezentul capitol, dacă instituția îndeplinește cumulativ următoarele condiții:</w:t>
            </w:r>
          </w:p>
          <w:p w14:paraId="409FB3A6"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7" w:tooltip="32024R1623: REPLACED" w:history="1">
              <w:r w:rsidR="00D12468" w:rsidRPr="00C011B2">
                <w:rPr>
                  <w:rStyle w:val="Hyperlink"/>
                  <w:rFonts w:ascii="Times New Roman" w:hAnsi="Times New Roman" w:cs="Times New Roman"/>
                  <w:b/>
                  <w:bCs/>
                  <w:lang w:val="ro-MD"/>
                </w:rPr>
                <w:t>▼M17</w:t>
              </w:r>
            </w:hyperlink>
          </w:p>
          <w:p w14:paraId="40107B17" w14:textId="7DFAF89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definițiile alternative respective sunt utilizate în vederea gestionării interne a riscului sau a raportării către conducerea superioară a profiturilor și a pierderilor de către o unitate independentă de control al riscului din cadrul instituției;</w:t>
            </w:r>
          </w:p>
          <w:p w14:paraId="534F09CE"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8" w:tooltip="32019R0876: INSERTED" w:history="1">
              <w:r w:rsidR="00D12468" w:rsidRPr="00C011B2">
                <w:rPr>
                  <w:rStyle w:val="Hyperlink"/>
                  <w:rFonts w:ascii="Times New Roman" w:hAnsi="Times New Roman" w:cs="Times New Roman"/>
                  <w:b/>
                  <w:bCs/>
                  <w:lang w:val="ro-MD"/>
                </w:rPr>
                <w:t>▼M8</w:t>
              </w:r>
            </w:hyperlink>
          </w:p>
          <w:p w14:paraId="249099D0" w14:textId="20F0DD3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instituția demonstrează că aceste definiții alternative sunt mai adecvate pentru a reflecta sensibilitățile pentru poziție decât formulele prevăzute în prezenta subsecțiune și că sensibilitățile rezultate nu diferă semnificativ de aceste formule.</w:t>
            </w:r>
          </w:p>
        </w:tc>
        <w:tc>
          <w:tcPr>
            <w:tcW w:w="1692" w:type="pct"/>
            <w:shd w:val="clear" w:color="auto" w:fill="auto"/>
          </w:tcPr>
          <w:p w14:paraId="3BFAC12C" w14:textId="30D89D08" w:rsidR="00D12468" w:rsidRPr="00C011B2" w:rsidRDefault="00EC2C84" w:rsidP="00D12468">
            <w:pPr>
              <w:spacing w:after="0" w:line="276" w:lineRule="auto"/>
              <w:jc w:val="both"/>
              <w:rPr>
                <w:rFonts w:ascii="Times New Roman" w:hAnsi="Times New Roman" w:cs="Times New Roman"/>
                <w:color w:val="000000" w:themeColor="text1"/>
                <w:lang w:val="ro-MD"/>
              </w:rPr>
            </w:pPr>
            <w:bookmarkStart w:id="189" w:name="_Hlk222995903"/>
            <w:r w:rsidRPr="00C011B2">
              <w:rPr>
                <w:rFonts w:ascii="Times New Roman" w:hAnsi="Times New Roman" w:cs="Times New Roman"/>
                <w:color w:val="000000" w:themeColor="text1"/>
                <w:lang w:val="ro-MD"/>
              </w:rPr>
              <w:t>216.</w:t>
            </w:r>
            <w:r w:rsidR="00D12468" w:rsidRPr="00C011B2">
              <w:rPr>
                <w:rFonts w:ascii="Times New Roman" w:hAnsi="Times New Roman" w:cs="Times New Roman"/>
                <w:color w:val="000000" w:themeColor="text1"/>
                <w:lang w:val="ro-MD"/>
              </w:rPr>
              <w:t xml:space="preserve"> Prin derogare de la </w:t>
            </w:r>
            <w:r w:rsidRPr="00C011B2">
              <w:rPr>
                <w:rFonts w:ascii="Times New Roman" w:hAnsi="Times New Roman" w:cs="Times New Roman"/>
                <w:color w:val="000000" w:themeColor="text1"/>
                <w:lang w:val="ro-MD"/>
              </w:rPr>
              <w:t>pct.212</w:t>
            </w:r>
            <w:r w:rsidR="00D12468" w:rsidRPr="00C011B2">
              <w:rPr>
                <w:rFonts w:ascii="Times New Roman" w:hAnsi="Times New Roman" w:cs="Times New Roman"/>
                <w:color w:val="000000" w:themeColor="text1"/>
                <w:lang w:val="ro-MD"/>
              </w:rPr>
              <w:t xml:space="preserve">, sub rezerva aprobării de către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poate să utilizeze definiții alternative ale sensibilităților la riscul delta la calcularea cerințelor de fonduri proprii ale unei poziții din portofoliul de tranzacționare în conformitate cu prezentul capitol, dacă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îndeplinește cumulativ următoarele condiții:</w:t>
            </w:r>
          </w:p>
          <w:p w14:paraId="0881276F" w14:textId="73DD7D97" w:rsidR="00D12468" w:rsidRPr="00C011B2" w:rsidRDefault="00EC2C8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216.1.</w:t>
            </w:r>
            <w:r w:rsidR="00D12468" w:rsidRPr="00C011B2">
              <w:rPr>
                <w:rFonts w:ascii="Times New Roman" w:hAnsi="Times New Roman" w:cs="Times New Roman"/>
                <w:color w:val="000000" w:themeColor="text1"/>
                <w:lang w:val="ro-MD"/>
              </w:rPr>
              <w:t xml:space="preserve"> definițiile alternative respective sunt utilizate în vederea gestionării interne a riscului sau a raportării către conducerea superioară a profiturilor și a pierderilor de către o unitate independentă de control al riscului din cadrul </w:t>
            </w:r>
            <w:r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w:t>
            </w:r>
          </w:p>
          <w:p w14:paraId="5A698A5E" w14:textId="1114E344" w:rsidR="00D12468" w:rsidRPr="00C011B2" w:rsidRDefault="00EC2C8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216.2.</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demonstrează că aceste definiții alternative sunt mai adecvate pentru a reflecta sensibilitățile pentru poziție decât formulele prevăzute în prezenta subsecțiune și că sensibilitățile rezultate nu diferă semnificativ de aceste formule.</w:t>
            </w:r>
            <w:bookmarkEnd w:id="189"/>
          </w:p>
        </w:tc>
        <w:tc>
          <w:tcPr>
            <w:tcW w:w="450" w:type="pct"/>
          </w:tcPr>
          <w:p w14:paraId="1DEE0EC5" w14:textId="484D1977"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0B94E2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6D6D59B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AD81F5" w14:textId="1BBD5B2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(6)   Prin derogare de la alineatul (1), sub rezerva aprobării de către autoritățile competente, o instituție poate să calculeze sensibilitățile vega pe baza unei </w:t>
            </w:r>
            <w:r w:rsidRPr="00C011B2">
              <w:rPr>
                <w:rFonts w:ascii="Times New Roman" w:hAnsi="Times New Roman" w:cs="Times New Roman"/>
                <w:color w:val="000000" w:themeColor="text1"/>
                <w:lang w:val="ro-MD"/>
              </w:rPr>
              <w:lastRenderedPageBreak/>
              <w:t>transformări liniare a definițiilor alternative ale sensibilităților la calcularea cerințelor de fonduri proprii ale unei poziții din portofoliul de tranzacționare în conformitate cu prezentul capitol, dacă instituția îndeplinește cumulativ următoarele două condiții:</w:t>
            </w:r>
          </w:p>
          <w:p w14:paraId="3B5F4D8D"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79" w:tooltip="32024R1623: REPLACED" w:history="1">
              <w:r w:rsidR="00D12468" w:rsidRPr="00C011B2">
                <w:rPr>
                  <w:rStyle w:val="Hyperlink"/>
                  <w:rFonts w:ascii="Times New Roman" w:hAnsi="Times New Roman" w:cs="Times New Roman"/>
                  <w:b/>
                  <w:bCs/>
                  <w:lang w:val="ro-MD"/>
                </w:rPr>
                <w:t>▼M17</w:t>
              </w:r>
            </w:hyperlink>
          </w:p>
          <w:p w14:paraId="6B75FC97" w14:textId="2C8B6039"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definițiile alternative respective sunt utilizate în vederea gestionării interne a riscului sau a raportării către conducerea superioară a profiturilor și a pierderilor de către o unitate independentă de control al riscului din cadrul instituției;</w:t>
            </w:r>
          </w:p>
          <w:p w14:paraId="4FAD261C" w14:textId="79F7351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instituția demonstrează că aceste definiții alternative sunt mai adecvate pentru a reflecta sensibilitățile relevante pentru poziție decât formulele prevăzute în prezenta subsecțiune, că transformarea liniară menționată la primul paragraf reflectă o sensibilitate la riscul vega și că sensibilitățile rezultate nu diferă semnificativ de cele obținute aplicând respectivele formule.</w:t>
            </w:r>
          </w:p>
        </w:tc>
        <w:tc>
          <w:tcPr>
            <w:tcW w:w="1692" w:type="pct"/>
            <w:shd w:val="clear" w:color="auto" w:fill="auto"/>
          </w:tcPr>
          <w:p w14:paraId="33E96F7F" w14:textId="600DCC35" w:rsidR="00D12468" w:rsidRPr="00C011B2" w:rsidRDefault="00EC2C84" w:rsidP="00D12468">
            <w:pPr>
              <w:spacing w:after="0" w:line="276" w:lineRule="auto"/>
              <w:jc w:val="both"/>
              <w:rPr>
                <w:rFonts w:ascii="Times New Roman" w:hAnsi="Times New Roman" w:cs="Times New Roman"/>
                <w:color w:val="000000" w:themeColor="text1"/>
                <w:lang w:val="ro-MD"/>
              </w:rPr>
            </w:pPr>
            <w:bookmarkStart w:id="190" w:name="_Hlk222995933"/>
            <w:r w:rsidRPr="00C011B2">
              <w:rPr>
                <w:rFonts w:ascii="Times New Roman" w:hAnsi="Times New Roman" w:cs="Times New Roman"/>
                <w:color w:val="000000" w:themeColor="text1"/>
                <w:lang w:val="ro-MD"/>
              </w:rPr>
              <w:lastRenderedPageBreak/>
              <w:t>217.</w:t>
            </w:r>
            <w:r w:rsidR="00D12468" w:rsidRPr="00C011B2">
              <w:rPr>
                <w:rFonts w:ascii="Times New Roman" w:hAnsi="Times New Roman" w:cs="Times New Roman"/>
                <w:color w:val="000000" w:themeColor="text1"/>
                <w:lang w:val="ro-MD"/>
              </w:rPr>
              <w:t>   Prin derogare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pct.212</w:t>
            </w:r>
            <w:r w:rsidR="00D12468" w:rsidRPr="00C011B2">
              <w:rPr>
                <w:rFonts w:ascii="Times New Roman" w:hAnsi="Times New Roman" w:cs="Times New Roman"/>
                <w:color w:val="000000" w:themeColor="text1"/>
                <w:lang w:val="ro-MD"/>
              </w:rPr>
              <w:t xml:space="preserve">, sub rezerva aprobării de către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 xml:space="preserve">poate să calculeze sensibilitățile vega pe baza unei transformări liniare a definițiilor alternative </w:t>
            </w:r>
            <w:r w:rsidR="00D12468" w:rsidRPr="00C011B2">
              <w:rPr>
                <w:rFonts w:ascii="Times New Roman" w:hAnsi="Times New Roman" w:cs="Times New Roman"/>
                <w:color w:val="000000" w:themeColor="text1"/>
                <w:lang w:val="ro-MD"/>
              </w:rPr>
              <w:lastRenderedPageBreak/>
              <w:t xml:space="preserve">ale sensibilităților la calcularea cerințelor de fonduri proprii ale unei poziții din portofoliul de tranzacționare în conformitate cu prezentul capitol, dacă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îndeplinește cumulativ următoarele două condiții:</w:t>
            </w:r>
          </w:p>
          <w:p w14:paraId="1C37232F" w14:textId="7EF5FC61" w:rsidR="00D12468" w:rsidRPr="00C011B2" w:rsidRDefault="00EC2C8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217.1.</w:t>
            </w:r>
            <w:r w:rsidR="00D12468" w:rsidRPr="00C011B2">
              <w:rPr>
                <w:rFonts w:ascii="Times New Roman" w:hAnsi="Times New Roman" w:cs="Times New Roman"/>
                <w:color w:val="000000" w:themeColor="text1"/>
                <w:lang w:val="ro-MD"/>
              </w:rPr>
              <w:t xml:space="preserve"> definițiile alternative respective sunt utilizate în vederea gestionării interne a riscului sau a raportării către conducerea superioară a profiturilor și a pierderilor de către o unitate independentă de control al riscului din cadrul </w:t>
            </w:r>
            <w:r w:rsidRPr="00C011B2">
              <w:rPr>
                <w:rFonts w:ascii="Times New Roman" w:hAnsi="Times New Roman" w:cs="Times New Roman"/>
                <w:color w:val="000000" w:themeColor="text1"/>
                <w:lang w:val="ro-MD"/>
              </w:rPr>
              <w:t>băncii</w:t>
            </w:r>
            <w:r w:rsidR="00D12468" w:rsidRPr="00C011B2">
              <w:rPr>
                <w:rFonts w:ascii="Times New Roman" w:hAnsi="Times New Roman" w:cs="Times New Roman"/>
                <w:color w:val="000000" w:themeColor="text1"/>
                <w:lang w:val="ro-MD"/>
              </w:rPr>
              <w:t>;</w:t>
            </w:r>
          </w:p>
          <w:p w14:paraId="409BD597" w14:textId="4475C91E" w:rsidR="00D12468" w:rsidRPr="00C011B2" w:rsidRDefault="00EC2C8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217.2.</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demonstrează că aceste definiții alternative sunt mai adecvate pentru a reflecta sensibilitățile relevante pentru poziție decât formulele prevăzute în prezenta subsecțiune, că transformarea liniară menționată la </w:t>
            </w:r>
            <w:r w:rsidRPr="00C011B2">
              <w:rPr>
                <w:rFonts w:ascii="Times New Roman" w:hAnsi="Times New Roman" w:cs="Times New Roman"/>
                <w:color w:val="000000" w:themeColor="text1"/>
                <w:lang w:val="ro-MD"/>
              </w:rPr>
              <w:t>pct.217</w:t>
            </w:r>
            <w:r w:rsidR="00D12468" w:rsidRPr="00C011B2">
              <w:rPr>
                <w:rFonts w:ascii="Times New Roman" w:hAnsi="Times New Roman" w:cs="Times New Roman"/>
                <w:color w:val="000000" w:themeColor="text1"/>
                <w:lang w:val="ro-MD"/>
              </w:rPr>
              <w:t xml:space="preserve"> reflectă o sensibilitate la riscul vega și că sensibilitățile rezultate nu diferă semnificativ de cele obținute aplicând respectivele formule.</w:t>
            </w:r>
            <w:bookmarkEnd w:id="190"/>
          </w:p>
        </w:tc>
        <w:tc>
          <w:tcPr>
            <w:tcW w:w="450" w:type="pct"/>
          </w:tcPr>
          <w:p w14:paraId="355DDE65" w14:textId="2F57EF11"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D2988A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25A13C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286026"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80" w:tooltip="32019R0876: INSERTED" w:history="1">
              <w:r w:rsidR="00D12468" w:rsidRPr="00C011B2">
                <w:rPr>
                  <w:rStyle w:val="Hyperlink"/>
                  <w:rFonts w:ascii="Times New Roman" w:hAnsi="Times New Roman" w:cs="Times New Roman"/>
                  <w:b/>
                  <w:bCs/>
                  <w:lang w:val="ro-MD"/>
                </w:rPr>
                <w:t>▼M8</w:t>
              </w:r>
            </w:hyperlink>
          </w:p>
          <w:p w14:paraId="76FD593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4</w:t>
            </w:r>
          </w:p>
          <w:p w14:paraId="70544A6D"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Majorarea pentru riscul rezidual</w:t>
            </w:r>
          </w:p>
          <w:p w14:paraId="6CB82152" w14:textId="77777777" w:rsidR="00D12468" w:rsidRPr="00C011B2" w:rsidRDefault="00D12468" w:rsidP="00D12468">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325u</w:t>
            </w:r>
          </w:p>
          <w:p w14:paraId="5E644AAB" w14:textId="18905B2A"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de fonduri proprii pentru riscurile reziduale</w:t>
            </w:r>
          </w:p>
        </w:tc>
        <w:tc>
          <w:tcPr>
            <w:tcW w:w="1692" w:type="pct"/>
            <w:shd w:val="clear" w:color="auto" w:fill="auto"/>
          </w:tcPr>
          <w:p w14:paraId="7689363A" w14:textId="77777777" w:rsidR="00D12468" w:rsidRPr="00C011B2" w:rsidRDefault="00D12468" w:rsidP="00D12468">
            <w:pPr>
              <w:spacing w:after="0" w:line="276" w:lineRule="auto"/>
              <w:jc w:val="both"/>
              <w:rPr>
                <w:rFonts w:ascii="Times New Roman" w:hAnsi="Times New Roman" w:cs="Times New Roman"/>
                <w:b/>
                <w:bCs/>
                <w:color w:val="000000" w:themeColor="text1"/>
                <w:lang w:val="ro-MD"/>
              </w:rPr>
            </w:pPr>
            <w:bookmarkStart w:id="191" w:name="_Hlk195091634"/>
            <w:r w:rsidRPr="00C011B2">
              <w:rPr>
                <w:rFonts w:ascii="Times New Roman" w:hAnsi="Times New Roman" w:cs="Times New Roman"/>
                <w:b/>
                <w:bCs/>
                <w:color w:val="000000" w:themeColor="text1"/>
                <w:lang w:val="ro-MD"/>
              </w:rPr>
              <w:t>Secțiunea 4</w:t>
            </w:r>
          </w:p>
          <w:p w14:paraId="48916673" w14:textId="2EF1A3D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Majorarea pentru riscul rezidual</w:t>
            </w:r>
            <w:r w:rsidR="00171807" w:rsidRPr="00C011B2">
              <w:rPr>
                <w:rFonts w:ascii="Times New Roman" w:hAnsi="Times New Roman" w:cs="Times New Roman"/>
                <w:b/>
                <w:bCs/>
                <w:color w:val="000000" w:themeColor="text1"/>
                <w:lang w:val="ro-MD"/>
              </w:rPr>
              <w:t xml:space="preserve"> și c</w:t>
            </w:r>
            <w:r w:rsidRPr="00C011B2">
              <w:rPr>
                <w:rFonts w:ascii="Times New Roman" w:hAnsi="Times New Roman" w:cs="Times New Roman"/>
                <w:b/>
                <w:bCs/>
                <w:color w:val="000000" w:themeColor="text1"/>
                <w:lang w:val="ro-MD"/>
              </w:rPr>
              <w:t>erințe de fonduri proprii pentru riscurile reziduale</w:t>
            </w:r>
            <w:bookmarkEnd w:id="191"/>
          </w:p>
        </w:tc>
        <w:tc>
          <w:tcPr>
            <w:tcW w:w="450" w:type="pct"/>
          </w:tcPr>
          <w:p w14:paraId="0D142BF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59E647B7"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0EBA442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B53A2CE" w14:textId="77777777" w:rsidR="00D12468" w:rsidRPr="00C011B2" w:rsidRDefault="00D12468" w:rsidP="00D12468">
            <w:pPr>
              <w:spacing w:after="0" w:line="276" w:lineRule="auto"/>
              <w:jc w:val="both"/>
              <w:rPr>
                <w:rFonts w:ascii="Times New Roman" w:hAnsi="Times New Roman" w:cs="Times New Roman"/>
                <w:color w:val="000000" w:themeColor="text1"/>
                <w:lang w:val="it-IT"/>
              </w:rPr>
            </w:pPr>
          </w:p>
        </w:tc>
        <w:tc>
          <w:tcPr>
            <w:tcW w:w="1692" w:type="pct"/>
            <w:shd w:val="clear" w:color="auto" w:fill="auto"/>
          </w:tcPr>
          <w:p w14:paraId="2299648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p>
        </w:tc>
        <w:tc>
          <w:tcPr>
            <w:tcW w:w="450" w:type="pct"/>
          </w:tcPr>
          <w:p w14:paraId="71B2182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5856A30E"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730666A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5F80793" w14:textId="31E6F55D"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plus față de cerințele de fonduri proprii pentru riscul de piață prevăzute în secțiunea 2, instituțiile aplică cerințe de fonduri proprii suplimentare instrumentelor expuse la riscuri reziduale în conformitate cu prezentul articol.</w:t>
            </w:r>
          </w:p>
        </w:tc>
        <w:tc>
          <w:tcPr>
            <w:tcW w:w="1692" w:type="pct"/>
            <w:shd w:val="clear" w:color="auto" w:fill="auto"/>
          </w:tcPr>
          <w:p w14:paraId="4747971A" w14:textId="76285278" w:rsidR="00D12468" w:rsidRPr="00C011B2" w:rsidRDefault="00171807" w:rsidP="00D12468">
            <w:pPr>
              <w:spacing w:after="0" w:line="276" w:lineRule="auto"/>
              <w:jc w:val="both"/>
              <w:rPr>
                <w:rFonts w:ascii="Times New Roman" w:hAnsi="Times New Roman" w:cs="Times New Roman"/>
                <w:color w:val="000000" w:themeColor="text1"/>
                <w:lang w:val="ro-MD"/>
              </w:rPr>
            </w:pPr>
            <w:bookmarkStart w:id="192" w:name="_Hlk223008761"/>
            <w:r w:rsidRPr="00C011B2">
              <w:rPr>
                <w:rFonts w:ascii="Times New Roman" w:hAnsi="Times New Roman" w:cs="Times New Roman"/>
                <w:color w:val="000000" w:themeColor="text1"/>
                <w:lang w:val="ro-MD"/>
              </w:rPr>
              <w:t>218.</w:t>
            </w:r>
            <w:r w:rsidR="00D12468" w:rsidRPr="00C011B2">
              <w:rPr>
                <w:rFonts w:ascii="Times New Roman" w:hAnsi="Times New Roman" w:cs="Times New Roman"/>
                <w:color w:val="000000" w:themeColor="text1"/>
                <w:lang w:val="ro-MD"/>
              </w:rPr>
              <w:t xml:space="preserve">   În plus față de cerințele de fonduri proprii pentru riscul de piață prevăzute în secțiunea 2,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aplică cerințe de fonduri proprii suplimentare instrumentelor expuse la riscuri reziduale în conformitate cu </w:t>
            </w:r>
            <w:r w:rsidRPr="00C011B2">
              <w:rPr>
                <w:rFonts w:ascii="Times New Roman" w:hAnsi="Times New Roman" w:cs="Times New Roman"/>
                <w:color w:val="000000" w:themeColor="text1"/>
                <w:lang w:val="ro-MD"/>
              </w:rPr>
              <w:t>prezenta secțiune</w:t>
            </w:r>
            <w:r w:rsidR="00C84DA8" w:rsidRPr="00C011B2">
              <w:rPr>
                <w:rFonts w:ascii="Times New Roman" w:hAnsi="Times New Roman" w:cs="Times New Roman"/>
                <w:color w:val="000000" w:themeColor="text1"/>
                <w:lang w:val="ro-MD"/>
              </w:rPr>
              <w:t xml:space="preserve"> </w:t>
            </w:r>
            <w:bookmarkStart w:id="193" w:name="_Hlk223620556"/>
            <w:r w:rsidR="00C84DA8" w:rsidRPr="00C011B2">
              <w:rPr>
                <w:rFonts w:ascii="Times New Roman" w:hAnsi="Times New Roman" w:cs="Times New Roman"/>
                <w:color w:val="000000" w:themeColor="text1"/>
                <w:lang w:val="ro-MD"/>
              </w:rPr>
              <w:t>și anexa nr.</w:t>
            </w:r>
            <w:bookmarkEnd w:id="193"/>
            <w:r w:rsidR="000C5E54" w:rsidRPr="00C011B2">
              <w:rPr>
                <w:rFonts w:ascii="Times New Roman" w:hAnsi="Times New Roman" w:cs="Times New Roman"/>
                <w:color w:val="000000" w:themeColor="text1"/>
                <w:lang w:val="ro-MD"/>
              </w:rPr>
              <w:t>2</w:t>
            </w:r>
            <w:r w:rsidR="00D12468" w:rsidRPr="00C011B2">
              <w:rPr>
                <w:rFonts w:ascii="Times New Roman" w:hAnsi="Times New Roman" w:cs="Times New Roman"/>
                <w:color w:val="000000" w:themeColor="text1"/>
                <w:lang w:val="ro-MD"/>
              </w:rPr>
              <w:t>.</w:t>
            </w:r>
            <w:bookmarkEnd w:id="192"/>
          </w:p>
        </w:tc>
        <w:tc>
          <w:tcPr>
            <w:tcW w:w="450" w:type="pct"/>
          </w:tcPr>
          <w:p w14:paraId="207C8E4C" w14:textId="5B7B3112" w:rsidR="00D12468" w:rsidRPr="00C011B2" w:rsidRDefault="00171807"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56BC8E2" w14:textId="110A4BEA" w:rsidR="00D12468" w:rsidRPr="00C011B2" w:rsidRDefault="008C134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Pct.218 a fost completat cu prevederi aferente anexei nr.</w:t>
            </w:r>
            <w:r w:rsidR="000C5E54" w:rsidRPr="00C011B2">
              <w:rPr>
                <w:rFonts w:ascii="Times New Roman" w:hAnsi="Times New Roman" w:cs="Times New Roman"/>
                <w:color w:val="000000" w:themeColor="text1"/>
                <w:lang w:val="ro-MD"/>
              </w:rPr>
              <w:t>2</w:t>
            </w:r>
            <w:r w:rsidRPr="00C011B2">
              <w:rPr>
                <w:rFonts w:ascii="Times New Roman" w:hAnsi="Times New Roman" w:cs="Times New Roman"/>
                <w:color w:val="000000" w:themeColor="text1"/>
                <w:lang w:val="ro-MD"/>
              </w:rPr>
              <w:t>, care transpune REGULAMENTUL DELEGAT (UE) 2022/2328 AL COMISIEI din 16 august 2022 de completare a Regulamentului (UE) nr. 575/2013 al Parlamentului European și al Consiliului în ceea ce privește standardele tehnice de reglementare care furnizează precizări cu privire la instrumentele-suport exotice și instrumentele care prezintă riscuri reziduale în scopul calculării cerințelor de fonduri proprii pentru riscurile reziduale</w:t>
            </w:r>
          </w:p>
        </w:tc>
      </w:tr>
      <w:tr w:rsidR="00D12468" w:rsidRPr="00C011B2" w14:paraId="4EA5964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FF485F0" w14:textId="2BB8E73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Instrumentele sunt considerate a fi expuse la riscuri reziduale în cazul în care îndeplinesc una dintre următoarele condiții:</w:t>
            </w:r>
          </w:p>
          <w:p w14:paraId="0D0C9CA2" w14:textId="74563EE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instrumentul se raportează la un instrument-suport exotic, ceea ce, în sensul prezentului capitol, înseamnă că un instrument din portofoliul de tranzacționare se raportează la o expunere-suport care nu este inclusă în domeniul de aplicare al tratamentului riscului delta, vega sau de curbură în conformitate cu metoda bazată pe sensibilități prevăzută în secțiunea 2 sau al </w:t>
            </w:r>
            <w:r w:rsidRPr="00C011B2">
              <w:rPr>
                <w:rFonts w:ascii="Times New Roman" w:hAnsi="Times New Roman" w:cs="Times New Roman"/>
                <w:color w:val="000000" w:themeColor="text1"/>
                <w:lang w:val="ro-MD"/>
              </w:rPr>
              <w:lastRenderedPageBreak/>
              <w:t>cerințelor de fonduri proprii pentru riscul de nerambursare prevăzute în secțiunea 5;</w:t>
            </w:r>
          </w:p>
          <w:p w14:paraId="65A5B977" w14:textId="4DE8BAE2"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instrumentul este un instrument care prezintă alte riscuri reziduale, care, în sensul prezentului capitol, înseamnă oricare dintre următoarele instrumente:</w:t>
            </w:r>
          </w:p>
          <w:p w14:paraId="3618733A" w14:textId="21261B0E"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instrumente care fac obiectul cerințelor de fonduri proprii pentru riscul vega și riscul de curbură conform metodei bazate pe sensibilități prevăzute în secțiunea 2 și care generează rezultate care nu pot fi reproduse sub forma unei combinații liniare finite de opțiuni „plain vanilla” cu un singur suport reprezentând un preț al titlurilor de capital, un preț al mărfurilor, un curs de schimb, un preț al obligațiunilor, un preț al instrumentului de tip credit default swap sau al swapului pe rata dobânzii;</w:t>
            </w:r>
          </w:p>
          <w:p w14:paraId="4306143A" w14:textId="6092385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instrumente care sunt poziții care sunt incluse în ACTP menționate la articolul 325 alineatul (6); acoperirile care fac parte din ACTP respectiv, astfel cum sunt menționate la articolul 325 alineatul (8), nu sunt luate în considerare.</w:t>
            </w:r>
          </w:p>
        </w:tc>
        <w:tc>
          <w:tcPr>
            <w:tcW w:w="1692" w:type="pct"/>
            <w:shd w:val="clear" w:color="auto" w:fill="auto"/>
          </w:tcPr>
          <w:p w14:paraId="5B843047" w14:textId="03F0CB4F" w:rsidR="00D12468" w:rsidRPr="00C011B2" w:rsidRDefault="00171807" w:rsidP="00D12468">
            <w:pPr>
              <w:spacing w:after="0" w:line="276" w:lineRule="auto"/>
              <w:jc w:val="both"/>
              <w:rPr>
                <w:rFonts w:ascii="Times New Roman" w:hAnsi="Times New Roman" w:cs="Times New Roman"/>
                <w:color w:val="000000" w:themeColor="text1"/>
                <w:lang w:val="ro-MD"/>
              </w:rPr>
            </w:pPr>
            <w:bookmarkStart w:id="194" w:name="_Hlk223008787"/>
            <w:r w:rsidRPr="00C011B2">
              <w:rPr>
                <w:rFonts w:ascii="Times New Roman" w:hAnsi="Times New Roman" w:cs="Times New Roman"/>
                <w:color w:val="000000" w:themeColor="text1"/>
                <w:lang w:val="ro-MD"/>
              </w:rPr>
              <w:lastRenderedPageBreak/>
              <w:t>219.</w:t>
            </w:r>
            <w:r w:rsidR="00D12468" w:rsidRPr="00C011B2">
              <w:rPr>
                <w:rFonts w:ascii="Times New Roman" w:hAnsi="Times New Roman" w:cs="Times New Roman"/>
                <w:color w:val="000000" w:themeColor="text1"/>
                <w:lang w:val="ro-MD"/>
              </w:rPr>
              <w:t>   Instrumentele sunt considerate a fi expuse la riscuri reziduale în cazul în care îndeplinesc una dintre următoarele condiții:</w:t>
            </w:r>
          </w:p>
          <w:p w14:paraId="793D0C33" w14:textId="47B43B63" w:rsidR="00D12468" w:rsidRPr="00C011B2" w:rsidRDefault="0017180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219.1.</w:t>
            </w:r>
            <w:r w:rsidR="00D12468" w:rsidRPr="00C011B2">
              <w:rPr>
                <w:rFonts w:ascii="Times New Roman" w:hAnsi="Times New Roman" w:cs="Times New Roman"/>
                <w:color w:val="000000" w:themeColor="text1"/>
                <w:lang w:val="ro-MD"/>
              </w:rPr>
              <w:t> instrumentul se raportează la un instrument-suport exotic</w:t>
            </w:r>
            <w:r w:rsidR="00C84DA8" w:rsidRPr="00C011B2">
              <w:rPr>
                <w:rFonts w:ascii="Times New Roman" w:hAnsi="Times New Roman" w:cs="Times New Roman"/>
                <w:color w:val="000000" w:themeColor="text1"/>
                <w:lang w:val="ro-MD"/>
              </w:rPr>
              <w:t xml:space="preserve"> </w:t>
            </w:r>
            <w:bookmarkStart w:id="195" w:name="_Hlk223620606"/>
            <w:r w:rsidR="00C84DA8" w:rsidRPr="00C011B2">
              <w:rPr>
                <w:rFonts w:ascii="Times New Roman" w:hAnsi="Times New Roman" w:cs="Times New Roman"/>
                <w:color w:val="000000" w:themeColor="text1"/>
                <w:lang w:val="ro-MD"/>
              </w:rPr>
              <w:t>prevăzut în pct.1 din anexa nr.</w:t>
            </w:r>
            <w:bookmarkEnd w:id="195"/>
            <w:r w:rsidR="000C5E54" w:rsidRPr="00C011B2">
              <w:rPr>
                <w:rFonts w:ascii="Times New Roman" w:hAnsi="Times New Roman" w:cs="Times New Roman"/>
                <w:color w:val="000000" w:themeColor="text1"/>
                <w:lang w:val="ro-MD"/>
              </w:rPr>
              <w:t>2</w:t>
            </w:r>
            <w:r w:rsidR="00D12468" w:rsidRPr="00C011B2">
              <w:rPr>
                <w:rFonts w:ascii="Times New Roman" w:hAnsi="Times New Roman" w:cs="Times New Roman"/>
                <w:color w:val="000000" w:themeColor="text1"/>
                <w:lang w:val="ro-MD"/>
              </w:rPr>
              <w:t xml:space="preserve">, ceea ce, în sensul prezentului capitol, înseamnă că un instrument din portofoliul de tranzacționare se raportează la o expunere-suport care nu este inclusă în domeniul de aplicare al tratamentului riscului delta, vega sau de curbură în conformitate cu metoda bazată pe sensibilități prevăzută în </w:t>
            </w:r>
            <w:r w:rsidR="00D12468" w:rsidRPr="00C011B2">
              <w:rPr>
                <w:rFonts w:ascii="Times New Roman" w:hAnsi="Times New Roman" w:cs="Times New Roman"/>
                <w:color w:val="000000" w:themeColor="text1"/>
                <w:lang w:val="ro-MD"/>
              </w:rPr>
              <w:lastRenderedPageBreak/>
              <w:t>secțiunea 2 sau al cerințelor de fonduri proprii pentru riscul de nerambursare prevăzute în secțiunea 5;</w:t>
            </w:r>
          </w:p>
          <w:p w14:paraId="3609FCC2" w14:textId="68572CD0" w:rsidR="00D12468" w:rsidRPr="00C011B2" w:rsidRDefault="0017180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219.2.</w:t>
            </w:r>
            <w:r w:rsidR="00D12468" w:rsidRPr="00C011B2">
              <w:rPr>
                <w:rFonts w:ascii="Times New Roman" w:hAnsi="Times New Roman" w:cs="Times New Roman"/>
                <w:color w:val="000000" w:themeColor="text1"/>
                <w:lang w:val="ro-MD"/>
              </w:rPr>
              <w:t> instrumentul este un instrument care prezintă alte riscuri reziduale</w:t>
            </w:r>
            <w:r w:rsidR="008C134A" w:rsidRPr="00C011B2">
              <w:rPr>
                <w:rFonts w:ascii="Times New Roman" w:hAnsi="Times New Roman" w:cs="Times New Roman"/>
                <w:color w:val="000000" w:themeColor="text1"/>
                <w:lang w:val="ro-MD"/>
              </w:rPr>
              <w:t xml:space="preserve"> </w:t>
            </w:r>
            <w:bookmarkStart w:id="196" w:name="_Hlk223620634"/>
            <w:r w:rsidR="008C134A" w:rsidRPr="00C011B2">
              <w:rPr>
                <w:rFonts w:ascii="Times New Roman" w:hAnsi="Times New Roman" w:cs="Times New Roman"/>
                <w:color w:val="000000" w:themeColor="text1"/>
                <w:lang w:val="ro-MD"/>
              </w:rPr>
              <w:t>potrivit pct.3 din anexa nr.</w:t>
            </w:r>
            <w:bookmarkEnd w:id="196"/>
            <w:r w:rsidR="000C5E54" w:rsidRPr="00C011B2">
              <w:rPr>
                <w:rFonts w:ascii="Times New Roman" w:hAnsi="Times New Roman" w:cs="Times New Roman"/>
                <w:color w:val="000000" w:themeColor="text1"/>
                <w:lang w:val="ro-MD"/>
              </w:rPr>
              <w:t>2</w:t>
            </w:r>
            <w:r w:rsidR="00D12468" w:rsidRPr="00C011B2">
              <w:rPr>
                <w:rFonts w:ascii="Times New Roman" w:hAnsi="Times New Roman" w:cs="Times New Roman"/>
                <w:color w:val="000000" w:themeColor="text1"/>
                <w:lang w:val="ro-MD"/>
              </w:rPr>
              <w:t>, care, în sensul prezentului capitol, înseamnă oricare dintre următoarele instrumente:</w:t>
            </w:r>
          </w:p>
          <w:p w14:paraId="38327E9C" w14:textId="735F1E52" w:rsidR="00D12468" w:rsidRPr="00C011B2" w:rsidRDefault="0017180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219.2.1.</w:t>
            </w:r>
            <w:r w:rsidR="00D12468" w:rsidRPr="00C011B2">
              <w:rPr>
                <w:rFonts w:ascii="Times New Roman" w:hAnsi="Times New Roman" w:cs="Times New Roman"/>
                <w:color w:val="000000" w:themeColor="text1"/>
                <w:lang w:val="ro-MD"/>
              </w:rPr>
              <w:t> instrumente care fac obiectul cerințelor de fonduri proprii pentru riscul vega și riscul de curbură conform metodei bazate pe sensibilități prevăzute în secțiunea 2 și care generează rezultate care nu pot fi reproduse sub forma unei combinații liniare finite de opțiuni „plain vanilla” cu un singur suport reprezentând un preț al titlurilor de capital, un preț al mărfurilor, un curs de schimb, un preț al obligațiunilor, un preț al instrumentului de tip credit default swap sau al swapului pe rata dobânzii;</w:t>
            </w:r>
          </w:p>
          <w:p w14:paraId="5B42D7D3" w14:textId="7C7D9DB6" w:rsidR="00D12468" w:rsidRPr="00C011B2" w:rsidRDefault="0017180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219.2.2.</w:t>
            </w:r>
            <w:r w:rsidR="00D12468" w:rsidRPr="00C011B2">
              <w:rPr>
                <w:rFonts w:ascii="Times New Roman" w:hAnsi="Times New Roman" w:cs="Times New Roman"/>
                <w:color w:val="000000" w:themeColor="text1"/>
                <w:lang w:val="ro-MD"/>
              </w:rPr>
              <w:t> instrumente care sunt poziții care sunt incluse în ACTP menționate la</w:t>
            </w:r>
            <w:r w:rsidR="00A34689" w:rsidRPr="00C011B2">
              <w:rPr>
                <w:rFonts w:ascii="Times New Roman" w:hAnsi="Times New Roman" w:cs="Times New Roman"/>
                <w:color w:val="000000" w:themeColor="text1"/>
                <w:lang w:val="ro-MD"/>
              </w:rPr>
              <w:t xml:space="preserve"> </w:t>
            </w:r>
            <w:r w:rsidR="002420C8" w:rsidRPr="00C011B2">
              <w:rPr>
                <w:rFonts w:ascii="Times New Roman" w:hAnsi="Times New Roman" w:cs="Times New Roman"/>
                <w:color w:val="000000" w:themeColor="text1"/>
                <w:lang w:val="ro-MD"/>
              </w:rPr>
              <w:t>pct.75-76</w:t>
            </w:r>
            <w:r w:rsidR="00D12468" w:rsidRPr="00C011B2">
              <w:rPr>
                <w:rFonts w:ascii="Times New Roman" w:hAnsi="Times New Roman" w:cs="Times New Roman"/>
                <w:color w:val="000000" w:themeColor="text1"/>
                <w:lang w:val="ro-MD"/>
              </w:rPr>
              <w:t>; acoperirile care fac parte din ACTP respectiv, astfel cum sunt menționate la</w:t>
            </w:r>
            <w:r w:rsidR="00A34689" w:rsidRPr="00C011B2">
              <w:rPr>
                <w:rFonts w:ascii="Times New Roman" w:hAnsi="Times New Roman" w:cs="Times New Roman"/>
                <w:color w:val="000000" w:themeColor="text1"/>
                <w:lang w:val="ro-MD"/>
              </w:rPr>
              <w:t xml:space="preserve"> </w:t>
            </w:r>
            <w:r w:rsidR="002420C8" w:rsidRPr="00C011B2">
              <w:rPr>
                <w:rFonts w:ascii="Times New Roman" w:hAnsi="Times New Roman" w:cs="Times New Roman"/>
                <w:color w:val="000000" w:themeColor="text1"/>
                <w:lang w:val="ro-MD"/>
              </w:rPr>
              <w:t>pct.78</w:t>
            </w:r>
            <w:r w:rsidR="00D12468" w:rsidRPr="00C011B2">
              <w:rPr>
                <w:rFonts w:ascii="Times New Roman" w:hAnsi="Times New Roman" w:cs="Times New Roman"/>
                <w:color w:val="000000" w:themeColor="text1"/>
                <w:lang w:val="ro-MD"/>
              </w:rPr>
              <w:t>, nu sunt luate în considerare.</w:t>
            </w:r>
            <w:bookmarkEnd w:id="194"/>
          </w:p>
        </w:tc>
        <w:tc>
          <w:tcPr>
            <w:tcW w:w="450" w:type="pct"/>
          </w:tcPr>
          <w:p w14:paraId="2E5EA2EE" w14:textId="1BC9A36D" w:rsidR="00D12468" w:rsidRPr="00C011B2" w:rsidRDefault="008C11F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F9D3FCD" w14:textId="5803EC9D" w:rsidR="00D12468" w:rsidRPr="00C011B2" w:rsidRDefault="008C134A"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Pct.219 a fost completat cu prevederi aferente anexei nr.</w:t>
            </w:r>
            <w:r w:rsidR="000C5E54" w:rsidRPr="00C011B2">
              <w:rPr>
                <w:rFonts w:ascii="Times New Roman" w:hAnsi="Times New Roman" w:cs="Times New Roman"/>
                <w:color w:val="000000" w:themeColor="text1"/>
                <w:lang w:val="ro-MD"/>
              </w:rPr>
              <w:t>2</w:t>
            </w:r>
            <w:r w:rsidRPr="00C011B2">
              <w:rPr>
                <w:rFonts w:ascii="Times New Roman" w:hAnsi="Times New Roman" w:cs="Times New Roman"/>
                <w:color w:val="000000" w:themeColor="text1"/>
                <w:lang w:val="ro-MD"/>
              </w:rPr>
              <w:t xml:space="preserve">, care transpune REGULAMENTUL DELEGAT (UE) 2022/2328 AL COMISIEI din 16 august 2022 de completare a Regulamentului (UE) nr. 575/2013 al Parlamentului European și al Consiliului în ceea ce privește standardele tehnice de reglementare care furnizează precizări cu privire la instrumentele-suport exotice și </w:t>
            </w:r>
            <w:r w:rsidRPr="00C011B2">
              <w:rPr>
                <w:rFonts w:ascii="Times New Roman" w:hAnsi="Times New Roman" w:cs="Times New Roman"/>
                <w:color w:val="000000" w:themeColor="text1"/>
                <w:lang w:val="ro-MD"/>
              </w:rPr>
              <w:lastRenderedPageBreak/>
              <w:t>instrumentele care prezintă riscuri reziduale în scopul calculării cerințelor de fonduri proprii pentru riscurile reziduale</w:t>
            </w:r>
          </w:p>
        </w:tc>
      </w:tr>
      <w:tr w:rsidR="00D12468" w:rsidRPr="00C011B2" w14:paraId="1FD663B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A8BB35" w14:textId="5BA94C7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Instituțiile calculează cerințele de fonduri proprii suplimentare menționate la alineatul (1) ca fiind suma valorilor noționale brute ale instrumentelor menționate la alineatul (2) înmulțită cu următoarele ponderi de risc:</w:t>
            </w:r>
          </w:p>
          <w:p w14:paraId="5241884A" w14:textId="6487D28B"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 1,0 % în cazul instrumentelor menționate la alineatul (2) litera (a);</w:t>
            </w:r>
          </w:p>
          <w:p w14:paraId="0179A016" w14:textId="08E6D8F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0,1 % în cazul instrumentelor menționate la alineatul (2) litera (b).</w:t>
            </w:r>
          </w:p>
        </w:tc>
        <w:tc>
          <w:tcPr>
            <w:tcW w:w="1692" w:type="pct"/>
            <w:shd w:val="clear" w:color="auto" w:fill="auto"/>
          </w:tcPr>
          <w:p w14:paraId="40D2904A" w14:textId="024CD02D" w:rsidR="00D12468" w:rsidRPr="00C011B2" w:rsidRDefault="00171807" w:rsidP="00D12468">
            <w:pPr>
              <w:spacing w:after="0" w:line="276" w:lineRule="auto"/>
              <w:jc w:val="both"/>
              <w:rPr>
                <w:rFonts w:ascii="Times New Roman" w:hAnsi="Times New Roman" w:cs="Times New Roman"/>
                <w:color w:val="000000" w:themeColor="text1"/>
                <w:lang w:val="ro-MD"/>
              </w:rPr>
            </w:pPr>
            <w:bookmarkStart w:id="197" w:name="_Hlk223008873"/>
            <w:r w:rsidRPr="00C011B2">
              <w:rPr>
                <w:rFonts w:ascii="Times New Roman" w:hAnsi="Times New Roman" w:cs="Times New Roman"/>
                <w:color w:val="000000" w:themeColor="text1"/>
                <w:lang w:val="ro-MD"/>
              </w:rPr>
              <w:lastRenderedPageBreak/>
              <w:t>220.</w:t>
            </w:r>
            <w:r w:rsidR="00D12468"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D12468" w:rsidRPr="00C011B2">
              <w:rPr>
                <w:rFonts w:ascii="Times New Roman" w:hAnsi="Times New Roman" w:cs="Times New Roman"/>
                <w:color w:val="000000" w:themeColor="text1"/>
                <w:lang w:val="ro-MD"/>
              </w:rPr>
              <w:t xml:space="preserve">calculează cerințele de fonduri proprii suplimentare menționate la </w:t>
            </w:r>
            <w:r w:rsidRPr="00C011B2">
              <w:rPr>
                <w:rFonts w:ascii="Times New Roman" w:hAnsi="Times New Roman" w:cs="Times New Roman"/>
                <w:color w:val="000000" w:themeColor="text1"/>
                <w:lang w:val="ro-MD"/>
              </w:rPr>
              <w:t>pct.218</w:t>
            </w:r>
            <w:r w:rsidR="00D12468" w:rsidRPr="00C011B2">
              <w:rPr>
                <w:rFonts w:ascii="Times New Roman" w:hAnsi="Times New Roman" w:cs="Times New Roman"/>
                <w:color w:val="000000" w:themeColor="text1"/>
                <w:lang w:val="ro-MD"/>
              </w:rPr>
              <w:t xml:space="preserve"> ca fiind suma valorilor noționale brute ale instrumentelor menționate la </w:t>
            </w:r>
            <w:r w:rsidRPr="00C011B2">
              <w:rPr>
                <w:rFonts w:ascii="Times New Roman" w:hAnsi="Times New Roman" w:cs="Times New Roman"/>
                <w:color w:val="000000" w:themeColor="text1"/>
                <w:lang w:val="ro-MD"/>
              </w:rPr>
              <w:t>pct.219</w:t>
            </w:r>
            <w:r w:rsidR="00D12468" w:rsidRPr="00C011B2">
              <w:rPr>
                <w:rFonts w:ascii="Times New Roman" w:hAnsi="Times New Roman" w:cs="Times New Roman"/>
                <w:color w:val="000000" w:themeColor="text1"/>
                <w:lang w:val="ro-MD"/>
              </w:rPr>
              <w:t xml:space="preserve"> înmulțită cu următoarele ponderi de risc:</w:t>
            </w:r>
          </w:p>
          <w:p w14:paraId="68F62E36" w14:textId="47B231EB" w:rsidR="00D12468" w:rsidRPr="00C011B2" w:rsidRDefault="00B12F9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220.1.</w:t>
            </w:r>
            <w:r w:rsidR="00D12468" w:rsidRPr="00C011B2">
              <w:rPr>
                <w:rFonts w:ascii="Times New Roman" w:hAnsi="Times New Roman" w:cs="Times New Roman"/>
                <w:color w:val="000000" w:themeColor="text1"/>
                <w:lang w:val="ro-MD"/>
              </w:rPr>
              <w:t> 1,0 % în cazul instrumentelor menționate la</w:t>
            </w:r>
            <w:r w:rsidR="00A34689" w:rsidRPr="00C011B2">
              <w:rPr>
                <w:rFonts w:ascii="Times New Roman" w:hAnsi="Times New Roman" w:cs="Times New Roman"/>
                <w:color w:val="000000" w:themeColor="text1"/>
                <w:lang w:val="ro-MD"/>
              </w:rPr>
              <w:t xml:space="preserve"> </w:t>
            </w:r>
            <w:r w:rsidR="00171807" w:rsidRPr="00C011B2">
              <w:rPr>
                <w:rFonts w:ascii="Times New Roman" w:hAnsi="Times New Roman" w:cs="Times New Roman"/>
                <w:color w:val="000000" w:themeColor="text1"/>
                <w:lang w:val="ro-MD"/>
              </w:rPr>
              <w:t>subpct.219.1</w:t>
            </w:r>
            <w:r w:rsidR="00D12468" w:rsidRPr="00C011B2">
              <w:rPr>
                <w:rFonts w:ascii="Times New Roman" w:hAnsi="Times New Roman" w:cs="Times New Roman"/>
                <w:color w:val="000000" w:themeColor="text1"/>
                <w:lang w:val="ro-MD"/>
              </w:rPr>
              <w:t>;</w:t>
            </w:r>
          </w:p>
          <w:p w14:paraId="31FF24DD" w14:textId="565FD100" w:rsidR="00D12468" w:rsidRPr="00C011B2" w:rsidRDefault="00B12F96"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220.2.</w:t>
            </w:r>
            <w:r w:rsidR="00D12468" w:rsidRPr="00C011B2">
              <w:rPr>
                <w:rFonts w:ascii="Times New Roman" w:hAnsi="Times New Roman" w:cs="Times New Roman"/>
                <w:color w:val="000000" w:themeColor="text1"/>
                <w:lang w:val="ro-MD"/>
              </w:rPr>
              <w:t> 0,1 % în cazul instrumentelor menționate la</w:t>
            </w:r>
            <w:r w:rsidR="00171807" w:rsidRPr="00C011B2">
              <w:t xml:space="preserve"> </w:t>
            </w:r>
            <w:r w:rsidR="00171807" w:rsidRPr="00C011B2">
              <w:rPr>
                <w:rFonts w:ascii="Times New Roman" w:hAnsi="Times New Roman" w:cs="Times New Roman"/>
                <w:color w:val="000000" w:themeColor="text1"/>
                <w:lang w:val="ro-MD"/>
              </w:rPr>
              <w:t>subpct.219.2</w:t>
            </w:r>
            <w:r w:rsidR="00D12468" w:rsidRPr="00C011B2">
              <w:rPr>
                <w:rFonts w:ascii="Times New Roman" w:hAnsi="Times New Roman" w:cs="Times New Roman"/>
                <w:color w:val="000000" w:themeColor="text1"/>
                <w:lang w:val="ro-MD"/>
              </w:rPr>
              <w:t>.</w:t>
            </w:r>
            <w:bookmarkEnd w:id="197"/>
          </w:p>
        </w:tc>
        <w:tc>
          <w:tcPr>
            <w:tcW w:w="450" w:type="pct"/>
          </w:tcPr>
          <w:p w14:paraId="243606F5"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c>
          <w:tcPr>
            <w:tcW w:w="1261" w:type="pct"/>
          </w:tcPr>
          <w:p w14:paraId="47B5ADB9"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C8D37C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6FA1B7" w14:textId="763DEFE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Prin derogare de la alineatul (1), instituția nu aplică cerința de fonduri proprii pentru riscuri reziduale unui instrument care îndeplinește una dintre următoarele condiții:</w:t>
            </w:r>
          </w:p>
          <w:p w14:paraId="2624A9FC" w14:textId="2DF6F5BC"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instrumentul este cotat la o bursă recunoscută;</w:t>
            </w:r>
          </w:p>
          <w:p w14:paraId="16B70B8B" w14:textId="5B783786"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instrumentul este eligibil pentru compensare centrală în conformitate cu Regulamentul (UE) nr. 648/2012;</w:t>
            </w:r>
          </w:p>
          <w:p w14:paraId="2CCD8620" w14:textId="46FFB965"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instrumentul compensează perfect riscul de piață aferent unei alte poziții din portofoliul de tranzacționare, caz în care cele două poziții din portofoliul de tranzacționare care se potrivesc perfect sunt exceptate de la cerința de fonduri proprii pentru riscuri reziduale.</w:t>
            </w:r>
          </w:p>
        </w:tc>
        <w:tc>
          <w:tcPr>
            <w:tcW w:w="1692" w:type="pct"/>
            <w:shd w:val="clear" w:color="auto" w:fill="auto"/>
          </w:tcPr>
          <w:p w14:paraId="0E0CC823" w14:textId="2F677266" w:rsidR="00D12468" w:rsidRPr="00C011B2" w:rsidRDefault="00171807" w:rsidP="00D12468">
            <w:pPr>
              <w:spacing w:after="0" w:line="276" w:lineRule="auto"/>
              <w:jc w:val="both"/>
              <w:rPr>
                <w:rFonts w:ascii="Times New Roman" w:hAnsi="Times New Roman" w:cs="Times New Roman"/>
                <w:color w:val="000000" w:themeColor="text1"/>
                <w:lang w:val="ro-MD"/>
              </w:rPr>
            </w:pPr>
            <w:bookmarkStart w:id="198" w:name="_Hlk223008898"/>
            <w:r w:rsidRPr="00C011B2">
              <w:rPr>
                <w:rFonts w:ascii="Times New Roman" w:hAnsi="Times New Roman" w:cs="Times New Roman"/>
                <w:color w:val="000000" w:themeColor="text1"/>
                <w:lang w:val="ro-MD"/>
              </w:rPr>
              <w:t>221.</w:t>
            </w:r>
            <w:r w:rsidR="00D12468" w:rsidRPr="00C011B2">
              <w:rPr>
                <w:rFonts w:ascii="Times New Roman" w:hAnsi="Times New Roman" w:cs="Times New Roman"/>
                <w:color w:val="000000" w:themeColor="text1"/>
                <w:lang w:val="ro-MD"/>
              </w:rPr>
              <w:t>   Prin derogare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pct.218</w:t>
            </w:r>
            <w:r w:rsidR="00D1246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nu aplică cerința de fonduri proprii pentru riscuri reziduale unui instrument care îndeplinește una dintre următoarele condiții:</w:t>
            </w:r>
          </w:p>
          <w:p w14:paraId="1B66A522" w14:textId="25593496" w:rsidR="00D12468" w:rsidRPr="00C011B2" w:rsidRDefault="0017180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221.1.</w:t>
            </w:r>
            <w:r w:rsidR="00D12468" w:rsidRPr="00C011B2">
              <w:rPr>
                <w:rFonts w:ascii="Times New Roman" w:hAnsi="Times New Roman" w:cs="Times New Roman"/>
                <w:color w:val="000000" w:themeColor="text1"/>
                <w:lang w:val="ro-MD"/>
              </w:rPr>
              <w:t> instrumentul este cotat la o bursă recunoscută;</w:t>
            </w:r>
          </w:p>
          <w:p w14:paraId="4BD9C897" w14:textId="0A171A9E" w:rsidR="00D12468" w:rsidRPr="00C011B2" w:rsidRDefault="00171807"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221.2</w:t>
            </w:r>
            <w:r w:rsidR="00D12468" w:rsidRPr="00C011B2">
              <w:rPr>
                <w:rFonts w:ascii="Times New Roman" w:hAnsi="Times New Roman" w:cs="Times New Roman"/>
                <w:color w:val="000000" w:themeColor="text1"/>
                <w:lang w:val="ro-MD"/>
              </w:rPr>
              <w:t> instrumentul este eligibil pentru compensare centrală în conformitate cu</w:t>
            </w:r>
            <w:r w:rsidR="00B12F96" w:rsidRPr="00C011B2">
              <w:rPr>
                <w:rFonts w:ascii="Times New Roman" w:hAnsi="Times New Roman" w:cs="Times New Roman"/>
                <w:color w:val="000000" w:themeColor="text1"/>
                <w:lang w:val="ro-MD"/>
              </w:rPr>
              <w:t xml:space="preserve"> reglementările aferente instrumentelor financiare derivate extrabursiere, contrapărţile centrale și registrele centrale de tranzacţii </w:t>
            </w:r>
            <w:r w:rsidR="00D12468" w:rsidRPr="00C011B2">
              <w:rPr>
                <w:rFonts w:ascii="Times New Roman" w:hAnsi="Times New Roman" w:cs="Times New Roman"/>
                <w:color w:val="000000" w:themeColor="text1"/>
                <w:lang w:val="ro-MD"/>
              </w:rPr>
              <w:t xml:space="preserve"> ;</w:t>
            </w:r>
          </w:p>
          <w:p w14:paraId="639F3CD5" w14:textId="3364C4F0" w:rsidR="00D12468" w:rsidRPr="00C011B2" w:rsidRDefault="00700BFB"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221.3.</w:t>
            </w:r>
            <w:r w:rsidR="00D12468" w:rsidRPr="00C011B2">
              <w:rPr>
                <w:rFonts w:ascii="Times New Roman" w:hAnsi="Times New Roman" w:cs="Times New Roman"/>
                <w:color w:val="000000" w:themeColor="text1"/>
                <w:lang w:val="ro-MD"/>
              </w:rPr>
              <w:t> instrumentul compensează perfect riscul de piață aferent unei alte poziții din portofoliul de tranzacționare, caz în care cele două poziții din portofoliul de tranzacționare care se potrivesc perfect sunt exceptate de la cerința de fonduri proprii pentru riscuri reziduale.</w:t>
            </w:r>
            <w:bookmarkEnd w:id="198"/>
          </w:p>
        </w:tc>
        <w:tc>
          <w:tcPr>
            <w:tcW w:w="450" w:type="pct"/>
          </w:tcPr>
          <w:p w14:paraId="6EEDB4F5" w14:textId="218F562E" w:rsidR="00D12468" w:rsidRPr="00C011B2" w:rsidRDefault="008C11F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0440554"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D12468" w:rsidRPr="00C011B2" w14:paraId="3B07138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9B5CEE2" w14:textId="77777777" w:rsidR="00D12468" w:rsidRPr="00C011B2" w:rsidRDefault="00FA7D23" w:rsidP="00D12468">
            <w:pPr>
              <w:spacing w:after="0" w:line="276" w:lineRule="auto"/>
              <w:jc w:val="both"/>
              <w:rPr>
                <w:rFonts w:ascii="Times New Roman" w:hAnsi="Times New Roman" w:cs="Times New Roman"/>
                <w:b/>
                <w:bCs/>
                <w:color w:val="000000" w:themeColor="text1"/>
                <w:lang w:val="ro-MD"/>
              </w:rPr>
            </w:pPr>
            <w:hyperlink r:id="rId81" w:tooltip="32024R1623: INSERTED" w:history="1">
              <w:r w:rsidR="00D12468" w:rsidRPr="00C011B2">
                <w:rPr>
                  <w:rStyle w:val="Hyperlink"/>
                  <w:rFonts w:ascii="Times New Roman" w:hAnsi="Times New Roman" w:cs="Times New Roman"/>
                  <w:b/>
                  <w:bCs/>
                  <w:lang w:val="ro-MD"/>
                </w:rPr>
                <w:t>▼M17</w:t>
              </w:r>
            </w:hyperlink>
          </w:p>
          <w:p w14:paraId="44D4CBF9" w14:textId="2C45E9F4"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(4a)   Prin derogare de la alineatul (1), până la 31 decembrie 2032, o instituție nu aplică cerința de fonduri proprii pentru riscurile reziduale instrumentelor care vizează exclusiv acoperirea riscului de piață al pozițiilor din portofoliul de tranzacționare care generează o cerință de fonduri </w:t>
            </w:r>
            <w:r w:rsidRPr="00C011B2">
              <w:rPr>
                <w:rFonts w:ascii="Times New Roman" w:hAnsi="Times New Roman" w:cs="Times New Roman"/>
                <w:color w:val="000000" w:themeColor="text1"/>
                <w:lang w:val="ro-MD"/>
              </w:rPr>
              <w:lastRenderedPageBreak/>
              <w:t>proprii pentru riscurile reziduale și care sunt expuse aceluiași tip de riscuri reziduale ca pozițiile pe care le acoperă.</w:t>
            </w:r>
          </w:p>
          <w:p w14:paraId="32A1ED45" w14:textId="77777777"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Autoritatea competentă acordă aprobarea de a aplica tratamentul menționat la primul paragraf în cazul în care instituția poate demonstra în permanență, într-un mod considerat satisfăcător de autoritatea competentă, că instrumentele respectă criteriile pentru a fi tratate ca poziții de acoperire împotriva riscurilor.</w:t>
            </w:r>
          </w:p>
          <w:p w14:paraId="7BD8D639" w14:textId="112CF6E8" w:rsidR="00D12468" w:rsidRPr="00C011B2" w:rsidRDefault="00D12468"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Instituția raportează autorității competente rezultatul calculului cerințelor de fonduri proprii pentru riscurile reziduale pentru toate instrumentele cărora li se aplică derogarea menționată la primul paragraf.</w:t>
            </w:r>
          </w:p>
        </w:tc>
        <w:tc>
          <w:tcPr>
            <w:tcW w:w="1692" w:type="pct"/>
            <w:shd w:val="clear" w:color="auto" w:fill="auto"/>
          </w:tcPr>
          <w:p w14:paraId="057CBBBB" w14:textId="21A01CF1" w:rsidR="00D12468" w:rsidRPr="00C011B2" w:rsidRDefault="00316CA4" w:rsidP="00D12468">
            <w:pPr>
              <w:spacing w:after="0" w:line="276" w:lineRule="auto"/>
              <w:jc w:val="both"/>
              <w:rPr>
                <w:rFonts w:ascii="Times New Roman" w:hAnsi="Times New Roman" w:cs="Times New Roman"/>
                <w:color w:val="000000" w:themeColor="text1"/>
                <w:lang w:val="ro-MD"/>
              </w:rPr>
            </w:pPr>
            <w:bookmarkStart w:id="199" w:name="_Hlk223008933"/>
            <w:r w:rsidRPr="00C011B2">
              <w:rPr>
                <w:rFonts w:ascii="Times New Roman" w:hAnsi="Times New Roman" w:cs="Times New Roman"/>
                <w:color w:val="000000" w:themeColor="text1"/>
                <w:lang w:val="ro-MD"/>
              </w:rPr>
              <w:lastRenderedPageBreak/>
              <w:t>222.</w:t>
            </w:r>
            <w:r w:rsidR="00D12468" w:rsidRPr="00C011B2">
              <w:rPr>
                <w:rFonts w:ascii="Times New Roman" w:hAnsi="Times New Roman" w:cs="Times New Roman"/>
                <w:color w:val="000000" w:themeColor="text1"/>
                <w:lang w:val="ro-MD"/>
              </w:rPr>
              <w:t xml:space="preserve">   Prin derogare de la </w:t>
            </w:r>
            <w:r w:rsidRPr="00C011B2">
              <w:rPr>
                <w:rFonts w:ascii="Times New Roman" w:hAnsi="Times New Roman" w:cs="Times New Roman"/>
                <w:color w:val="000000" w:themeColor="text1"/>
                <w:lang w:val="ro-MD"/>
              </w:rPr>
              <w:t>pct.218</w:t>
            </w:r>
            <w:r w:rsidR="00D12468" w:rsidRPr="00C011B2">
              <w:rPr>
                <w:rFonts w:ascii="Times New Roman" w:hAnsi="Times New Roman" w:cs="Times New Roman"/>
                <w:color w:val="000000" w:themeColor="text1"/>
                <w:lang w:val="ro-MD"/>
              </w:rPr>
              <w:t>, până la 31 decembrie 2032, o </w:t>
            </w:r>
            <w:r w:rsidRPr="00C011B2">
              <w:rPr>
                <w:rFonts w:ascii="Times New Roman" w:hAnsi="Times New Roman" w:cs="Times New Roman"/>
                <w:color w:val="000000" w:themeColor="text1"/>
                <w:lang w:val="ro-MD"/>
              </w:rPr>
              <w:t xml:space="preserve">bancă </w:t>
            </w:r>
            <w:r w:rsidR="00D12468" w:rsidRPr="00C011B2">
              <w:rPr>
                <w:rFonts w:ascii="Times New Roman" w:hAnsi="Times New Roman" w:cs="Times New Roman"/>
                <w:color w:val="000000" w:themeColor="text1"/>
                <w:lang w:val="ro-MD"/>
              </w:rPr>
              <w:t>nu aplică cerința de fonduri proprii pentru riscurile reziduale instrumentelor care vizează exclusiv acoperirea riscului de piață al pozițiilor din portofoliul de tranzacționare care generează o cerință de fonduri proprii pentru riscurile reziduale și care sunt expuse aceluiași tip de riscuri reziduale ca pozițiile pe care le acoperă.</w:t>
            </w:r>
          </w:p>
          <w:p w14:paraId="1D3A9874" w14:textId="0EC16CE8" w:rsidR="00D12468" w:rsidRPr="00C011B2" w:rsidRDefault="00316CA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223. BNM</w:t>
            </w:r>
            <w:r w:rsidR="00D12468" w:rsidRPr="00C011B2">
              <w:rPr>
                <w:rFonts w:ascii="Times New Roman" w:hAnsi="Times New Roman" w:cs="Times New Roman"/>
                <w:color w:val="000000" w:themeColor="text1"/>
                <w:lang w:val="ro-MD"/>
              </w:rPr>
              <w:t xml:space="preserve"> acordă aprobarea de a aplica tratamentul menționat la </w:t>
            </w:r>
            <w:r w:rsidRPr="00C011B2">
              <w:rPr>
                <w:rFonts w:ascii="Times New Roman" w:hAnsi="Times New Roman" w:cs="Times New Roman"/>
                <w:color w:val="000000" w:themeColor="text1"/>
                <w:lang w:val="ro-MD"/>
              </w:rPr>
              <w:t>pct.222</w:t>
            </w:r>
            <w:r w:rsidR="00D12468" w:rsidRPr="00C011B2">
              <w:rPr>
                <w:rFonts w:ascii="Times New Roman" w:hAnsi="Times New Roman" w:cs="Times New Roman"/>
                <w:color w:val="000000" w:themeColor="text1"/>
                <w:lang w:val="ro-MD"/>
              </w:rPr>
              <w:t xml:space="preserve"> în cazul în care </w:t>
            </w:r>
            <w:r w:rsidRPr="00C011B2">
              <w:rPr>
                <w:rFonts w:ascii="Times New Roman" w:hAnsi="Times New Roman" w:cs="Times New Roman"/>
                <w:color w:val="000000" w:themeColor="text1"/>
                <w:lang w:val="ro-MD"/>
              </w:rPr>
              <w:t xml:space="preserve">banca </w:t>
            </w:r>
            <w:r w:rsidR="00D12468" w:rsidRPr="00C011B2">
              <w:rPr>
                <w:rFonts w:ascii="Times New Roman" w:hAnsi="Times New Roman" w:cs="Times New Roman"/>
                <w:color w:val="000000" w:themeColor="text1"/>
                <w:lang w:val="ro-MD"/>
              </w:rPr>
              <w:t xml:space="preserve">poate demonstra în permanență, într-un mod considerat satisfăcător de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că instrumentele respectă criteriile pentru a fi tratate ca poziții de acoperire împotriva riscurilor.</w:t>
            </w:r>
          </w:p>
          <w:p w14:paraId="489F4683" w14:textId="7090C29A" w:rsidR="00D12468" w:rsidRPr="00C011B2" w:rsidRDefault="00316CA4" w:rsidP="00D12468">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224. Banca </w:t>
            </w:r>
            <w:r w:rsidR="00D12468" w:rsidRPr="00C011B2">
              <w:rPr>
                <w:rFonts w:ascii="Times New Roman" w:hAnsi="Times New Roman" w:cs="Times New Roman"/>
                <w:color w:val="000000" w:themeColor="text1"/>
                <w:lang w:val="ro-MD"/>
              </w:rPr>
              <w:t xml:space="preserve">raportează </w:t>
            </w:r>
            <w:r w:rsidRPr="00C011B2">
              <w:rPr>
                <w:rFonts w:ascii="Times New Roman" w:hAnsi="Times New Roman" w:cs="Times New Roman"/>
                <w:color w:val="000000" w:themeColor="text1"/>
                <w:lang w:val="ro-MD"/>
              </w:rPr>
              <w:t>BNM</w:t>
            </w:r>
            <w:r w:rsidR="00D12468" w:rsidRPr="00C011B2">
              <w:rPr>
                <w:rFonts w:ascii="Times New Roman" w:hAnsi="Times New Roman" w:cs="Times New Roman"/>
                <w:color w:val="000000" w:themeColor="text1"/>
                <w:lang w:val="ro-MD"/>
              </w:rPr>
              <w:t xml:space="preserve"> rezultatul calculului cerințelor de fonduri proprii pentru riscurile reziduale pentru toate instrumentele cărora li se aplică derogarea menționată la </w:t>
            </w:r>
            <w:r w:rsidRPr="00C011B2">
              <w:rPr>
                <w:rFonts w:ascii="Times New Roman" w:hAnsi="Times New Roman" w:cs="Times New Roman"/>
                <w:color w:val="000000" w:themeColor="text1"/>
                <w:lang w:val="ro-MD"/>
              </w:rPr>
              <w:t>pct.222</w:t>
            </w:r>
            <w:r w:rsidR="00D12468" w:rsidRPr="00C011B2">
              <w:rPr>
                <w:rFonts w:ascii="Times New Roman" w:hAnsi="Times New Roman" w:cs="Times New Roman"/>
                <w:color w:val="000000" w:themeColor="text1"/>
                <w:lang w:val="ro-MD"/>
              </w:rPr>
              <w:t>.</w:t>
            </w:r>
            <w:bookmarkEnd w:id="199"/>
          </w:p>
        </w:tc>
        <w:tc>
          <w:tcPr>
            <w:tcW w:w="450" w:type="pct"/>
          </w:tcPr>
          <w:p w14:paraId="2160E888" w14:textId="12E9E46D" w:rsidR="00D12468" w:rsidRPr="00C011B2" w:rsidRDefault="008C11F0" w:rsidP="00D12468">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DC57430" w14:textId="77777777" w:rsidR="00D12468" w:rsidRPr="00C011B2" w:rsidRDefault="00D12468" w:rsidP="00D12468">
            <w:pPr>
              <w:spacing w:line="276" w:lineRule="auto"/>
              <w:jc w:val="both"/>
              <w:rPr>
                <w:rFonts w:ascii="Times New Roman" w:hAnsi="Times New Roman" w:cs="Times New Roman"/>
                <w:color w:val="000000" w:themeColor="text1"/>
                <w:lang w:val="ro-MD"/>
              </w:rPr>
            </w:pPr>
          </w:p>
        </w:tc>
      </w:tr>
      <w:tr w:rsidR="00936613" w:rsidRPr="00C011B2" w14:paraId="3D520A8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BBD3B6"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2" w:tooltip="32019R0876: INSERTED" w:history="1">
              <w:r w:rsidR="00936613" w:rsidRPr="00C011B2">
                <w:rPr>
                  <w:rStyle w:val="Hyperlink"/>
                  <w:rFonts w:ascii="Times New Roman" w:hAnsi="Times New Roman" w:cs="Times New Roman"/>
                  <w:b/>
                  <w:bCs/>
                  <w:lang w:val="ro-MD"/>
                </w:rPr>
                <w:t>▼M8</w:t>
              </w:r>
            </w:hyperlink>
          </w:p>
          <w:p w14:paraId="46489193" w14:textId="479C6ECC"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ABE elaborează proiecte de standarde tehnice de reglementare pentru a preciza ce reprezintă un instrument-suport exotic și care instrumente sunt instrumente care prezintă riscuri reziduale în sensul alineatului (2).</w:t>
            </w:r>
          </w:p>
          <w:p w14:paraId="69059AF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La elaborarea proiectelor de standarde tehnice de reglementare respective, ABE examinează dacă riscul de longevitate, riscul meteorologic, riscul de dezastre naturale și riscul de volatilitate viitoare realizată ar trebui considerate instrumente-suport exotice.</w:t>
            </w:r>
          </w:p>
          <w:p w14:paraId="17175C3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ABE prezintă Comisiei aceste proiecte de standarde tehnice de reglementare până la 28 iunie 2021.</w:t>
            </w:r>
          </w:p>
          <w:p w14:paraId="4F302A5A" w14:textId="575351C3"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05D59D09" w14:textId="413FF5A2"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6EF609AE" w14:textId="7D2AB20C"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6FDE46E1" w14:textId="3F0268CD"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Alin.(5) stabilește obligații pentru autorități europene – Autoritatea Bancară Europeană.</w:t>
            </w:r>
          </w:p>
        </w:tc>
      </w:tr>
      <w:tr w:rsidR="00936613" w:rsidRPr="00C011B2" w14:paraId="248F713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EF7210A"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3" w:tooltip="32024R1623: INSERTED" w:history="1">
              <w:r w:rsidR="00936613" w:rsidRPr="00C011B2">
                <w:rPr>
                  <w:rStyle w:val="Hyperlink"/>
                  <w:rFonts w:ascii="Times New Roman" w:hAnsi="Times New Roman" w:cs="Times New Roman"/>
                  <w:b/>
                  <w:bCs/>
                  <w:lang w:val="ro-MD"/>
                </w:rPr>
                <w:t>▼M17</w:t>
              </w:r>
            </w:hyperlink>
          </w:p>
          <w:p w14:paraId="5DEC4B70" w14:textId="0807AD84"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ABE elaborează proiecte de standarde tehnice de reglementare pentru a preciza criteriile pe care instituțiile trebuie să le utilizeze pentru a identifica pozițiile care se califică pentru derogarea menționată la alineatul (4a). Criteriile respective includ, cel puțin, natura instrumentelor menționate la alineatul respectiv, profitul și pierderea nete ale pozițiilor combinate, sensibilitățile pozițiilor combinate și riscurile rămase neacoperite în pozițiile combinate, ținând seama în special de posibilitatea ca poziția inițială să fie eventual acoperită cu o sumă parțială.</w:t>
            </w:r>
          </w:p>
          <w:p w14:paraId="4D16E1C0"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30 iunie 2024.</w:t>
            </w:r>
          </w:p>
          <w:p w14:paraId="758420AC" w14:textId="4D13B4B0"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Se deleagă Comisiei competența de a completa prezentul regulament prin adoptarea standardelor tehnice de reglementare menționate la primul paragraf </w:t>
            </w:r>
            <w:r w:rsidRPr="00C011B2">
              <w:rPr>
                <w:rFonts w:ascii="Times New Roman" w:hAnsi="Times New Roman" w:cs="Times New Roman"/>
                <w:color w:val="000000" w:themeColor="text1"/>
                <w:lang w:val="ro-MD"/>
              </w:rPr>
              <w:lastRenderedPageBreak/>
              <w:t>de la prezentul alineat, în conformitate cu articolele 10-14 din Regulamentul (UE) nr. 1093/2010.</w:t>
            </w:r>
          </w:p>
        </w:tc>
        <w:tc>
          <w:tcPr>
            <w:tcW w:w="1692" w:type="pct"/>
            <w:shd w:val="clear" w:color="auto" w:fill="auto"/>
          </w:tcPr>
          <w:p w14:paraId="68E660EA" w14:textId="15255A25"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6920E9B7" w14:textId="7A56030F"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EB30339" w14:textId="6F9574D0"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Alin.(6) stabilește obligații pentru autorități europene – Autoritatea Bancară Europeană.</w:t>
            </w:r>
          </w:p>
        </w:tc>
      </w:tr>
      <w:tr w:rsidR="00936613" w:rsidRPr="00C011B2" w14:paraId="2075B4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2F9D445" w14:textId="62B143A9"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Până la 31 decembrie 2029, ABE prezintă Comisiei un raport privind impactul aplicării tratamentului menționat la alineatul (4a). Pe baza concluziilor acestui raport, Comisia prezintă Parlamentului European și Consiliului, dacă este cazul, o propunere legislativă de prelungire a tratamentului menționat la alineatul respectiv.</w:t>
            </w:r>
          </w:p>
        </w:tc>
        <w:tc>
          <w:tcPr>
            <w:tcW w:w="1692" w:type="pct"/>
            <w:shd w:val="clear" w:color="auto" w:fill="auto"/>
          </w:tcPr>
          <w:p w14:paraId="15511789" w14:textId="54FFFF74"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6300ACA6" w14:textId="6641A806"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BEC39E4" w14:textId="0E5797C7" w:rsidR="00936613" w:rsidRPr="00C011B2" w:rsidRDefault="00936613"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Alin.(7) stabilește obligații pentru autorități europene – Autoritatea Bancară Europeană.</w:t>
            </w:r>
          </w:p>
        </w:tc>
      </w:tr>
      <w:tr w:rsidR="00936613" w:rsidRPr="00C011B2" w14:paraId="58EA0CD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93B9F48"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4" w:tooltip="32019R0876: INSERTED" w:history="1">
              <w:r w:rsidR="00936613" w:rsidRPr="00C011B2">
                <w:rPr>
                  <w:rStyle w:val="Hyperlink"/>
                  <w:rFonts w:ascii="Times New Roman" w:hAnsi="Times New Roman" w:cs="Times New Roman"/>
                  <w:b/>
                  <w:bCs/>
                  <w:lang w:val="ro-MD"/>
                </w:rPr>
                <w:t>▼M8</w:t>
              </w:r>
            </w:hyperlink>
          </w:p>
          <w:p w14:paraId="6F5A686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5</w:t>
            </w:r>
          </w:p>
          <w:p w14:paraId="7A64B3D9" w14:textId="77777777" w:rsidR="00936613" w:rsidRPr="00C011B2" w:rsidRDefault="00936613" w:rsidP="00936613">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de nerambursare</w:t>
            </w:r>
          </w:p>
          <w:p w14:paraId="04548A17" w14:textId="77777777" w:rsidR="00936613" w:rsidRPr="00C011B2" w:rsidRDefault="00936613" w:rsidP="00936613">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325v</w:t>
            </w:r>
          </w:p>
          <w:p w14:paraId="0928E996" w14:textId="78AD895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Definiții și dispoziții generale</w:t>
            </w:r>
          </w:p>
        </w:tc>
        <w:tc>
          <w:tcPr>
            <w:tcW w:w="1692" w:type="pct"/>
            <w:shd w:val="clear" w:color="auto" w:fill="auto"/>
          </w:tcPr>
          <w:p w14:paraId="186DAA7F" w14:textId="77777777" w:rsidR="00936613" w:rsidRPr="00C011B2" w:rsidRDefault="00936613" w:rsidP="00936613">
            <w:pPr>
              <w:spacing w:after="0" w:line="276" w:lineRule="auto"/>
              <w:jc w:val="both"/>
              <w:rPr>
                <w:rFonts w:ascii="Times New Roman" w:hAnsi="Times New Roman" w:cs="Times New Roman"/>
                <w:b/>
                <w:bCs/>
                <w:color w:val="000000" w:themeColor="text1"/>
                <w:lang w:val="ro-MD"/>
              </w:rPr>
            </w:pPr>
            <w:bookmarkStart w:id="200" w:name="_Hlk195097300"/>
            <w:r w:rsidRPr="00C011B2">
              <w:rPr>
                <w:rFonts w:ascii="Times New Roman" w:hAnsi="Times New Roman" w:cs="Times New Roman"/>
                <w:b/>
                <w:bCs/>
                <w:color w:val="000000" w:themeColor="text1"/>
                <w:lang w:val="ro-MD"/>
              </w:rPr>
              <w:t>Secțiunea 5</w:t>
            </w:r>
          </w:p>
          <w:p w14:paraId="423290B8" w14:textId="77777777" w:rsidR="00936613" w:rsidRPr="00C011B2" w:rsidRDefault="00936613" w:rsidP="00936613">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de nerambursare</w:t>
            </w:r>
          </w:p>
          <w:p w14:paraId="0195CF9A" w14:textId="08EA4F9B"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Paragraful 1. </w:t>
            </w:r>
            <w:r w:rsidR="00936613" w:rsidRPr="00C011B2">
              <w:rPr>
                <w:rFonts w:ascii="Times New Roman" w:hAnsi="Times New Roman" w:cs="Times New Roman"/>
                <w:b/>
                <w:bCs/>
                <w:color w:val="000000" w:themeColor="text1"/>
                <w:lang w:val="ro-MD"/>
              </w:rPr>
              <w:t>Definiții și dispoziții generale</w:t>
            </w:r>
            <w:bookmarkEnd w:id="200"/>
          </w:p>
        </w:tc>
        <w:tc>
          <w:tcPr>
            <w:tcW w:w="450" w:type="pct"/>
          </w:tcPr>
          <w:p w14:paraId="6B49EB95"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c>
          <w:tcPr>
            <w:tcW w:w="1261" w:type="pct"/>
          </w:tcPr>
          <w:p w14:paraId="0DDFAC84"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33544F3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E72D61" w14:textId="1A9C0B28"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sensul prezentei secțiuni, se aplică următoarele definiții:</w:t>
            </w:r>
          </w:p>
          <w:p w14:paraId="25C5D688" w14:textId="3F28C861"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„expunere scurtă” înseamnă că situația de nerambursare a unui emitent sau a unui grup de emitenți are ca rezultat un câștig pentru instituție, indiferent de tipul instrumentului sau al tranzacției care creează expunerea;</w:t>
            </w:r>
          </w:p>
          <w:p w14:paraId="40FC7415" w14:textId="2CF7F2C2"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„expunere lungă” înseamnă că situația de nerambursare a unui emitent sau a unui grup de emitenți are ca rezultat o pierdere pentru instituție, </w:t>
            </w:r>
            <w:r w:rsidRPr="00C011B2">
              <w:rPr>
                <w:rFonts w:ascii="Times New Roman" w:hAnsi="Times New Roman" w:cs="Times New Roman"/>
                <w:color w:val="000000" w:themeColor="text1"/>
                <w:lang w:val="ro-MD"/>
              </w:rPr>
              <w:lastRenderedPageBreak/>
              <w:t>indiferent de tipul instrumentului sau al tranzacției care creează expunerea;</w:t>
            </w:r>
          </w:p>
          <w:p w14:paraId="4524B2F0" w14:textId="1E6F4006"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„cuantum brut al trecerii bruște în starea de nerambursare” (</w:t>
            </w:r>
            <w:r w:rsidRPr="00C011B2">
              <w:rPr>
                <w:rFonts w:ascii="Times New Roman" w:hAnsi="Times New Roman" w:cs="Times New Roman"/>
                <w:i/>
                <w:iCs/>
                <w:color w:val="000000" w:themeColor="text1"/>
                <w:lang w:val="ro-MD"/>
              </w:rPr>
              <w:t>gross jump to default</w:t>
            </w:r>
            <w:r w:rsidRPr="00C011B2">
              <w:rPr>
                <w:rFonts w:ascii="Times New Roman" w:hAnsi="Times New Roman" w:cs="Times New Roman"/>
                <w:color w:val="000000" w:themeColor="text1"/>
                <w:lang w:val="ro-MD"/>
              </w:rPr>
              <w:t> – JTD brut) înseamnă dimensiunea estimată a pierderii sau a câștigului pe care starea de nerambursare a debitorului l-ar determina pentru o anumită expunere;</w:t>
            </w:r>
          </w:p>
          <w:p w14:paraId="67B3A81D" w14:textId="648D5E80"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„cuantum net al trecerii bruște în starea de nerambursare” (</w:t>
            </w:r>
            <w:r w:rsidRPr="00C011B2">
              <w:rPr>
                <w:rFonts w:ascii="Times New Roman" w:hAnsi="Times New Roman" w:cs="Times New Roman"/>
                <w:i/>
                <w:iCs/>
                <w:color w:val="000000" w:themeColor="text1"/>
                <w:lang w:val="ro-MD"/>
              </w:rPr>
              <w:t>net jump to default</w:t>
            </w:r>
            <w:r w:rsidRPr="00C011B2">
              <w:rPr>
                <w:rFonts w:ascii="Times New Roman" w:hAnsi="Times New Roman" w:cs="Times New Roman"/>
                <w:color w:val="000000" w:themeColor="text1"/>
                <w:lang w:val="ro-MD"/>
              </w:rPr>
              <w:t> – JTD net) înseamnă dimensiunea estimată a pierderii sau a câștigului pe care o instituție ar înregistra-o din cauza stării de nerambursare a unui debitor, după ce cuantumurile brute ale JTD au fost compensate între ele;</w:t>
            </w:r>
          </w:p>
          <w:p w14:paraId="66C5F08F" w14:textId="6E699BDD"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„pierdere în caz de nerambursare” sau „LGD” înseamnă pierderea în caz de nerambursare a debitorului cauzată unui instrument emis de respectivul debitor, exprimată ca pondere din cuantumul noțional al instrumentului;</w:t>
            </w:r>
          </w:p>
          <w:p w14:paraId="7CAD8D14" w14:textId="6F64AFCE"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„pondere de risc de nerambursare” înseamnă procentul pe care îl reprezintă probabilitatea estimată de intrare în stare de nerambursare a fiecărui debitor, în conformitate cu bonitatea respectivului debitor.</w:t>
            </w:r>
          </w:p>
        </w:tc>
        <w:tc>
          <w:tcPr>
            <w:tcW w:w="1692" w:type="pct"/>
            <w:shd w:val="clear" w:color="auto" w:fill="auto"/>
          </w:tcPr>
          <w:p w14:paraId="40B73B5F" w14:textId="1FFCA116" w:rsidR="00936613" w:rsidRPr="00C011B2" w:rsidRDefault="00D54DA0" w:rsidP="00936613">
            <w:pPr>
              <w:spacing w:after="0" w:line="276" w:lineRule="auto"/>
              <w:jc w:val="both"/>
              <w:rPr>
                <w:rFonts w:ascii="Times New Roman" w:hAnsi="Times New Roman" w:cs="Times New Roman"/>
                <w:color w:val="000000" w:themeColor="text1"/>
                <w:lang w:val="ro-MD"/>
              </w:rPr>
            </w:pPr>
            <w:bookmarkStart w:id="201" w:name="_Hlk223009890"/>
            <w:r w:rsidRPr="00C011B2">
              <w:rPr>
                <w:rFonts w:ascii="Times New Roman" w:hAnsi="Times New Roman" w:cs="Times New Roman"/>
                <w:color w:val="000000" w:themeColor="text1"/>
                <w:lang w:val="ro-MD"/>
              </w:rPr>
              <w:lastRenderedPageBreak/>
              <w:t>225.</w:t>
            </w:r>
            <w:r w:rsidR="00936613" w:rsidRPr="00C011B2">
              <w:rPr>
                <w:rFonts w:ascii="Times New Roman" w:hAnsi="Times New Roman" w:cs="Times New Roman"/>
                <w:color w:val="000000" w:themeColor="text1"/>
                <w:lang w:val="ro-MD"/>
              </w:rPr>
              <w:t>   În sensul prezentei secțiuni, se aplică următoarele definiții:</w:t>
            </w:r>
          </w:p>
          <w:p w14:paraId="506D8DF8" w14:textId="11F3D742"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225.1.</w:t>
            </w:r>
            <w:r w:rsidR="00936613" w:rsidRPr="00C011B2">
              <w:rPr>
                <w:rFonts w:ascii="Times New Roman" w:hAnsi="Times New Roman" w:cs="Times New Roman"/>
                <w:color w:val="000000" w:themeColor="text1"/>
                <w:lang w:val="ro-MD"/>
              </w:rPr>
              <w:t xml:space="preserve"> „expunere scurtă” înseamnă că situația de nerambursare a unui emitent sau a unui grup de emitenți are ca rezultat un câștig pentru </w:t>
            </w:r>
            <w:r w:rsidRPr="00C011B2">
              <w:rPr>
                <w:rFonts w:ascii="Times New Roman" w:hAnsi="Times New Roman" w:cs="Times New Roman"/>
                <w:color w:val="000000" w:themeColor="text1"/>
                <w:lang w:val="ro-MD"/>
              </w:rPr>
              <w:t>bancă</w:t>
            </w:r>
            <w:r w:rsidR="00936613" w:rsidRPr="00C011B2">
              <w:rPr>
                <w:rFonts w:ascii="Times New Roman" w:hAnsi="Times New Roman" w:cs="Times New Roman"/>
                <w:color w:val="000000" w:themeColor="text1"/>
                <w:lang w:val="ro-MD"/>
              </w:rPr>
              <w:t>, indiferent de tipul instrumentului sau al tranzacției care creează expunerea;</w:t>
            </w:r>
          </w:p>
          <w:p w14:paraId="15EC307F" w14:textId="5267CF45"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225.2.</w:t>
            </w:r>
            <w:r w:rsidR="00936613" w:rsidRPr="00C011B2">
              <w:rPr>
                <w:rFonts w:ascii="Times New Roman" w:hAnsi="Times New Roman" w:cs="Times New Roman"/>
                <w:color w:val="000000" w:themeColor="text1"/>
                <w:lang w:val="ro-MD"/>
              </w:rPr>
              <w:t xml:space="preserve"> „expunere lungă” înseamnă că situația de nerambursare a unui emitent sau a unui grup de emitenți are ca rezultat o pierdere pentru </w:t>
            </w:r>
            <w:r w:rsidRPr="00C011B2">
              <w:rPr>
                <w:rFonts w:ascii="Times New Roman" w:hAnsi="Times New Roman" w:cs="Times New Roman"/>
                <w:color w:val="000000" w:themeColor="text1"/>
                <w:lang w:val="ro-MD"/>
              </w:rPr>
              <w:t>bancă</w:t>
            </w:r>
            <w:r w:rsidR="00936613" w:rsidRPr="00C011B2">
              <w:rPr>
                <w:rFonts w:ascii="Times New Roman" w:hAnsi="Times New Roman" w:cs="Times New Roman"/>
                <w:color w:val="000000" w:themeColor="text1"/>
                <w:lang w:val="ro-MD"/>
              </w:rPr>
              <w:t>, indiferent de tipul instrumentului sau al tranzacției care creează expunerea;</w:t>
            </w:r>
          </w:p>
          <w:p w14:paraId="210D43F7" w14:textId="738776B6"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225.3.</w:t>
            </w:r>
            <w:r w:rsidR="00936613" w:rsidRPr="00C011B2">
              <w:rPr>
                <w:rFonts w:ascii="Times New Roman" w:hAnsi="Times New Roman" w:cs="Times New Roman"/>
                <w:color w:val="000000" w:themeColor="text1"/>
                <w:lang w:val="ro-MD"/>
              </w:rPr>
              <w:t> „cuantum brut al trecerii bruște în starea de nerambursare” (</w:t>
            </w:r>
            <w:r w:rsidR="00936613" w:rsidRPr="00C011B2">
              <w:rPr>
                <w:rFonts w:ascii="Times New Roman" w:hAnsi="Times New Roman" w:cs="Times New Roman"/>
                <w:i/>
                <w:iCs/>
                <w:color w:val="000000" w:themeColor="text1"/>
                <w:lang w:val="ro-MD"/>
              </w:rPr>
              <w:t>gross jump to default</w:t>
            </w:r>
            <w:r w:rsidR="00936613" w:rsidRPr="00C011B2">
              <w:rPr>
                <w:rFonts w:ascii="Times New Roman" w:hAnsi="Times New Roman" w:cs="Times New Roman"/>
                <w:color w:val="000000" w:themeColor="text1"/>
                <w:lang w:val="ro-MD"/>
              </w:rPr>
              <w:t> – JTD brut) înseamnă dimensiunea estimată a pierderii sau a câștigului pe care starea de nerambursare a debitorului l-ar determina pentru o anumită expunere;</w:t>
            </w:r>
          </w:p>
          <w:p w14:paraId="14F52DAE" w14:textId="310618AA"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225.4.</w:t>
            </w:r>
            <w:r w:rsidR="00936613" w:rsidRPr="00C011B2">
              <w:rPr>
                <w:rFonts w:ascii="Times New Roman" w:hAnsi="Times New Roman" w:cs="Times New Roman"/>
                <w:color w:val="000000" w:themeColor="text1"/>
                <w:lang w:val="ro-MD"/>
              </w:rPr>
              <w:t> „cuantum net al trecerii bruște în starea de nerambursare” (</w:t>
            </w:r>
            <w:r w:rsidR="00936613" w:rsidRPr="00C011B2">
              <w:rPr>
                <w:rFonts w:ascii="Times New Roman" w:hAnsi="Times New Roman" w:cs="Times New Roman"/>
                <w:i/>
                <w:iCs/>
                <w:color w:val="000000" w:themeColor="text1"/>
                <w:lang w:val="ro-MD"/>
              </w:rPr>
              <w:t>net jump to default</w:t>
            </w:r>
            <w:r w:rsidR="00936613" w:rsidRPr="00C011B2">
              <w:rPr>
                <w:rFonts w:ascii="Times New Roman" w:hAnsi="Times New Roman" w:cs="Times New Roman"/>
                <w:color w:val="000000" w:themeColor="text1"/>
                <w:lang w:val="ro-MD"/>
              </w:rPr>
              <w:t xml:space="preserve"> – JTD net) înseamnă dimensiunea estimată a pierderii sau a câștigului pe care o </w:t>
            </w:r>
            <w:r w:rsidRPr="00C011B2">
              <w:rPr>
                <w:rFonts w:ascii="Times New Roman" w:hAnsi="Times New Roman" w:cs="Times New Roman"/>
                <w:color w:val="000000" w:themeColor="text1"/>
                <w:lang w:val="ro-MD"/>
              </w:rPr>
              <w:t xml:space="preserve">bancă </w:t>
            </w:r>
            <w:r w:rsidR="00936613" w:rsidRPr="00C011B2">
              <w:rPr>
                <w:rFonts w:ascii="Times New Roman" w:hAnsi="Times New Roman" w:cs="Times New Roman"/>
                <w:color w:val="000000" w:themeColor="text1"/>
                <w:lang w:val="ro-MD"/>
              </w:rPr>
              <w:t>ar înregistra-o din cauza stării de nerambursare a unui debitor, după ce cuantumurile brute ale JTD au fost compensate între ele;</w:t>
            </w:r>
          </w:p>
          <w:p w14:paraId="1CE6229D" w14:textId="70B98809"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225.5.</w:t>
            </w:r>
            <w:r w:rsidR="00936613" w:rsidRPr="00C011B2">
              <w:rPr>
                <w:rFonts w:ascii="Times New Roman" w:hAnsi="Times New Roman" w:cs="Times New Roman"/>
                <w:color w:val="000000" w:themeColor="text1"/>
                <w:lang w:val="ro-MD"/>
              </w:rPr>
              <w:t xml:space="preserve"> „pierdere în caz de nerambursare” </w:t>
            </w:r>
            <w:r w:rsidRPr="00C011B2">
              <w:rPr>
                <w:rFonts w:ascii="Times New Roman" w:hAnsi="Times New Roman" w:cs="Times New Roman"/>
                <w:color w:val="000000" w:themeColor="text1"/>
                <w:lang w:val="ro-MD"/>
              </w:rPr>
              <w:t xml:space="preserve">(loss given default - </w:t>
            </w:r>
            <w:r w:rsidR="00936613" w:rsidRPr="00C011B2">
              <w:rPr>
                <w:rFonts w:ascii="Times New Roman" w:hAnsi="Times New Roman" w:cs="Times New Roman"/>
                <w:color w:val="000000" w:themeColor="text1"/>
                <w:lang w:val="ro-MD"/>
              </w:rPr>
              <w:t xml:space="preserve"> LGD</w:t>
            </w:r>
            <w:r w:rsidRPr="00C011B2">
              <w:rPr>
                <w:rFonts w:ascii="Times New Roman" w:hAnsi="Times New Roman" w:cs="Times New Roman"/>
                <w:color w:val="000000" w:themeColor="text1"/>
                <w:lang w:val="ro-MD"/>
              </w:rPr>
              <w:t>)</w:t>
            </w:r>
            <w:r w:rsidR="00936613" w:rsidRPr="00C011B2">
              <w:rPr>
                <w:rFonts w:ascii="Times New Roman" w:hAnsi="Times New Roman" w:cs="Times New Roman"/>
                <w:color w:val="000000" w:themeColor="text1"/>
                <w:lang w:val="ro-MD"/>
              </w:rPr>
              <w:t xml:space="preserve"> înseamnă pierderea în caz de nerambursare a debitorului cauzată unui instrument emis de respectivul debitor, exprimată ca pondere din cuantumul noțional al instrumentului;</w:t>
            </w:r>
          </w:p>
          <w:p w14:paraId="290A3E2A" w14:textId="18A4C60C" w:rsidR="00936613" w:rsidRPr="00C011B2" w:rsidRDefault="00D54DA0"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225.6.</w:t>
            </w:r>
            <w:r w:rsidR="00936613" w:rsidRPr="00C011B2">
              <w:rPr>
                <w:rFonts w:ascii="Times New Roman" w:hAnsi="Times New Roman" w:cs="Times New Roman"/>
                <w:color w:val="000000" w:themeColor="text1"/>
                <w:lang w:val="ro-MD"/>
              </w:rPr>
              <w:t> „pondere de risc de nerambursare” înseamnă procentul pe care îl reprezintă probabilitatea estimată de intrare în stare de nerambursare a fiecărui debitor, în conformitate cu bonitatea respectivului debitor.</w:t>
            </w:r>
            <w:bookmarkEnd w:id="201"/>
          </w:p>
        </w:tc>
        <w:tc>
          <w:tcPr>
            <w:tcW w:w="450" w:type="pct"/>
          </w:tcPr>
          <w:p w14:paraId="08FF9B84" w14:textId="6F631F7A" w:rsidR="00936613" w:rsidRPr="00C011B2" w:rsidRDefault="001F1AF2"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0FDCAA7"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44CBC70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D796D74" w14:textId="528100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Cerințele de fonduri proprii pentru riscul de nerambursare se aplică titlurilor de datorie și de capital, </w:t>
            </w:r>
            <w:r w:rsidRPr="00C011B2">
              <w:rPr>
                <w:rFonts w:ascii="Times New Roman" w:hAnsi="Times New Roman" w:cs="Times New Roman"/>
                <w:color w:val="000000" w:themeColor="text1"/>
                <w:lang w:val="ro-MD"/>
              </w:rPr>
              <w:lastRenderedPageBreak/>
              <w:t>instrumentelor financiare derivate pentru care instrumentele respective sunt instrumente-suport, precum și instrumentelor derivate ale căror rezultate sau valori juste sunt afectate de intrarea în stare de nerambursare a unui debitor, altul decât contrapartea la instrumentul derivat în cauză. Instituțiile calculează cerințele pentru riscul de nerambursare separat pentru fiecare dintre următoarele tipuri de instrumente: instrumente care nu sunt poziții din securitizare, securitizări care nu sunt incluse în ACTP și securitizări care sunt incluse în ACTP. Cerințele finale de fonduri proprii pentru riscul de nerambursare care trebuie aplicate de instituții reprezintă suma acestor trei componente.</w:t>
            </w:r>
          </w:p>
        </w:tc>
        <w:tc>
          <w:tcPr>
            <w:tcW w:w="1692" w:type="pct"/>
            <w:shd w:val="clear" w:color="auto" w:fill="auto"/>
          </w:tcPr>
          <w:p w14:paraId="0668C134" w14:textId="7475A754" w:rsidR="00936613" w:rsidRPr="00C011B2" w:rsidRDefault="001F1AF2" w:rsidP="00936613">
            <w:pPr>
              <w:spacing w:after="0" w:line="276" w:lineRule="auto"/>
              <w:jc w:val="both"/>
              <w:rPr>
                <w:rFonts w:ascii="Times New Roman" w:hAnsi="Times New Roman" w:cs="Times New Roman"/>
                <w:color w:val="000000" w:themeColor="text1"/>
                <w:lang w:val="ro-MD"/>
              </w:rPr>
            </w:pPr>
            <w:bookmarkStart w:id="202" w:name="_Hlk223009991"/>
            <w:r w:rsidRPr="00C011B2">
              <w:rPr>
                <w:rFonts w:ascii="Times New Roman" w:hAnsi="Times New Roman" w:cs="Times New Roman"/>
                <w:color w:val="000000" w:themeColor="text1"/>
                <w:lang w:val="ro-MD"/>
              </w:rPr>
              <w:lastRenderedPageBreak/>
              <w:t>226.</w:t>
            </w:r>
            <w:r w:rsidR="00936613" w:rsidRPr="00C011B2">
              <w:rPr>
                <w:rFonts w:ascii="Times New Roman" w:hAnsi="Times New Roman" w:cs="Times New Roman"/>
                <w:color w:val="000000" w:themeColor="text1"/>
                <w:lang w:val="ro-MD"/>
              </w:rPr>
              <w:t xml:space="preserve">   Cerințele de fonduri proprii pentru riscul de nerambursare se aplică titlurilor de datorie și de capital, </w:t>
            </w:r>
            <w:r w:rsidR="00936613" w:rsidRPr="00C011B2">
              <w:rPr>
                <w:rFonts w:ascii="Times New Roman" w:hAnsi="Times New Roman" w:cs="Times New Roman"/>
                <w:color w:val="000000" w:themeColor="text1"/>
                <w:lang w:val="ro-MD"/>
              </w:rPr>
              <w:lastRenderedPageBreak/>
              <w:t xml:space="preserve">instrumentelor financiare derivate pentru care instrumentele respective sunt instrumente-suport, precum și instrumentelor derivate ale căror rezultate sau valori juste sunt afectate de intrarea în stare de nerambursare a unui debitor, altul decât contrapartea la instrumentul derivat în cauză.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 xml:space="preserve">calculează cerințele pentru riscul de nerambursare separat pentru fiecare dintre următoarele tipuri de instrumente: instrumente care nu sunt poziții din securitizare, securitizări care nu sunt incluse în ACTP și securitizări care sunt incluse în ACTP. Cerințele finale de fonduri proprii pentru riscul de nerambursare care trebuie aplicate de </w:t>
            </w:r>
            <w:r w:rsidRPr="00C011B2">
              <w:rPr>
                <w:rFonts w:ascii="Times New Roman" w:hAnsi="Times New Roman" w:cs="Times New Roman"/>
                <w:color w:val="000000" w:themeColor="text1"/>
                <w:lang w:val="ro-MD"/>
              </w:rPr>
              <w:t xml:space="preserve">bănci </w:t>
            </w:r>
            <w:r w:rsidR="00936613" w:rsidRPr="00C011B2">
              <w:rPr>
                <w:rFonts w:ascii="Times New Roman" w:hAnsi="Times New Roman" w:cs="Times New Roman"/>
                <w:color w:val="000000" w:themeColor="text1"/>
                <w:lang w:val="ro-MD"/>
              </w:rPr>
              <w:t>reprezintă suma acestor trei componente.</w:t>
            </w:r>
            <w:bookmarkEnd w:id="202"/>
          </w:p>
        </w:tc>
        <w:tc>
          <w:tcPr>
            <w:tcW w:w="450" w:type="pct"/>
          </w:tcPr>
          <w:p w14:paraId="7BC894FE" w14:textId="13DBA74C" w:rsidR="00936613" w:rsidRPr="00C011B2" w:rsidRDefault="001F1AF2"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908E1D0"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0A6466B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7F9DB5E"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5" w:tooltip="32024R1623: INSERTED" w:history="1">
              <w:r w:rsidR="00936613" w:rsidRPr="00C011B2">
                <w:rPr>
                  <w:rStyle w:val="Hyperlink"/>
                  <w:rFonts w:ascii="Times New Roman" w:hAnsi="Times New Roman" w:cs="Times New Roman"/>
                  <w:b/>
                  <w:bCs/>
                  <w:lang w:val="ro-MD"/>
                </w:rPr>
                <w:t>▼M17</w:t>
              </w:r>
            </w:hyperlink>
          </w:p>
          <w:p w14:paraId="0288C690" w14:textId="6775A09F"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instrumentelor financiare derivate pe credit și pe titluri de capital tranzacționate care nu sunt poziții din securitizare, cuantumurile JTD pentru fiecare componentă individuală se determină prin aplicarea unei abordări de tipul </w:t>
            </w:r>
            <w:r w:rsidRPr="00C011B2">
              <w:rPr>
                <w:rFonts w:ascii="Times New Roman" w:hAnsi="Times New Roman" w:cs="Times New Roman"/>
                <w:i/>
                <w:iCs/>
                <w:color w:val="000000" w:themeColor="text1"/>
                <w:lang w:val="ro-MD"/>
              </w:rPr>
              <w:t>look-through</w:t>
            </w:r>
            <w:r w:rsidRPr="00C011B2">
              <w:rPr>
                <w:rFonts w:ascii="Times New Roman" w:hAnsi="Times New Roman" w:cs="Times New Roman"/>
                <w:color w:val="000000" w:themeColor="text1"/>
                <w:lang w:val="ro-MD"/>
              </w:rPr>
              <w:t>.</w:t>
            </w:r>
          </w:p>
        </w:tc>
        <w:tc>
          <w:tcPr>
            <w:tcW w:w="1692" w:type="pct"/>
            <w:shd w:val="clear" w:color="auto" w:fill="auto"/>
          </w:tcPr>
          <w:p w14:paraId="54363DE1" w14:textId="2593DF52" w:rsidR="00936613" w:rsidRPr="00C011B2" w:rsidRDefault="001F1AF2" w:rsidP="00936613">
            <w:pPr>
              <w:spacing w:after="0" w:line="276" w:lineRule="auto"/>
              <w:jc w:val="both"/>
              <w:rPr>
                <w:rFonts w:ascii="Times New Roman" w:hAnsi="Times New Roman" w:cs="Times New Roman"/>
                <w:color w:val="000000" w:themeColor="text1"/>
                <w:lang w:val="ro-MD"/>
              </w:rPr>
            </w:pPr>
            <w:bookmarkStart w:id="203" w:name="_Hlk223010012"/>
            <w:r w:rsidRPr="00C011B2">
              <w:rPr>
                <w:rFonts w:ascii="Times New Roman" w:hAnsi="Times New Roman" w:cs="Times New Roman"/>
                <w:color w:val="000000" w:themeColor="text1"/>
                <w:lang w:val="ro-MD"/>
              </w:rPr>
              <w:t>227.</w:t>
            </w:r>
            <w:r w:rsidR="00936613" w:rsidRPr="00C011B2">
              <w:rPr>
                <w:rFonts w:ascii="Times New Roman" w:hAnsi="Times New Roman" w:cs="Times New Roman"/>
                <w:color w:val="000000" w:themeColor="text1"/>
                <w:lang w:val="ro-MD"/>
              </w:rPr>
              <w:t>   În cazul instrumentelor financiare derivate pe credit și pe titluri de capital tranzacționate care nu sunt poziții din securitizare, cuantumurile JTD pentru fiecare componentă individuală se determină prin aplicarea unei abordări de tipul </w:t>
            </w:r>
            <w:r w:rsidR="00936613" w:rsidRPr="00C011B2">
              <w:rPr>
                <w:rFonts w:ascii="Times New Roman" w:hAnsi="Times New Roman" w:cs="Times New Roman"/>
                <w:i/>
                <w:iCs/>
                <w:color w:val="000000" w:themeColor="text1"/>
                <w:lang w:val="ro-MD"/>
              </w:rPr>
              <w:t>look-through</w:t>
            </w:r>
            <w:r w:rsidR="00936613" w:rsidRPr="00C011B2">
              <w:rPr>
                <w:rFonts w:ascii="Times New Roman" w:hAnsi="Times New Roman" w:cs="Times New Roman"/>
                <w:color w:val="000000" w:themeColor="text1"/>
                <w:lang w:val="ro-MD"/>
              </w:rPr>
              <w:t>.</w:t>
            </w:r>
            <w:bookmarkEnd w:id="203"/>
          </w:p>
        </w:tc>
        <w:tc>
          <w:tcPr>
            <w:tcW w:w="450" w:type="pct"/>
          </w:tcPr>
          <w:p w14:paraId="3FF0CA17" w14:textId="1D94A1D5" w:rsidR="00936613" w:rsidRPr="00C011B2" w:rsidRDefault="001F1AF2"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385ADAC"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5C19C46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88FC2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1</w:t>
            </w:r>
          </w:p>
          <w:p w14:paraId="4A3E5024" w14:textId="77777777" w:rsidR="00936613" w:rsidRPr="00C011B2" w:rsidRDefault="00936613" w:rsidP="00936613">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pentru instrumentele care nu sunt poziții din securitizare</w:t>
            </w:r>
          </w:p>
          <w:p w14:paraId="5395537D" w14:textId="77777777" w:rsidR="00936613" w:rsidRPr="00C011B2" w:rsidRDefault="00936613" w:rsidP="00936613">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325w</w:t>
            </w:r>
          </w:p>
          <w:p w14:paraId="2BD26A0C" w14:textId="5D2EDC4A"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lastRenderedPageBreak/>
              <w:t>Cuantumurile brute ale trecerii bruște în starea de nerambursare</w:t>
            </w:r>
          </w:p>
        </w:tc>
        <w:tc>
          <w:tcPr>
            <w:tcW w:w="1692" w:type="pct"/>
            <w:shd w:val="clear" w:color="auto" w:fill="auto"/>
          </w:tcPr>
          <w:p w14:paraId="5EE0BC4B" w14:textId="2AB2F1B7" w:rsidR="00936613" w:rsidRPr="00C011B2" w:rsidRDefault="00936613" w:rsidP="00936613">
            <w:pPr>
              <w:spacing w:after="0" w:line="276" w:lineRule="auto"/>
              <w:jc w:val="both"/>
              <w:rPr>
                <w:rFonts w:ascii="Times New Roman" w:hAnsi="Times New Roman" w:cs="Times New Roman"/>
                <w:color w:val="000000" w:themeColor="text1"/>
                <w:lang w:val="ro-MD"/>
              </w:rPr>
            </w:pPr>
            <w:bookmarkStart w:id="204" w:name="_Hlk195097336"/>
            <w:r w:rsidRPr="00C011B2">
              <w:rPr>
                <w:rFonts w:ascii="Times New Roman" w:hAnsi="Times New Roman" w:cs="Times New Roman"/>
                <w:color w:val="000000" w:themeColor="text1"/>
                <w:lang w:val="ro-MD"/>
              </w:rPr>
              <w:lastRenderedPageBreak/>
              <w:t>Subsecțiunea 1</w:t>
            </w:r>
            <w:r w:rsidR="00FE380B" w:rsidRPr="00C011B2">
              <w:rPr>
                <w:rFonts w:ascii="Times New Roman" w:hAnsi="Times New Roman" w:cs="Times New Roman"/>
                <w:color w:val="000000" w:themeColor="text1"/>
                <w:lang w:val="ro-MD"/>
              </w:rPr>
              <w:t>.</w:t>
            </w:r>
          </w:p>
          <w:p w14:paraId="6EA46674" w14:textId="77777777" w:rsidR="00936613" w:rsidRPr="00C011B2" w:rsidRDefault="00936613" w:rsidP="00936613">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pentru instrumentele care nu sunt poziții din securitizare</w:t>
            </w:r>
          </w:p>
          <w:p w14:paraId="423B2B0C" w14:textId="376497A4" w:rsidR="00936613" w:rsidRPr="00C011B2" w:rsidRDefault="001F1AF2"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lastRenderedPageBreak/>
              <w:t xml:space="preserve">Paragraful 1. </w:t>
            </w:r>
            <w:r w:rsidR="00936613" w:rsidRPr="00C011B2">
              <w:rPr>
                <w:rFonts w:ascii="Times New Roman" w:hAnsi="Times New Roman" w:cs="Times New Roman"/>
                <w:b/>
                <w:bCs/>
                <w:color w:val="000000" w:themeColor="text1"/>
                <w:lang w:val="ro-MD"/>
              </w:rPr>
              <w:t>Cuantumurile brute ale trecerii bruște în starea de nerambursare</w:t>
            </w:r>
            <w:bookmarkEnd w:id="204"/>
          </w:p>
        </w:tc>
        <w:tc>
          <w:tcPr>
            <w:tcW w:w="450" w:type="pct"/>
          </w:tcPr>
          <w:p w14:paraId="72EF3948"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c>
          <w:tcPr>
            <w:tcW w:w="1261" w:type="pct"/>
          </w:tcPr>
          <w:p w14:paraId="5E757BC3"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4764763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297CA3" w14:textId="267D4C4F"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calculează cuantumurile brute ale JTD pentru fiecare expunere lungă la titluri de datorie după cum urmează:</w:t>
            </w:r>
          </w:p>
          <w:p w14:paraId="729F4E4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 max {LGD V</w:t>
            </w:r>
            <w:r w:rsidRPr="00C011B2">
              <w:rPr>
                <w:rFonts w:ascii="Times New Roman" w:hAnsi="Times New Roman" w:cs="Times New Roman"/>
                <w:color w:val="000000" w:themeColor="text1"/>
                <w:vertAlign w:val="subscript"/>
                <w:lang w:val="ro-MD"/>
              </w:rPr>
              <w:t>noțională</w:t>
            </w:r>
            <w:r w:rsidRPr="00C011B2">
              <w:rPr>
                <w:rFonts w:ascii="Times New Roman" w:hAnsi="Times New Roman" w:cs="Times New Roman"/>
                <w:color w:val="000000" w:themeColor="text1"/>
                <w:lang w:val="ro-MD"/>
              </w:rPr>
              <w:t> + P&amp;L</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 Ajustare</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0}</w:t>
            </w:r>
          </w:p>
          <w:p w14:paraId="648A1A08"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478"/>
              <w:gridCol w:w="117"/>
              <w:gridCol w:w="4217"/>
            </w:tblGrid>
            <w:tr w:rsidR="00936613" w:rsidRPr="00C011B2" w14:paraId="6A66075B" w14:textId="77777777" w:rsidTr="00CF6D23">
              <w:tc>
                <w:tcPr>
                  <w:tcW w:w="948" w:type="dxa"/>
                  <w:shd w:val="clear" w:color="auto" w:fill="auto"/>
                  <w:hideMark/>
                </w:tcPr>
                <w:p w14:paraId="2115A004"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lung</w:t>
                  </w:r>
                </w:p>
              </w:tc>
              <w:tc>
                <w:tcPr>
                  <w:tcW w:w="217" w:type="dxa"/>
                  <w:shd w:val="clear" w:color="auto" w:fill="auto"/>
                  <w:hideMark/>
                </w:tcPr>
                <w:p w14:paraId="55A87DA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24" w:type="dxa"/>
                  <w:shd w:val="clear" w:color="auto" w:fill="auto"/>
                  <w:hideMark/>
                </w:tcPr>
                <w:p w14:paraId="3BE8BB4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lungă;</w:t>
                  </w:r>
                </w:p>
              </w:tc>
            </w:tr>
          </w:tbl>
          <w:p w14:paraId="67352977"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6" w:tooltip="32019R0876R(11): REPLACED" w:history="1">
              <w:r w:rsidR="00936613" w:rsidRPr="00C011B2">
                <w:rPr>
                  <w:rStyle w:val="Hyperlink"/>
                  <w:rFonts w:ascii="Times New Roman" w:hAnsi="Times New Roman" w:cs="Times New Roman"/>
                  <w:b/>
                  <w:bCs/>
                  <w:lang w:val="ro-MD"/>
                </w:rPr>
                <w:t>▼C7</w:t>
              </w:r>
            </w:hyperlink>
          </w:p>
          <w:tbl>
            <w:tblPr>
              <w:tblW w:w="5167" w:type="dxa"/>
              <w:tblLayout w:type="fixed"/>
              <w:tblCellMar>
                <w:left w:w="0" w:type="dxa"/>
                <w:right w:w="0" w:type="dxa"/>
              </w:tblCellMar>
              <w:tblLook w:val="04A0" w:firstRow="1" w:lastRow="0" w:firstColumn="1" w:lastColumn="0" w:noHBand="0" w:noVBand="1"/>
            </w:tblPr>
            <w:tblGrid>
              <w:gridCol w:w="754"/>
              <w:gridCol w:w="98"/>
              <w:gridCol w:w="4315"/>
            </w:tblGrid>
            <w:tr w:rsidR="00936613" w:rsidRPr="00C011B2" w14:paraId="520910A7" w14:textId="77777777" w:rsidTr="00CF6D23">
              <w:tc>
                <w:tcPr>
                  <w:tcW w:w="754" w:type="dxa"/>
                  <w:shd w:val="clear" w:color="auto" w:fill="auto"/>
                  <w:hideMark/>
                </w:tcPr>
                <w:p w14:paraId="7D849A49"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noțională</w:t>
                  </w:r>
                </w:p>
              </w:tc>
              <w:tc>
                <w:tcPr>
                  <w:tcW w:w="98" w:type="dxa"/>
                  <w:shd w:val="clear" w:color="auto" w:fill="auto"/>
                  <w:hideMark/>
                </w:tcPr>
                <w:p w14:paraId="631FDD7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15" w:type="dxa"/>
                  <w:shd w:val="clear" w:color="auto" w:fill="auto"/>
                  <w:hideMark/>
                </w:tcPr>
                <w:p w14:paraId="58806E0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noțională a instrumentului din care rezultă expunerea;</w:t>
                  </w:r>
                </w:p>
              </w:tc>
            </w:tr>
          </w:tbl>
          <w:p w14:paraId="40D0ACE9"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42" w:type="dxa"/>
              <w:tblLayout w:type="fixed"/>
              <w:tblCellMar>
                <w:left w:w="0" w:type="dxa"/>
                <w:right w:w="0" w:type="dxa"/>
              </w:tblCellMar>
              <w:tblLook w:val="04A0" w:firstRow="1" w:lastRow="0" w:firstColumn="1" w:lastColumn="0" w:noHBand="0" w:noVBand="1"/>
            </w:tblPr>
            <w:tblGrid>
              <w:gridCol w:w="754"/>
              <w:gridCol w:w="76"/>
              <w:gridCol w:w="4412"/>
            </w:tblGrid>
            <w:tr w:rsidR="00936613" w:rsidRPr="00C011B2" w14:paraId="44D0551E" w14:textId="77777777" w:rsidTr="00CF6D23">
              <w:tc>
                <w:tcPr>
                  <w:tcW w:w="754" w:type="dxa"/>
                  <w:shd w:val="clear" w:color="auto" w:fill="auto"/>
                  <w:hideMark/>
                </w:tcPr>
                <w:p w14:paraId="2086431C"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59C9423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18FD3469"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termen care permite ajustarea în funcție de câștigurile sau pierderile contabilizate deja de instituție, cauzate de modificările valorii juste a instrumentului care creează expunerea lungă; câștigurile sunt introduse în formulă cu semn pozitiv, iar pierderile sunt introduse în formulă cu semn negativ; și</w:t>
                  </w:r>
                </w:p>
              </w:tc>
            </w:tr>
          </w:tbl>
          <w:p w14:paraId="075E49DA"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311" w:type="dxa"/>
              <w:tblLayout w:type="fixed"/>
              <w:tblCellMar>
                <w:left w:w="0" w:type="dxa"/>
                <w:right w:w="0" w:type="dxa"/>
              </w:tblCellMar>
              <w:tblLook w:val="04A0" w:firstRow="1" w:lastRow="0" w:firstColumn="1" w:lastColumn="0" w:noHBand="0" w:noVBand="1"/>
            </w:tblPr>
            <w:tblGrid>
              <w:gridCol w:w="1037"/>
              <w:gridCol w:w="76"/>
              <w:gridCol w:w="4198"/>
            </w:tblGrid>
            <w:tr w:rsidR="00936613" w:rsidRPr="00C011B2" w14:paraId="6CB15D55" w14:textId="77777777" w:rsidTr="00CF6D23">
              <w:tc>
                <w:tcPr>
                  <w:tcW w:w="1037" w:type="dxa"/>
                  <w:shd w:val="clear" w:color="auto" w:fill="auto"/>
                  <w:hideMark/>
                </w:tcPr>
                <w:p w14:paraId="4743DD8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119659C4"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98" w:type="dxa"/>
                  <w:shd w:val="clear" w:color="auto" w:fill="auto"/>
                  <w:hideMark/>
                </w:tcPr>
                <w:p w14:paraId="4FFE5FE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cazul în care instrumentul din care rezultă expunerea este un instrument derivat, cuantumul cu care s-ar majora sau s-ar reduce pierderea suferită de instituție din cauza structurii instrumentului derivat în </w:t>
                  </w:r>
                  <w:r w:rsidRPr="00C011B2">
                    <w:rPr>
                      <w:rFonts w:ascii="Times New Roman" w:hAnsi="Times New Roman" w:cs="Times New Roman"/>
                      <w:color w:val="000000" w:themeColor="text1"/>
                      <w:lang w:val="ro-MD"/>
                    </w:rPr>
                    <w:lastRenderedPageBreak/>
                    <w:t>eventualitatea unei situații de nerambursare în raport cu pierderea totală aferentă instrumentului suport; majorările sunt introduse în formulă cu semn pozitiv, iar reducerile sunt introduse în formulă cu semn negativ.</w:t>
                  </w:r>
                </w:p>
              </w:tc>
            </w:tr>
          </w:tbl>
          <w:p w14:paraId="0C1573B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45B5407" w14:textId="70C35DC1" w:rsidR="00936613" w:rsidRPr="00C011B2" w:rsidRDefault="001F1AF2" w:rsidP="00936613">
            <w:pPr>
              <w:spacing w:after="0" w:line="276" w:lineRule="auto"/>
              <w:jc w:val="both"/>
              <w:rPr>
                <w:rFonts w:ascii="Times New Roman" w:hAnsi="Times New Roman" w:cs="Times New Roman"/>
                <w:color w:val="000000" w:themeColor="text1"/>
                <w:lang w:val="ro-MD"/>
              </w:rPr>
            </w:pPr>
            <w:bookmarkStart w:id="205" w:name="_Hlk223011127"/>
            <w:r w:rsidRPr="00C011B2">
              <w:rPr>
                <w:rFonts w:ascii="Times New Roman" w:hAnsi="Times New Roman" w:cs="Times New Roman"/>
                <w:color w:val="000000" w:themeColor="text1"/>
                <w:lang w:val="ro-MD"/>
              </w:rPr>
              <w:lastRenderedPageBreak/>
              <w:t>228.</w:t>
            </w:r>
            <w:r w:rsidR="00936613"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calculează cuantumurile brute ale JTD pentru fiecare expunere lungă la titluri de datorie după cum urmează:</w:t>
            </w:r>
          </w:p>
          <w:p w14:paraId="2EB35328"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 max {LGD V</w:t>
            </w:r>
            <w:r w:rsidRPr="00C011B2">
              <w:rPr>
                <w:rFonts w:ascii="Times New Roman" w:hAnsi="Times New Roman" w:cs="Times New Roman"/>
                <w:color w:val="000000" w:themeColor="text1"/>
                <w:vertAlign w:val="subscript"/>
                <w:lang w:val="ro-MD"/>
              </w:rPr>
              <w:t>noțională</w:t>
            </w:r>
            <w:r w:rsidRPr="00C011B2">
              <w:rPr>
                <w:rFonts w:ascii="Times New Roman" w:hAnsi="Times New Roman" w:cs="Times New Roman"/>
                <w:color w:val="000000" w:themeColor="text1"/>
                <w:lang w:val="ro-MD"/>
              </w:rPr>
              <w:t> + P&amp;L</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 Ajustare</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0}</w:t>
            </w:r>
          </w:p>
          <w:p w14:paraId="3089EB5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507"/>
              <w:gridCol w:w="123"/>
              <w:gridCol w:w="4481"/>
            </w:tblGrid>
            <w:tr w:rsidR="00936613" w:rsidRPr="00C011B2" w14:paraId="605C64BC" w14:textId="77777777" w:rsidTr="001E785F">
              <w:tc>
                <w:tcPr>
                  <w:tcW w:w="948" w:type="dxa"/>
                  <w:shd w:val="clear" w:color="auto" w:fill="auto"/>
                  <w:hideMark/>
                </w:tcPr>
                <w:p w14:paraId="361733B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lung</w:t>
                  </w:r>
                </w:p>
              </w:tc>
              <w:tc>
                <w:tcPr>
                  <w:tcW w:w="217" w:type="dxa"/>
                  <w:shd w:val="clear" w:color="auto" w:fill="auto"/>
                  <w:hideMark/>
                </w:tcPr>
                <w:p w14:paraId="3327C0A8"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524" w:type="dxa"/>
                  <w:shd w:val="clear" w:color="auto" w:fill="auto"/>
                  <w:hideMark/>
                </w:tcPr>
                <w:p w14:paraId="1716CA5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lungă;</w:t>
                  </w:r>
                </w:p>
              </w:tc>
            </w:tr>
          </w:tbl>
          <w:p w14:paraId="53915BEF" w14:textId="11F0B5D8" w:rsidR="00936613" w:rsidRPr="00C011B2" w:rsidRDefault="00936613" w:rsidP="00936613">
            <w:pPr>
              <w:spacing w:after="0" w:line="276" w:lineRule="auto"/>
              <w:jc w:val="both"/>
              <w:rPr>
                <w:rFonts w:ascii="Times New Roman" w:hAnsi="Times New Roman" w:cs="Times New Roman"/>
                <w:b/>
                <w:bCs/>
                <w:color w:val="000000" w:themeColor="text1"/>
                <w:lang w:val="ro-MD"/>
              </w:rPr>
            </w:pPr>
          </w:p>
          <w:tbl>
            <w:tblPr>
              <w:tblW w:w="5167" w:type="dxa"/>
              <w:tblLayout w:type="fixed"/>
              <w:tblCellMar>
                <w:left w:w="0" w:type="dxa"/>
                <w:right w:w="0" w:type="dxa"/>
              </w:tblCellMar>
              <w:tblLook w:val="04A0" w:firstRow="1" w:lastRow="0" w:firstColumn="1" w:lastColumn="0" w:noHBand="0" w:noVBand="1"/>
            </w:tblPr>
            <w:tblGrid>
              <w:gridCol w:w="754"/>
              <w:gridCol w:w="98"/>
              <w:gridCol w:w="4315"/>
            </w:tblGrid>
            <w:tr w:rsidR="00936613" w:rsidRPr="00C011B2" w14:paraId="12372B22" w14:textId="77777777" w:rsidTr="001E785F">
              <w:tc>
                <w:tcPr>
                  <w:tcW w:w="754" w:type="dxa"/>
                  <w:shd w:val="clear" w:color="auto" w:fill="auto"/>
                  <w:hideMark/>
                </w:tcPr>
                <w:p w14:paraId="0A80BF49"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noțională</w:t>
                  </w:r>
                </w:p>
              </w:tc>
              <w:tc>
                <w:tcPr>
                  <w:tcW w:w="98" w:type="dxa"/>
                  <w:shd w:val="clear" w:color="auto" w:fill="auto"/>
                  <w:hideMark/>
                </w:tcPr>
                <w:p w14:paraId="083716BC"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15" w:type="dxa"/>
                  <w:shd w:val="clear" w:color="auto" w:fill="auto"/>
                  <w:hideMark/>
                </w:tcPr>
                <w:p w14:paraId="446FDB2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noțională a instrumentului din care rezultă expunerea;</w:t>
                  </w:r>
                </w:p>
              </w:tc>
            </w:tr>
          </w:tbl>
          <w:p w14:paraId="697E6129"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42" w:type="dxa"/>
              <w:tblLayout w:type="fixed"/>
              <w:tblCellMar>
                <w:left w:w="0" w:type="dxa"/>
                <w:right w:w="0" w:type="dxa"/>
              </w:tblCellMar>
              <w:tblLook w:val="04A0" w:firstRow="1" w:lastRow="0" w:firstColumn="1" w:lastColumn="0" w:noHBand="0" w:noVBand="1"/>
            </w:tblPr>
            <w:tblGrid>
              <w:gridCol w:w="754"/>
              <w:gridCol w:w="76"/>
              <w:gridCol w:w="4412"/>
            </w:tblGrid>
            <w:tr w:rsidR="00936613" w:rsidRPr="00C011B2" w14:paraId="6AF84B2C" w14:textId="77777777" w:rsidTr="001E785F">
              <w:tc>
                <w:tcPr>
                  <w:tcW w:w="754" w:type="dxa"/>
                  <w:shd w:val="clear" w:color="auto" w:fill="auto"/>
                  <w:hideMark/>
                </w:tcPr>
                <w:p w14:paraId="3062495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45A5956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7C628795" w14:textId="5A7CD55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termen care permite ajustarea în funcție de câștigurile sau pierderile contabilizate deja de </w:t>
                  </w:r>
                  <w:r w:rsidR="00AF2492" w:rsidRPr="00C011B2">
                    <w:rPr>
                      <w:rFonts w:ascii="Times New Roman" w:hAnsi="Times New Roman" w:cs="Times New Roman"/>
                      <w:color w:val="000000" w:themeColor="text1"/>
                      <w:lang w:val="ro-MD"/>
                    </w:rPr>
                    <w:t>bancă</w:t>
                  </w:r>
                  <w:r w:rsidRPr="00C011B2">
                    <w:rPr>
                      <w:rFonts w:ascii="Times New Roman" w:hAnsi="Times New Roman" w:cs="Times New Roman"/>
                      <w:color w:val="000000" w:themeColor="text1"/>
                      <w:lang w:val="ro-MD"/>
                    </w:rPr>
                    <w:t>, cauzate de modificările valorii juste a instrumentului care creează expunerea lungă; câștigurile sunt introduse în formulă cu semn pozitiv, iar pierderile sunt introduse în formulă cu semn negativ; și</w:t>
                  </w:r>
                </w:p>
              </w:tc>
            </w:tr>
          </w:tbl>
          <w:p w14:paraId="5268D47D"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311" w:type="dxa"/>
              <w:tblLayout w:type="fixed"/>
              <w:tblCellMar>
                <w:left w:w="0" w:type="dxa"/>
                <w:right w:w="0" w:type="dxa"/>
              </w:tblCellMar>
              <w:tblLook w:val="04A0" w:firstRow="1" w:lastRow="0" w:firstColumn="1" w:lastColumn="0" w:noHBand="0" w:noVBand="1"/>
            </w:tblPr>
            <w:tblGrid>
              <w:gridCol w:w="1037"/>
              <w:gridCol w:w="76"/>
              <w:gridCol w:w="4198"/>
            </w:tblGrid>
            <w:tr w:rsidR="00936613" w:rsidRPr="00C011B2" w14:paraId="292E53E2" w14:textId="77777777" w:rsidTr="001E785F">
              <w:tc>
                <w:tcPr>
                  <w:tcW w:w="1037" w:type="dxa"/>
                  <w:shd w:val="clear" w:color="auto" w:fill="auto"/>
                  <w:hideMark/>
                </w:tcPr>
                <w:p w14:paraId="1AACA2D8"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6BEFED5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98" w:type="dxa"/>
                  <w:shd w:val="clear" w:color="auto" w:fill="auto"/>
                  <w:hideMark/>
                </w:tcPr>
                <w:p w14:paraId="6E721220" w14:textId="02115B74"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cazul în care instrumentul din care rezultă expunerea este un instrument derivat, cuantumul cu care s-ar majora sau s-ar reduce pierderea suferită de </w:t>
                  </w:r>
                  <w:r w:rsidR="00AF2492"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 xml:space="preserve">din cauza structurii instrumentului derivat în eventualitatea unei situații de nerambursare în raport cu pierderea </w:t>
                  </w:r>
                  <w:r w:rsidRPr="00C011B2">
                    <w:rPr>
                      <w:rFonts w:ascii="Times New Roman" w:hAnsi="Times New Roman" w:cs="Times New Roman"/>
                      <w:color w:val="000000" w:themeColor="text1"/>
                      <w:lang w:val="ro-MD"/>
                    </w:rPr>
                    <w:lastRenderedPageBreak/>
                    <w:t>totală aferentă instrumentului suport; majorările sunt introduse în formulă cu semn pozitiv, iar reducerile sunt introduse în formulă cu semn negativ.</w:t>
                  </w:r>
                </w:p>
              </w:tc>
            </w:tr>
            <w:bookmarkEnd w:id="205"/>
          </w:tbl>
          <w:p w14:paraId="2E056EE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217B6C15" w14:textId="4B298A13" w:rsidR="00936613" w:rsidRPr="00C011B2" w:rsidRDefault="00E73BBA"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6EE19E7"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6430D47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A0E29C"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7" w:tooltip="32019R0876: INSERTED" w:history="1">
              <w:r w:rsidR="00936613" w:rsidRPr="00C011B2">
                <w:rPr>
                  <w:rStyle w:val="Hyperlink"/>
                  <w:rFonts w:ascii="Times New Roman" w:hAnsi="Times New Roman" w:cs="Times New Roman"/>
                  <w:b/>
                  <w:bCs/>
                  <w:lang w:val="ro-MD"/>
                </w:rPr>
                <w:t>▼M8</w:t>
              </w:r>
            </w:hyperlink>
          </w:p>
          <w:p w14:paraId="319D4E65" w14:textId="39B45E5D"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calculează cuantumurile brute ale JTD pentru fiecare expunere scurtă la titluri de datorie după cum urmează:</w:t>
            </w:r>
          </w:p>
          <w:p w14:paraId="7AD5542D"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 min {LGD V</w:t>
            </w:r>
            <w:r w:rsidRPr="00C011B2">
              <w:rPr>
                <w:rFonts w:ascii="Times New Roman" w:hAnsi="Times New Roman" w:cs="Times New Roman"/>
                <w:color w:val="000000" w:themeColor="text1"/>
                <w:vertAlign w:val="subscript"/>
                <w:lang w:val="ro-MD"/>
              </w:rPr>
              <w:t>noțională</w:t>
            </w:r>
            <w:r w:rsidRPr="00C011B2">
              <w:rPr>
                <w:rFonts w:ascii="Times New Roman" w:hAnsi="Times New Roman" w:cs="Times New Roman"/>
                <w:color w:val="000000" w:themeColor="text1"/>
                <w:lang w:val="ro-MD"/>
              </w:rPr>
              <w:t> + P&amp;L</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 Ajustare</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0}</w:t>
            </w:r>
          </w:p>
          <w:p w14:paraId="650B3A3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71" w:type="dxa"/>
              <w:tblLayout w:type="fixed"/>
              <w:tblCellMar>
                <w:left w:w="0" w:type="dxa"/>
                <w:right w:w="0" w:type="dxa"/>
              </w:tblCellMar>
              <w:tblLook w:val="04A0" w:firstRow="1" w:lastRow="0" w:firstColumn="1" w:lastColumn="0" w:noHBand="0" w:noVBand="1"/>
            </w:tblPr>
            <w:tblGrid>
              <w:gridCol w:w="754"/>
              <w:gridCol w:w="115"/>
              <w:gridCol w:w="4202"/>
            </w:tblGrid>
            <w:tr w:rsidR="00936613" w:rsidRPr="00C011B2" w14:paraId="16B4BC99" w14:textId="77777777" w:rsidTr="00CF6D23">
              <w:tc>
                <w:tcPr>
                  <w:tcW w:w="754" w:type="dxa"/>
                  <w:shd w:val="clear" w:color="auto" w:fill="auto"/>
                  <w:hideMark/>
                </w:tcPr>
                <w:p w14:paraId="7AC5DB3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scurt</w:t>
                  </w:r>
                </w:p>
              </w:tc>
              <w:tc>
                <w:tcPr>
                  <w:tcW w:w="115" w:type="dxa"/>
                  <w:shd w:val="clear" w:color="auto" w:fill="auto"/>
                  <w:hideMark/>
                </w:tcPr>
                <w:p w14:paraId="1378FCB8"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02" w:type="dxa"/>
                  <w:shd w:val="clear" w:color="auto" w:fill="auto"/>
                  <w:hideMark/>
                </w:tcPr>
                <w:p w14:paraId="2383EA00"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scurtă;</w:t>
                  </w:r>
                </w:p>
              </w:tc>
            </w:tr>
          </w:tbl>
          <w:p w14:paraId="2EB3EEB5"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8" w:tooltip="32019R0876R(11): REPLACED" w:history="1">
              <w:r w:rsidR="00936613" w:rsidRPr="00C011B2">
                <w:rPr>
                  <w:rStyle w:val="Hyperlink"/>
                  <w:rFonts w:ascii="Times New Roman" w:hAnsi="Times New Roman" w:cs="Times New Roman"/>
                  <w:b/>
                  <w:bCs/>
                  <w:lang w:val="ro-MD"/>
                </w:rPr>
                <w:t>▼C7</w:t>
              </w:r>
            </w:hyperlink>
          </w:p>
          <w:tbl>
            <w:tblPr>
              <w:tblW w:w="5265" w:type="dxa"/>
              <w:tblLayout w:type="fixed"/>
              <w:tblCellMar>
                <w:left w:w="0" w:type="dxa"/>
                <w:right w:w="0" w:type="dxa"/>
              </w:tblCellMar>
              <w:tblLook w:val="04A0" w:firstRow="1" w:lastRow="0" w:firstColumn="1" w:lastColumn="0" w:noHBand="0" w:noVBand="1"/>
            </w:tblPr>
            <w:tblGrid>
              <w:gridCol w:w="754"/>
              <w:gridCol w:w="76"/>
              <w:gridCol w:w="4435"/>
            </w:tblGrid>
            <w:tr w:rsidR="00936613" w:rsidRPr="00C011B2" w14:paraId="48CC6336" w14:textId="77777777" w:rsidTr="00CF6D23">
              <w:tc>
                <w:tcPr>
                  <w:tcW w:w="754" w:type="dxa"/>
                  <w:shd w:val="clear" w:color="auto" w:fill="auto"/>
                  <w:hideMark/>
                </w:tcPr>
                <w:p w14:paraId="47D9674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noțională</w:t>
                  </w:r>
                </w:p>
              </w:tc>
              <w:tc>
                <w:tcPr>
                  <w:tcW w:w="76" w:type="dxa"/>
                  <w:shd w:val="clear" w:color="auto" w:fill="auto"/>
                  <w:hideMark/>
                </w:tcPr>
                <w:p w14:paraId="7A5BDA3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5" w:type="dxa"/>
                  <w:shd w:val="clear" w:color="auto" w:fill="auto"/>
                  <w:hideMark/>
                </w:tcPr>
                <w:p w14:paraId="30D0795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noțională a instrumentului din care rezultă expunerea, care este introdusă în formulă cu semn negativ;</w:t>
                  </w:r>
                </w:p>
              </w:tc>
            </w:tr>
          </w:tbl>
          <w:p w14:paraId="6406EF93"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25" w:type="dxa"/>
              <w:tblLayout w:type="fixed"/>
              <w:tblCellMar>
                <w:left w:w="0" w:type="dxa"/>
                <w:right w:w="0" w:type="dxa"/>
              </w:tblCellMar>
              <w:tblLook w:val="04A0" w:firstRow="1" w:lastRow="0" w:firstColumn="1" w:lastColumn="0" w:noHBand="0" w:noVBand="1"/>
            </w:tblPr>
            <w:tblGrid>
              <w:gridCol w:w="754"/>
              <w:gridCol w:w="76"/>
              <w:gridCol w:w="4395"/>
            </w:tblGrid>
            <w:tr w:rsidR="00936613" w:rsidRPr="00C011B2" w14:paraId="484F1546" w14:textId="77777777" w:rsidTr="00CF6D23">
              <w:tc>
                <w:tcPr>
                  <w:tcW w:w="754" w:type="dxa"/>
                  <w:shd w:val="clear" w:color="auto" w:fill="auto"/>
                  <w:hideMark/>
                </w:tcPr>
                <w:p w14:paraId="7921B5E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1D4BBD5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5" w:type="dxa"/>
                  <w:shd w:val="clear" w:color="auto" w:fill="auto"/>
                  <w:hideMark/>
                </w:tcPr>
                <w:p w14:paraId="7DABF125"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termen care permite ajustarea în funcție de câștigurile sau pierderile contabilizate deja de instituție, cauzate de modificările valorii juste a instrumentului care creează expunerea scurtă; câștigurile sunt introduse în formulă cu semn pozitiv, iar pierderile cu semn negativ; și</w:t>
                  </w:r>
                </w:p>
              </w:tc>
            </w:tr>
          </w:tbl>
          <w:p w14:paraId="1CEFE996"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94" w:type="dxa"/>
              <w:tblLayout w:type="fixed"/>
              <w:tblCellMar>
                <w:left w:w="0" w:type="dxa"/>
                <w:right w:w="0" w:type="dxa"/>
              </w:tblCellMar>
              <w:tblLook w:val="04A0" w:firstRow="1" w:lastRow="0" w:firstColumn="1" w:lastColumn="0" w:noHBand="0" w:noVBand="1"/>
            </w:tblPr>
            <w:tblGrid>
              <w:gridCol w:w="1037"/>
              <w:gridCol w:w="76"/>
              <w:gridCol w:w="4181"/>
            </w:tblGrid>
            <w:tr w:rsidR="00936613" w:rsidRPr="00C011B2" w14:paraId="5D1CDDB5" w14:textId="77777777" w:rsidTr="00CF6D23">
              <w:tc>
                <w:tcPr>
                  <w:tcW w:w="1037" w:type="dxa"/>
                  <w:shd w:val="clear" w:color="auto" w:fill="auto"/>
                  <w:hideMark/>
                </w:tcPr>
                <w:p w14:paraId="3AE0DA1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Ajustare</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5F1B597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81" w:type="dxa"/>
                  <w:shd w:val="clear" w:color="auto" w:fill="auto"/>
                  <w:hideMark/>
                </w:tcPr>
                <w:p w14:paraId="37449535"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cazul în care instrumentul din care rezultă expunerea este un instrument derivat, cuantumul cu care s-ar majora sau s-ar reduce câștigul obținut de instituție datorită structurii instrumentului derivat în eventualitatea unei situații de nerambursare în raport cu pierderea totală aferentă instrumentului-suport; reducerile sunt introduse în formulă cu semn pozitiv, iar majorările sunt introduse în formulă cu semn negativ.</w:t>
                  </w:r>
                </w:p>
              </w:tc>
            </w:tr>
          </w:tbl>
          <w:p w14:paraId="1A7011C5"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5A9B930A" w14:textId="1476E728" w:rsidR="00936613" w:rsidRPr="00C011B2" w:rsidRDefault="00AF2492" w:rsidP="00936613">
            <w:pPr>
              <w:spacing w:after="0" w:line="276" w:lineRule="auto"/>
              <w:jc w:val="both"/>
              <w:rPr>
                <w:rFonts w:ascii="Times New Roman" w:hAnsi="Times New Roman" w:cs="Times New Roman"/>
                <w:color w:val="000000" w:themeColor="text1"/>
                <w:lang w:val="ro-MD"/>
              </w:rPr>
            </w:pPr>
            <w:bookmarkStart w:id="206" w:name="_Hlk223011420"/>
            <w:r w:rsidRPr="00C011B2">
              <w:rPr>
                <w:rFonts w:ascii="Times New Roman" w:hAnsi="Times New Roman" w:cs="Times New Roman"/>
                <w:color w:val="000000" w:themeColor="text1"/>
                <w:lang w:val="ro-MD"/>
              </w:rPr>
              <w:lastRenderedPageBreak/>
              <w:t>229.</w:t>
            </w:r>
            <w:r w:rsidR="00936613"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calculează cuantumurile brute ale JTD pentru fiecare expunere scurtă la titluri de datorie după cum urmează:</w:t>
            </w:r>
          </w:p>
          <w:p w14:paraId="1D64CD5D"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 min {LGD V</w:t>
            </w:r>
            <w:r w:rsidRPr="00C011B2">
              <w:rPr>
                <w:rFonts w:ascii="Times New Roman" w:hAnsi="Times New Roman" w:cs="Times New Roman"/>
                <w:color w:val="000000" w:themeColor="text1"/>
                <w:vertAlign w:val="subscript"/>
                <w:lang w:val="ro-MD"/>
              </w:rPr>
              <w:t>noțională</w:t>
            </w:r>
            <w:r w:rsidRPr="00C011B2">
              <w:rPr>
                <w:rFonts w:ascii="Times New Roman" w:hAnsi="Times New Roman" w:cs="Times New Roman"/>
                <w:color w:val="000000" w:themeColor="text1"/>
                <w:lang w:val="ro-MD"/>
              </w:rPr>
              <w:t> + P&amp;L</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 Ajustare</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0}</w:t>
            </w:r>
          </w:p>
          <w:p w14:paraId="3F271D6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71" w:type="dxa"/>
              <w:tblLayout w:type="fixed"/>
              <w:tblCellMar>
                <w:left w:w="0" w:type="dxa"/>
                <w:right w:w="0" w:type="dxa"/>
              </w:tblCellMar>
              <w:tblLook w:val="04A0" w:firstRow="1" w:lastRow="0" w:firstColumn="1" w:lastColumn="0" w:noHBand="0" w:noVBand="1"/>
            </w:tblPr>
            <w:tblGrid>
              <w:gridCol w:w="754"/>
              <w:gridCol w:w="115"/>
              <w:gridCol w:w="4202"/>
            </w:tblGrid>
            <w:tr w:rsidR="00936613" w:rsidRPr="00C011B2" w14:paraId="40EDF4EF" w14:textId="77777777" w:rsidTr="001E785F">
              <w:tc>
                <w:tcPr>
                  <w:tcW w:w="754" w:type="dxa"/>
                  <w:shd w:val="clear" w:color="auto" w:fill="auto"/>
                  <w:hideMark/>
                </w:tcPr>
                <w:p w14:paraId="5A9F261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scurt</w:t>
                  </w:r>
                </w:p>
              </w:tc>
              <w:tc>
                <w:tcPr>
                  <w:tcW w:w="115" w:type="dxa"/>
                  <w:shd w:val="clear" w:color="auto" w:fill="auto"/>
                  <w:hideMark/>
                </w:tcPr>
                <w:p w14:paraId="268468D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02" w:type="dxa"/>
                  <w:shd w:val="clear" w:color="auto" w:fill="auto"/>
                  <w:hideMark/>
                </w:tcPr>
                <w:p w14:paraId="40B6D3F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scurtă;</w:t>
                  </w:r>
                </w:p>
              </w:tc>
            </w:tr>
          </w:tbl>
          <w:p w14:paraId="03DA3EA2" w14:textId="308EAC38" w:rsidR="00936613" w:rsidRPr="00C011B2" w:rsidRDefault="00936613" w:rsidP="00936613">
            <w:pPr>
              <w:spacing w:after="0" w:line="276" w:lineRule="auto"/>
              <w:jc w:val="both"/>
              <w:rPr>
                <w:rFonts w:ascii="Times New Roman" w:hAnsi="Times New Roman" w:cs="Times New Roman"/>
                <w:b/>
                <w:bCs/>
                <w:color w:val="000000" w:themeColor="text1"/>
                <w:lang w:val="ro-MD"/>
              </w:rPr>
            </w:pPr>
          </w:p>
          <w:tbl>
            <w:tblPr>
              <w:tblW w:w="5265" w:type="dxa"/>
              <w:tblLayout w:type="fixed"/>
              <w:tblCellMar>
                <w:left w:w="0" w:type="dxa"/>
                <w:right w:w="0" w:type="dxa"/>
              </w:tblCellMar>
              <w:tblLook w:val="04A0" w:firstRow="1" w:lastRow="0" w:firstColumn="1" w:lastColumn="0" w:noHBand="0" w:noVBand="1"/>
            </w:tblPr>
            <w:tblGrid>
              <w:gridCol w:w="754"/>
              <w:gridCol w:w="76"/>
              <w:gridCol w:w="4435"/>
            </w:tblGrid>
            <w:tr w:rsidR="00936613" w:rsidRPr="00C011B2" w14:paraId="2B00E486" w14:textId="77777777" w:rsidTr="001E785F">
              <w:tc>
                <w:tcPr>
                  <w:tcW w:w="754" w:type="dxa"/>
                  <w:shd w:val="clear" w:color="auto" w:fill="auto"/>
                  <w:hideMark/>
                </w:tcPr>
                <w:p w14:paraId="66A17D1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noțională</w:t>
                  </w:r>
                </w:p>
              </w:tc>
              <w:tc>
                <w:tcPr>
                  <w:tcW w:w="76" w:type="dxa"/>
                  <w:shd w:val="clear" w:color="auto" w:fill="auto"/>
                  <w:hideMark/>
                </w:tcPr>
                <w:p w14:paraId="5C494DB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5" w:type="dxa"/>
                  <w:shd w:val="clear" w:color="auto" w:fill="auto"/>
                  <w:hideMark/>
                </w:tcPr>
                <w:p w14:paraId="03388988"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noțională a instrumentului din care rezultă expunerea, care este introdusă în formulă cu semn negativ;</w:t>
                  </w:r>
                </w:p>
              </w:tc>
            </w:tr>
          </w:tbl>
          <w:p w14:paraId="5C4BB269"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25" w:type="dxa"/>
              <w:tblLayout w:type="fixed"/>
              <w:tblCellMar>
                <w:left w:w="0" w:type="dxa"/>
                <w:right w:w="0" w:type="dxa"/>
              </w:tblCellMar>
              <w:tblLook w:val="04A0" w:firstRow="1" w:lastRow="0" w:firstColumn="1" w:lastColumn="0" w:noHBand="0" w:noVBand="1"/>
            </w:tblPr>
            <w:tblGrid>
              <w:gridCol w:w="754"/>
              <w:gridCol w:w="76"/>
              <w:gridCol w:w="4395"/>
            </w:tblGrid>
            <w:tr w:rsidR="00936613" w:rsidRPr="00C011B2" w14:paraId="6400EE31" w14:textId="77777777" w:rsidTr="001E785F">
              <w:tc>
                <w:tcPr>
                  <w:tcW w:w="754" w:type="dxa"/>
                  <w:shd w:val="clear" w:color="auto" w:fill="auto"/>
                  <w:hideMark/>
                </w:tcPr>
                <w:p w14:paraId="5F084CC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5C77021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5" w:type="dxa"/>
                  <w:shd w:val="clear" w:color="auto" w:fill="auto"/>
                  <w:hideMark/>
                </w:tcPr>
                <w:p w14:paraId="5C989109" w14:textId="6C71AD25"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termen care permite ajustarea în funcție de câștigurile sau pierderile contabilizate deja de </w:t>
                  </w:r>
                  <w:r w:rsidR="00AF2492" w:rsidRPr="00C011B2">
                    <w:rPr>
                      <w:rFonts w:ascii="Times New Roman" w:hAnsi="Times New Roman" w:cs="Times New Roman"/>
                      <w:color w:val="000000" w:themeColor="text1"/>
                      <w:lang w:val="ro-MD"/>
                    </w:rPr>
                    <w:t>bancă</w:t>
                  </w:r>
                  <w:r w:rsidRPr="00C011B2">
                    <w:rPr>
                      <w:rFonts w:ascii="Times New Roman" w:hAnsi="Times New Roman" w:cs="Times New Roman"/>
                      <w:color w:val="000000" w:themeColor="text1"/>
                      <w:lang w:val="ro-MD"/>
                    </w:rPr>
                    <w:t>, cauzate de modificările valorii juste a instrumentului care creează expunerea scurtă; câștigurile sunt introduse în formulă cu semn pozitiv, iar pierderile cu semn negativ; și</w:t>
                  </w:r>
                </w:p>
              </w:tc>
            </w:tr>
          </w:tbl>
          <w:p w14:paraId="12BECB89"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94" w:type="dxa"/>
              <w:tblLayout w:type="fixed"/>
              <w:tblCellMar>
                <w:left w:w="0" w:type="dxa"/>
                <w:right w:w="0" w:type="dxa"/>
              </w:tblCellMar>
              <w:tblLook w:val="04A0" w:firstRow="1" w:lastRow="0" w:firstColumn="1" w:lastColumn="0" w:noHBand="0" w:noVBand="1"/>
            </w:tblPr>
            <w:tblGrid>
              <w:gridCol w:w="1037"/>
              <w:gridCol w:w="76"/>
              <w:gridCol w:w="4181"/>
            </w:tblGrid>
            <w:tr w:rsidR="00936613" w:rsidRPr="00C011B2" w14:paraId="30E1216A" w14:textId="77777777" w:rsidTr="001E785F">
              <w:tc>
                <w:tcPr>
                  <w:tcW w:w="1037" w:type="dxa"/>
                  <w:shd w:val="clear" w:color="auto" w:fill="auto"/>
                  <w:hideMark/>
                </w:tcPr>
                <w:p w14:paraId="3C92F24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6C666244"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81" w:type="dxa"/>
                  <w:shd w:val="clear" w:color="auto" w:fill="auto"/>
                  <w:hideMark/>
                </w:tcPr>
                <w:p w14:paraId="2ED4B2EE" w14:textId="600C453F"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cazul în care instrumentul din care rezultă expunerea este un instrument derivat, cuantumul cu care s-ar majora sau s-ar reduce </w:t>
                  </w:r>
                  <w:r w:rsidRPr="00C011B2">
                    <w:rPr>
                      <w:rFonts w:ascii="Times New Roman" w:hAnsi="Times New Roman" w:cs="Times New Roman"/>
                      <w:color w:val="000000" w:themeColor="text1"/>
                      <w:lang w:val="ro-MD"/>
                    </w:rPr>
                    <w:lastRenderedPageBreak/>
                    <w:t xml:space="preserve">câștigul obținut de </w:t>
                  </w:r>
                  <w:r w:rsidR="00AF2492"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datorită structurii instrumentului derivat în eventualitatea unei situații de nerambursare în raport cu pierderea totală aferentă instrumentului-suport; reducerile sunt introduse în formulă cu semn pozitiv, iar majorările sunt introduse în formulă cu semn negativ.</w:t>
                  </w:r>
                </w:p>
              </w:tc>
            </w:tr>
            <w:bookmarkEnd w:id="206"/>
          </w:tbl>
          <w:p w14:paraId="586678B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6E314577" w14:textId="7BE0EF8A" w:rsidR="00936613" w:rsidRPr="00C011B2" w:rsidRDefault="00E73BBA"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342C948"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1DC56AB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3E9B502"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89" w:tooltip="32019R0876: INSERTED" w:history="1">
              <w:r w:rsidR="00936613" w:rsidRPr="00C011B2">
                <w:rPr>
                  <w:rStyle w:val="Hyperlink"/>
                  <w:rFonts w:ascii="Times New Roman" w:hAnsi="Times New Roman" w:cs="Times New Roman"/>
                  <w:b/>
                  <w:bCs/>
                  <w:lang w:val="ro-MD"/>
                </w:rPr>
                <w:t>▼M8</w:t>
              </w:r>
            </w:hyperlink>
          </w:p>
          <w:p w14:paraId="3BD58A07" w14:textId="1C274ABB"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scopul efectuării calculului prevăzut la alineatele (1) și (2), LGD pentru titlurile de datorie pe care urmează să o aplice instituțiile este următoarea:</w:t>
            </w:r>
          </w:p>
          <w:p w14:paraId="16674E52" w14:textId="6BC2684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expunerilor la titluri de datorie care nu au rang superior li se atribuie o LGD de 100 %;</w:t>
            </w:r>
          </w:p>
          <w:p w14:paraId="3770BD9B" w14:textId="2742EC60"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expunerilor la titluri de datorie cu rang superior li se atribuie o LGD de 75 %;</w:t>
            </w:r>
          </w:p>
          <w:p w14:paraId="05261A30" w14:textId="012C9AFF"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expunerilor la obligațiuni garantate, astfel cum sunt menționate la articolul 129, li se atribuie o LGD de 25 %.</w:t>
            </w:r>
          </w:p>
        </w:tc>
        <w:tc>
          <w:tcPr>
            <w:tcW w:w="1692" w:type="pct"/>
            <w:shd w:val="clear" w:color="auto" w:fill="auto"/>
          </w:tcPr>
          <w:p w14:paraId="6AF49B22" w14:textId="3084CBF6" w:rsidR="00936613" w:rsidRPr="00C011B2" w:rsidRDefault="00AF2492" w:rsidP="00936613">
            <w:pPr>
              <w:spacing w:after="0" w:line="276" w:lineRule="auto"/>
              <w:jc w:val="both"/>
              <w:rPr>
                <w:rFonts w:ascii="Times New Roman" w:hAnsi="Times New Roman" w:cs="Times New Roman"/>
                <w:color w:val="000000" w:themeColor="text1"/>
                <w:lang w:val="ro-MD"/>
              </w:rPr>
            </w:pPr>
            <w:bookmarkStart w:id="207" w:name="_Hlk223014053"/>
            <w:r w:rsidRPr="00C011B2">
              <w:rPr>
                <w:rFonts w:ascii="Times New Roman" w:hAnsi="Times New Roman" w:cs="Times New Roman"/>
                <w:color w:val="000000" w:themeColor="text1"/>
                <w:lang w:val="ro-MD"/>
              </w:rPr>
              <w:t xml:space="preserve">230. </w:t>
            </w:r>
            <w:r w:rsidR="00936613" w:rsidRPr="00C011B2">
              <w:rPr>
                <w:rFonts w:ascii="Times New Roman" w:hAnsi="Times New Roman" w:cs="Times New Roman"/>
                <w:color w:val="000000" w:themeColor="text1"/>
                <w:lang w:val="ro-MD"/>
              </w:rPr>
              <w:t xml:space="preserve">În scopul efectuării calculului prevăzut la </w:t>
            </w:r>
            <w:r w:rsidRPr="00C011B2">
              <w:rPr>
                <w:rFonts w:ascii="Times New Roman" w:hAnsi="Times New Roman" w:cs="Times New Roman"/>
                <w:color w:val="000000" w:themeColor="text1"/>
                <w:lang w:val="ro-MD"/>
              </w:rPr>
              <w:t>pct.228</w:t>
            </w:r>
            <w:r w:rsidR="00936613"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229</w:t>
            </w:r>
            <w:r w:rsidR="00936613" w:rsidRPr="00C011B2">
              <w:rPr>
                <w:rFonts w:ascii="Times New Roman" w:hAnsi="Times New Roman" w:cs="Times New Roman"/>
                <w:color w:val="000000" w:themeColor="text1"/>
                <w:lang w:val="ro-MD"/>
              </w:rPr>
              <w:t xml:space="preserve">, LGD pentru titlurile de datorie pe care urmează să o aplice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este următoarea:</w:t>
            </w:r>
          </w:p>
          <w:p w14:paraId="44F0683A" w14:textId="71916BA3" w:rsidR="00936613" w:rsidRPr="00C011B2" w:rsidRDefault="00AF2492"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230.1.</w:t>
            </w:r>
            <w:r w:rsidR="00936613" w:rsidRPr="00C011B2">
              <w:rPr>
                <w:rFonts w:ascii="Times New Roman" w:hAnsi="Times New Roman" w:cs="Times New Roman"/>
                <w:color w:val="000000" w:themeColor="text1"/>
                <w:lang w:val="ro-MD"/>
              </w:rPr>
              <w:t xml:space="preserve"> expunerilor la titluri de datorie care nu au rang superior li se atribuie o LGD de 100 %;</w:t>
            </w:r>
          </w:p>
          <w:p w14:paraId="55DB6318" w14:textId="72DB5328" w:rsidR="00936613" w:rsidRPr="00C011B2" w:rsidRDefault="00AF2492"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230.2.</w:t>
            </w:r>
            <w:r w:rsidR="00936613" w:rsidRPr="00C011B2">
              <w:rPr>
                <w:rFonts w:ascii="Times New Roman" w:hAnsi="Times New Roman" w:cs="Times New Roman"/>
                <w:color w:val="000000" w:themeColor="text1"/>
                <w:lang w:val="ro-MD"/>
              </w:rPr>
              <w:t> expunerilor la titluri de datorie cu rang superior li se atribuie o LGD de 75 %;</w:t>
            </w:r>
          </w:p>
          <w:p w14:paraId="21C755A4" w14:textId="4B07A5FE" w:rsidR="00936613" w:rsidRPr="00C011B2" w:rsidRDefault="00AF2492"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230.3.</w:t>
            </w:r>
            <w:r w:rsidR="00936613" w:rsidRPr="00C011B2">
              <w:rPr>
                <w:rFonts w:ascii="Times New Roman" w:hAnsi="Times New Roman" w:cs="Times New Roman"/>
                <w:color w:val="000000" w:themeColor="text1"/>
                <w:lang w:val="ro-MD"/>
              </w:rPr>
              <w:t xml:space="preserve"> expunerilor la obligațiuni garantate, astfel cum sunt menționate la </w:t>
            </w:r>
            <w:r w:rsidR="00314B53" w:rsidRPr="00C011B2">
              <w:rPr>
                <w:rFonts w:ascii="Times New Roman" w:hAnsi="Times New Roman" w:cs="Times New Roman"/>
                <w:color w:val="000000" w:themeColor="text1"/>
                <w:lang w:val="ro-RO"/>
              </w:rPr>
              <w:t>capitolul IV secțiunea 14</w:t>
            </w:r>
            <w:r w:rsidR="00314B53" w:rsidRPr="00C011B2">
              <w:rPr>
                <w:rFonts w:ascii="Times New Roman" w:hAnsi="Times New Roman" w:cs="Times New Roman"/>
                <w:color w:val="000000" w:themeColor="text1"/>
                <w:vertAlign w:val="superscript"/>
                <w:lang w:val="ro-RO"/>
              </w:rPr>
              <w:t xml:space="preserve">2 </w:t>
            </w:r>
            <w:r w:rsidR="00314B53" w:rsidRPr="00C011B2">
              <w:rPr>
                <w:rFonts w:ascii="Times New Roman" w:hAnsi="Times New Roman" w:cs="Times New Roman"/>
                <w:color w:val="000000" w:themeColor="text1"/>
                <w:lang w:val="ro-RO"/>
              </w:rPr>
              <w:t>din Regulamentul nr.111/2018</w:t>
            </w:r>
            <w:r w:rsidR="00936613" w:rsidRPr="00C011B2">
              <w:rPr>
                <w:rFonts w:ascii="Times New Roman" w:hAnsi="Times New Roman" w:cs="Times New Roman"/>
                <w:color w:val="000000" w:themeColor="text1"/>
                <w:lang w:val="ro-MD"/>
              </w:rPr>
              <w:t>, li se atribuie o LGD de 25 %.</w:t>
            </w:r>
            <w:bookmarkEnd w:id="207"/>
          </w:p>
        </w:tc>
        <w:tc>
          <w:tcPr>
            <w:tcW w:w="450" w:type="pct"/>
          </w:tcPr>
          <w:p w14:paraId="772D42E0" w14:textId="19DCC1B7" w:rsidR="00936613" w:rsidRPr="00C011B2" w:rsidRDefault="00E73BBA"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E6B8476"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0C0EFEF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A0F577"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90" w:tooltip="32019R0876R(11): REPLACED" w:history="1">
              <w:r w:rsidR="00936613" w:rsidRPr="00C011B2">
                <w:rPr>
                  <w:rStyle w:val="Hyperlink"/>
                  <w:rFonts w:ascii="Times New Roman" w:hAnsi="Times New Roman" w:cs="Times New Roman"/>
                  <w:b/>
                  <w:bCs/>
                  <w:lang w:val="ro-MD"/>
                </w:rPr>
                <w:t>▼C7</w:t>
              </w:r>
            </w:hyperlink>
          </w:p>
          <w:p w14:paraId="5BE03825" w14:textId="24DFE95D"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scopul efectuării calculelor prevăzute la alineatele (1) și (2), valorile noționale se stabilesc după cum urmează:</w:t>
            </w:r>
          </w:p>
          <w:p w14:paraId="240DB7F4" w14:textId="3D085DC4"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 în cazul unei obligațiuni, valoarea noțională este valoarea nominală a obligațiunii;</w:t>
            </w:r>
          </w:p>
          <w:p w14:paraId="4CEC9B06" w14:textId="389C771A"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în cazul unei opțiuni put vândute pe o obligațiune, valoarea noțională este valoarea noțională a opțiunii; în cazul unei opțiuni call cumpărate pe o obligațiune, valoarea noțională este 0.</w:t>
            </w:r>
          </w:p>
        </w:tc>
        <w:tc>
          <w:tcPr>
            <w:tcW w:w="1692" w:type="pct"/>
            <w:shd w:val="clear" w:color="auto" w:fill="auto"/>
          </w:tcPr>
          <w:p w14:paraId="66AA8DF2" w14:textId="1D40F6BF" w:rsidR="00936613" w:rsidRPr="00C011B2" w:rsidRDefault="00AF2492" w:rsidP="00936613">
            <w:pPr>
              <w:spacing w:after="0" w:line="276" w:lineRule="auto"/>
              <w:jc w:val="both"/>
              <w:rPr>
                <w:rFonts w:ascii="Times New Roman" w:hAnsi="Times New Roman" w:cs="Times New Roman"/>
                <w:color w:val="000000" w:themeColor="text1"/>
                <w:lang w:val="ro-MD"/>
              </w:rPr>
            </w:pPr>
            <w:bookmarkStart w:id="208" w:name="_Hlk223014094"/>
            <w:r w:rsidRPr="00C011B2">
              <w:rPr>
                <w:rFonts w:ascii="Times New Roman" w:hAnsi="Times New Roman" w:cs="Times New Roman"/>
                <w:color w:val="000000" w:themeColor="text1"/>
                <w:lang w:val="ro-MD"/>
              </w:rPr>
              <w:lastRenderedPageBreak/>
              <w:t>231.</w:t>
            </w:r>
            <w:r w:rsidR="00936613" w:rsidRPr="00C011B2">
              <w:rPr>
                <w:rFonts w:ascii="Times New Roman" w:hAnsi="Times New Roman" w:cs="Times New Roman"/>
                <w:color w:val="000000" w:themeColor="text1"/>
                <w:lang w:val="ro-MD"/>
              </w:rPr>
              <w:t xml:space="preserve">   În scopul efectuării calculelor prevăzute la </w:t>
            </w:r>
            <w:r w:rsidRPr="00C011B2">
              <w:rPr>
                <w:rFonts w:ascii="Times New Roman" w:hAnsi="Times New Roman" w:cs="Times New Roman"/>
                <w:color w:val="000000" w:themeColor="text1"/>
                <w:lang w:val="ro-MD"/>
              </w:rPr>
              <w:t>pct.228</w:t>
            </w:r>
            <w:r w:rsidR="00936613"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229</w:t>
            </w:r>
            <w:r w:rsidR="00936613" w:rsidRPr="00C011B2">
              <w:rPr>
                <w:rFonts w:ascii="Times New Roman" w:hAnsi="Times New Roman" w:cs="Times New Roman"/>
                <w:color w:val="000000" w:themeColor="text1"/>
                <w:lang w:val="ro-MD"/>
              </w:rPr>
              <w:t>, valorile noționale se stabilesc după cum urmează:</w:t>
            </w:r>
          </w:p>
          <w:p w14:paraId="381475A0" w14:textId="6046AF36" w:rsidR="00936613" w:rsidRPr="00C011B2" w:rsidRDefault="00AF2492"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231.1.</w:t>
            </w:r>
            <w:r w:rsidR="00936613" w:rsidRPr="00C011B2">
              <w:rPr>
                <w:rFonts w:ascii="Times New Roman" w:hAnsi="Times New Roman" w:cs="Times New Roman"/>
                <w:color w:val="000000" w:themeColor="text1"/>
                <w:lang w:val="ro-MD"/>
              </w:rPr>
              <w:t> în cazul unei obligațiuni, valoarea noțională este valoarea nominală a obligațiunii;</w:t>
            </w:r>
          </w:p>
          <w:p w14:paraId="2C0420DA" w14:textId="12BCA2CE" w:rsidR="00936613" w:rsidRPr="00C011B2" w:rsidRDefault="00AF2492"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231.2.</w:t>
            </w:r>
            <w:r w:rsidR="00936613" w:rsidRPr="00C011B2">
              <w:rPr>
                <w:rFonts w:ascii="Times New Roman" w:hAnsi="Times New Roman" w:cs="Times New Roman"/>
                <w:color w:val="000000" w:themeColor="text1"/>
                <w:lang w:val="ro-MD"/>
              </w:rPr>
              <w:t> în cazul unei opțiuni put vândute pe o obligațiune, valoarea noțională este valoarea noțională a opțiunii; în cazul unei opțiuni call cumpărate pe o obligațiune, valoarea noțională este 0.</w:t>
            </w:r>
            <w:bookmarkEnd w:id="208"/>
          </w:p>
        </w:tc>
        <w:tc>
          <w:tcPr>
            <w:tcW w:w="450" w:type="pct"/>
          </w:tcPr>
          <w:p w14:paraId="356D25B6" w14:textId="7D52BE8E" w:rsidR="00936613" w:rsidRPr="00C011B2" w:rsidRDefault="00E73BBA"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74C7AC7"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2700F31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363D67" w14:textId="4A3FE672"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În cazul expunerilor la titluri de capital, instituțiile nu calculează cuantumurile brute ale JTD după cum urmează:</w:t>
            </w:r>
          </w:p>
          <w:p w14:paraId="17DE5EC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JTDlung=max LGD •Vnoțională +P&amp;Llung+Ajustarelung;0</w:t>
            </w:r>
          </w:p>
          <w:p w14:paraId="48E6C14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JTDscurt=min LGD •Vnoțională+P&amp;Lscurt+Ajustarescurt;0</w:t>
            </w:r>
          </w:p>
          <w:p w14:paraId="5791711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88" w:type="dxa"/>
              <w:tblLayout w:type="fixed"/>
              <w:tblCellMar>
                <w:left w:w="0" w:type="dxa"/>
                <w:right w:w="0" w:type="dxa"/>
              </w:tblCellMar>
              <w:tblLook w:val="04A0" w:firstRow="1" w:lastRow="0" w:firstColumn="1" w:lastColumn="0" w:noHBand="0" w:noVBand="1"/>
            </w:tblPr>
            <w:tblGrid>
              <w:gridCol w:w="754"/>
              <w:gridCol w:w="117"/>
              <w:gridCol w:w="4217"/>
            </w:tblGrid>
            <w:tr w:rsidR="00936613" w:rsidRPr="00C011B2" w14:paraId="3098BF9C" w14:textId="77777777" w:rsidTr="00FA1D20">
              <w:tc>
                <w:tcPr>
                  <w:tcW w:w="754" w:type="dxa"/>
                  <w:shd w:val="clear" w:color="auto" w:fill="auto"/>
                  <w:hideMark/>
                </w:tcPr>
                <w:p w14:paraId="01AD922D"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lung</w:t>
                  </w:r>
                </w:p>
              </w:tc>
              <w:tc>
                <w:tcPr>
                  <w:tcW w:w="117" w:type="dxa"/>
                  <w:shd w:val="clear" w:color="auto" w:fill="auto"/>
                  <w:hideMark/>
                </w:tcPr>
                <w:p w14:paraId="7ACD68A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17" w:type="dxa"/>
                  <w:shd w:val="clear" w:color="auto" w:fill="auto"/>
                  <w:hideMark/>
                </w:tcPr>
                <w:p w14:paraId="3534406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lungă;</w:t>
                  </w:r>
                </w:p>
              </w:tc>
            </w:tr>
          </w:tbl>
          <w:p w14:paraId="6EFBA2FA"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407" w:type="dxa"/>
              <w:tblLayout w:type="fixed"/>
              <w:tblCellMar>
                <w:left w:w="0" w:type="dxa"/>
                <w:right w:w="0" w:type="dxa"/>
              </w:tblCellMar>
              <w:tblLook w:val="04A0" w:firstRow="1" w:lastRow="0" w:firstColumn="1" w:lastColumn="0" w:noHBand="0" w:noVBand="1"/>
            </w:tblPr>
            <w:tblGrid>
              <w:gridCol w:w="896"/>
              <w:gridCol w:w="76"/>
              <w:gridCol w:w="4435"/>
            </w:tblGrid>
            <w:tr w:rsidR="00936613" w:rsidRPr="00C011B2" w14:paraId="04236F7A" w14:textId="77777777" w:rsidTr="00FA1D20">
              <w:tc>
                <w:tcPr>
                  <w:tcW w:w="896" w:type="dxa"/>
                  <w:shd w:val="clear" w:color="auto" w:fill="auto"/>
                  <w:hideMark/>
                </w:tcPr>
                <w:p w14:paraId="46A852D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noțională</w:t>
                  </w:r>
                </w:p>
              </w:tc>
              <w:tc>
                <w:tcPr>
                  <w:tcW w:w="76" w:type="dxa"/>
                  <w:shd w:val="clear" w:color="auto" w:fill="auto"/>
                  <w:hideMark/>
                </w:tcPr>
                <w:p w14:paraId="427E21D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5" w:type="dxa"/>
                  <w:shd w:val="clear" w:color="auto" w:fill="auto"/>
                  <w:hideMark/>
                </w:tcPr>
                <w:p w14:paraId="7BE465D4"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noțională a instrumentului din care rezultă expunerea; valoarea noțională este valoarea justă a titlului de capital pentru instrumente de capital în numerar; pentru formula JTD</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valoarea noțională a instrumentului este introdusă în formulă cu semn negativ;</w:t>
                  </w:r>
                </w:p>
              </w:tc>
            </w:tr>
          </w:tbl>
          <w:p w14:paraId="5E785FBA"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42" w:type="dxa"/>
              <w:tblLayout w:type="fixed"/>
              <w:tblCellMar>
                <w:left w:w="0" w:type="dxa"/>
                <w:right w:w="0" w:type="dxa"/>
              </w:tblCellMar>
              <w:tblLook w:val="04A0" w:firstRow="1" w:lastRow="0" w:firstColumn="1" w:lastColumn="0" w:noHBand="0" w:noVBand="1"/>
            </w:tblPr>
            <w:tblGrid>
              <w:gridCol w:w="754"/>
              <w:gridCol w:w="76"/>
              <w:gridCol w:w="4412"/>
            </w:tblGrid>
            <w:tr w:rsidR="00936613" w:rsidRPr="00C011B2" w14:paraId="61BED8C9" w14:textId="77777777" w:rsidTr="00FA1D20">
              <w:tc>
                <w:tcPr>
                  <w:tcW w:w="754" w:type="dxa"/>
                  <w:shd w:val="clear" w:color="auto" w:fill="auto"/>
                  <w:hideMark/>
                </w:tcPr>
                <w:p w14:paraId="4AFD5C8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74D48255"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1798F36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termen care permite ajustarea în funcție de câștigurile sau pierderile contabilizate deja de instituție, cauzate de modificările valorii juste a </w:t>
                  </w:r>
                  <w:r w:rsidRPr="00C011B2">
                    <w:rPr>
                      <w:rFonts w:ascii="Times New Roman" w:hAnsi="Times New Roman" w:cs="Times New Roman"/>
                      <w:color w:val="000000" w:themeColor="text1"/>
                      <w:lang w:val="ro-MD"/>
                    </w:rPr>
                    <w:lastRenderedPageBreak/>
                    <w:t>instrumentului care creează expunerea lungă; câștigurile sunt introduse în formulă cu semn pozitiv, iar pierderile sunt introduse în formulă cu semn negativ;</w:t>
                  </w:r>
                </w:p>
              </w:tc>
            </w:tr>
          </w:tbl>
          <w:p w14:paraId="718F8875"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311" w:type="dxa"/>
              <w:tblLayout w:type="fixed"/>
              <w:tblCellMar>
                <w:left w:w="0" w:type="dxa"/>
                <w:right w:w="0" w:type="dxa"/>
              </w:tblCellMar>
              <w:tblLook w:val="04A0" w:firstRow="1" w:lastRow="0" w:firstColumn="1" w:lastColumn="0" w:noHBand="0" w:noVBand="1"/>
            </w:tblPr>
            <w:tblGrid>
              <w:gridCol w:w="1037"/>
              <w:gridCol w:w="76"/>
              <w:gridCol w:w="4198"/>
            </w:tblGrid>
            <w:tr w:rsidR="00936613" w:rsidRPr="00C011B2" w14:paraId="4C87616E" w14:textId="77777777" w:rsidTr="00FA1D20">
              <w:tc>
                <w:tcPr>
                  <w:tcW w:w="1037" w:type="dxa"/>
                  <w:shd w:val="clear" w:color="auto" w:fill="auto"/>
                  <w:hideMark/>
                </w:tcPr>
                <w:p w14:paraId="2A72F0DC"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168EE13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98" w:type="dxa"/>
                  <w:shd w:val="clear" w:color="auto" w:fill="auto"/>
                  <w:hideMark/>
                </w:tcPr>
                <w:p w14:paraId="0263DFA5"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cuantumul cu care s-ar majora sau s-ar reduce pierderea suferită de instituție din cauza structurii instrumentului derivat în eventualitatea unei situații de nerambursare în raport cu pierderea totală aferentă instrumentului suport; majorările sunt introduse în formulă cu semn pozitiv, iar reducerile sunt introduse în formulă cu semn negativ;</w:t>
                  </w:r>
                </w:p>
              </w:tc>
            </w:tr>
          </w:tbl>
          <w:p w14:paraId="00B1A46A"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13" w:type="dxa"/>
              <w:tblLayout w:type="fixed"/>
              <w:tblCellMar>
                <w:left w:w="0" w:type="dxa"/>
                <w:right w:w="0" w:type="dxa"/>
              </w:tblCellMar>
              <w:tblLook w:val="04A0" w:firstRow="1" w:lastRow="0" w:firstColumn="1" w:lastColumn="0" w:noHBand="0" w:noVBand="1"/>
            </w:tblPr>
            <w:tblGrid>
              <w:gridCol w:w="896"/>
              <w:gridCol w:w="115"/>
              <w:gridCol w:w="4202"/>
            </w:tblGrid>
            <w:tr w:rsidR="00936613" w:rsidRPr="00C011B2" w14:paraId="275F513D" w14:textId="77777777" w:rsidTr="00FA1D20">
              <w:tc>
                <w:tcPr>
                  <w:tcW w:w="896" w:type="dxa"/>
                  <w:shd w:val="clear" w:color="auto" w:fill="auto"/>
                  <w:hideMark/>
                </w:tcPr>
                <w:p w14:paraId="39FD2CC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scurt</w:t>
                  </w:r>
                </w:p>
              </w:tc>
              <w:tc>
                <w:tcPr>
                  <w:tcW w:w="115" w:type="dxa"/>
                  <w:shd w:val="clear" w:color="auto" w:fill="auto"/>
                  <w:hideMark/>
                </w:tcPr>
                <w:p w14:paraId="40AAD56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02" w:type="dxa"/>
                  <w:shd w:val="clear" w:color="auto" w:fill="auto"/>
                  <w:hideMark/>
                </w:tcPr>
                <w:p w14:paraId="74CAE92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scurtă;</w:t>
                  </w:r>
                </w:p>
              </w:tc>
            </w:tr>
          </w:tbl>
          <w:p w14:paraId="0EBC6382"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25" w:type="dxa"/>
              <w:tblLayout w:type="fixed"/>
              <w:tblCellMar>
                <w:left w:w="0" w:type="dxa"/>
                <w:right w:w="0" w:type="dxa"/>
              </w:tblCellMar>
              <w:tblLook w:val="04A0" w:firstRow="1" w:lastRow="0" w:firstColumn="1" w:lastColumn="0" w:noHBand="0" w:noVBand="1"/>
            </w:tblPr>
            <w:tblGrid>
              <w:gridCol w:w="754"/>
              <w:gridCol w:w="76"/>
              <w:gridCol w:w="4395"/>
            </w:tblGrid>
            <w:tr w:rsidR="00936613" w:rsidRPr="00C011B2" w14:paraId="406368AB" w14:textId="77777777" w:rsidTr="00FA1D20">
              <w:tc>
                <w:tcPr>
                  <w:tcW w:w="754" w:type="dxa"/>
                  <w:shd w:val="clear" w:color="auto" w:fill="auto"/>
                  <w:hideMark/>
                </w:tcPr>
                <w:p w14:paraId="6C423D9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444232CF"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5" w:type="dxa"/>
                  <w:shd w:val="clear" w:color="auto" w:fill="auto"/>
                  <w:hideMark/>
                </w:tcPr>
                <w:p w14:paraId="3AA3FE6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termen care permite ajustarea în funcție de câștigurile sau pierderile contabilizate deja de instituție, cauzate de modificările valorii juste a instrumentului care creează expunerea scurtă; câștigurile sunt introduse în formulă cu semn pozitiv, iar pierderile sunt introduse în formulă cu semn negativ; și</w:t>
                  </w:r>
                </w:p>
              </w:tc>
            </w:tr>
          </w:tbl>
          <w:p w14:paraId="40B34B40"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94" w:type="dxa"/>
              <w:tblLayout w:type="fixed"/>
              <w:tblCellMar>
                <w:left w:w="0" w:type="dxa"/>
                <w:right w:w="0" w:type="dxa"/>
              </w:tblCellMar>
              <w:tblLook w:val="04A0" w:firstRow="1" w:lastRow="0" w:firstColumn="1" w:lastColumn="0" w:noHBand="0" w:noVBand="1"/>
            </w:tblPr>
            <w:tblGrid>
              <w:gridCol w:w="1037"/>
              <w:gridCol w:w="76"/>
              <w:gridCol w:w="4181"/>
            </w:tblGrid>
            <w:tr w:rsidR="00936613" w:rsidRPr="00C011B2" w14:paraId="11DF744B" w14:textId="77777777" w:rsidTr="00FA1D20">
              <w:tc>
                <w:tcPr>
                  <w:tcW w:w="1037" w:type="dxa"/>
                  <w:shd w:val="clear" w:color="auto" w:fill="auto"/>
                  <w:hideMark/>
                </w:tcPr>
                <w:p w14:paraId="395ABC0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68EB3F7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81" w:type="dxa"/>
                  <w:shd w:val="clear" w:color="auto" w:fill="auto"/>
                  <w:hideMark/>
                </w:tcPr>
                <w:p w14:paraId="23EE8E8D"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cuantumul cu care s-ar majora sau s-ar reduce câștigul obținut de instituție datorită structurii instrumentului derivat în eventualitatea unei situații de nerambursare în raport cu pierderea </w:t>
                  </w:r>
                  <w:r w:rsidRPr="00C011B2">
                    <w:rPr>
                      <w:rFonts w:ascii="Times New Roman" w:hAnsi="Times New Roman" w:cs="Times New Roman"/>
                      <w:color w:val="000000" w:themeColor="text1"/>
                      <w:lang w:val="ro-MD"/>
                    </w:rPr>
                    <w:lastRenderedPageBreak/>
                    <w:t>totală aferentă instrumentului-suport; reducerile sunt introduse în formulă cu semn pozitiv, iar majorările sunt introduse în formulă cu semn negativ.</w:t>
                  </w:r>
                </w:p>
              </w:tc>
            </w:tr>
          </w:tbl>
          <w:p w14:paraId="035F129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5A2A925C" w14:textId="5B811C01" w:rsidR="00936613" w:rsidRPr="00C011B2" w:rsidRDefault="00AF2492" w:rsidP="00936613">
            <w:pPr>
              <w:spacing w:after="0" w:line="276" w:lineRule="auto"/>
              <w:jc w:val="both"/>
              <w:rPr>
                <w:rFonts w:ascii="Times New Roman" w:hAnsi="Times New Roman" w:cs="Times New Roman"/>
                <w:color w:val="000000" w:themeColor="text1"/>
                <w:lang w:val="ro-MD"/>
              </w:rPr>
            </w:pPr>
            <w:bookmarkStart w:id="209" w:name="_Hlk223014132"/>
            <w:r w:rsidRPr="00C011B2">
              <w:rPr>
                <w:rFonts w:ascii="Times New Roman" w:hAnsi="Times New Roman" w:cs="Times New Roman"/>
                <w:color w:val="000000" w:themeColor="text1"/>
                <w:lang w:val="ro-MD"/>
              </w:rPr>
              <w:lastRenderedPageBreak/>
              <w:t>232.</w:t>
            </w:r>
            <w:r w:rsidR="00936613" w:rsidRPr="00C011B2">
              <w:rPr>
                <w:rFonts w:ascii="Times New Roman" w:hAnsi="Times New Roman" w:cs="Times New Roman"/>
                <w:color w:val="000000" w:themeColor="text1"/>
                <w:lang w:val="ro-MD"/>
              </w:rPr>
              <w:t xml:space="preserve">   În cazul expunerilor la titluri de capital,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calculează cuantumurile brute ale JTD după cum urmează:</w:t>
            </w:r>
          </w:p>
          <w:p w14:paraId="2E3DC8E9"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JTDlung=max LGD •Vnoțională +P&amp;Llung+Ajustarelung;0</w:t>
            </w:r>
          </w:p>
          <w:p w14:paraId="1351654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JTDscurt=min LGD •Vnoțională+P&amp;Lscurt+Ajustarescurt;0</w:t>
            </w:r>
          </w:p>
          <w:p w14:paraId="34A7AF2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88" w:type="dxa"/>
              <w:tblLayout w:type="fixed"/>
              <w:tblCellMar>
                <w:left w:w="0" w:type="dxa"/>
                <w:right w:w="0" w:type="dxa"/>
              </w:tblCellMar>
              <w:tblLook w:val="04A0" w:firstRow="1" w:lastRow="0" w:firstColumn="1" w:lastColumn="0" w:noHBand="0" w:noVBand="1"/>
            </w:tblPr>
            <w:tblGrid>
              <w:gridCol w:w="754"/>
              <w:gridCol w:w="117"/>
              <w:gridCol w:w="4217"/>
            </w:tblGrid>
            <w:tr w:rsidR="00936613" w:rsidRPr="00C011B2" w14:paraId="1D575CC9" w14:textId="77777777" w:rsidTr="001E785F">
              <w:tc>
                <w:tcPr>
                  <w:tcW w:w="754" w:type="dxa"/>
                  <w:shd w:val="clear" w:color="auto" w:fill="auto"/>
                  <w:hideMark/>
                </w:tcPr>
                <w:p w14:paraId="1FF690B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lung</w:t>
                  </w:r>
                </w:p>
              </w:tc>
              <w:tc>
                <w:tcPr>
                  <w:tcW w:w="117" w:type="dxa"/>
                  <w:shd w:val="clear" w:color="auto" w:fill="auto"/>
                  <w:hideMark/>
                </w:tcPr>
                <w:p w14:paraId="511B268E"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17" w:type="dxa"/>
                  <w:shd w:val="clear" w:color="auto" w:fill="auto"/>
                  <w:hideMark/>
                </w:tcPr>
                <w:p w14:paraId="19A30083"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lungă;</w:t>
                  </w:r>
                </w:p>
              </w:tc>
            </w:tr>
          </w:tbl>
          <w:p w14:paraId="3B8F5187"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407" w:type="dxa"/>
              <w:tblLayout w:type="fixed"/>
              <w:tblCellMar>
                <w:left w:w="0" w:type="dxa"/>
                <w:right w:w="0" w:type="dxa"/>
              </w:tblCellMar>
              <w:tblLook w:val="04A0" w:firstRow="1" w:lastRow="0" w:firstColumn="1" w:lastColumn="0" w:noHBand="0" w:noVBand="1"/>
            </w:tblPr>
            <w:tblGrid>
              <w:gridCol w:w="896"/>
              <w:gridCol w:w="76"/>
              <w:gridCol w:w="4435"/>
            </w:tblGrid>
            <w:tr w:rsidR="00936613" w:rsidRPr="00C011B2" w14:paraId="6D611D1B" w14:textId="77777777" w:rsidTr="001E785F">
              <w:tc>
                <w:tcPr>
                  <w:tcW w:w="896" w:type="dxa"/>
                  <w:shd w:val="clear" w:color="auto" w:fill="auto"/>
                  <w:hideMark/>
                </w:tcPr>
                <w:p w14:paraId="04377EF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w:t>
                  </w:r>
                  <w:r w:rsidRPr="00C011B2">
                    <w:rPr>
                      <w:rFonts w:ascii="Times New Roman" w:hAnsi="Times New Roman" w:cs="Times New Roman"/>
                      <w:color w:val="000000" w:themeColor="text1"/>
                      <w:vertAlign w:val="subscript"/>
                      <w:lang w:val="ro-MD"/>
                    </w:rPr>
                    <w:t>noțională</w:t>
                  </w:r>
                </w:p>
              </w:tc>
              <w:tc>
                <w:tcPr>
                  <w:tcW w:w="76" w:type="dxa"/>
                  <w:shd w:val="clear" w:color="auto" w:fill="auto"/>
                  <w:hideMark/>
                </w:tcPr>
                <w:p w14:paraId="600E71D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5" w:type="dxa"/>
                  <w:shd w:val="clear" w:color="auto" w:fill="auto"/>
                  <w:hideMark/>
                </w:tcPr>
                <w:p w14:paraId="25313F9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noțională a instrumentului din care rezultă expunerea; valoarea noțională este valoarea justă a titlului de capital pentru instrumente de capital în numerar; pentru formula JTD</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valoarea noțională a instrumentului este introdusă în formulă cu semn negativ;</w:t>
                  </w:r>
                </w:p>
              </w:tc>
            </w:tr>
          </w:tbl>
          <w:p w14:paraId="41A676D1"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42" w:type="dxa"/>
              <w:tblLayout w:type="fixed"/>
              <w:tblCellMar>
                <w:left w:w="0" w:type="dxa"/>
                <w:right w:w="0" w:type="dxa"/>
              </w:tblCellMar>
              <w:tblLook w:val="04A0" w:firstRow="1" w:lastRow="0" w:firstColumn="1" w:lastColumn="0" w:noHBand="0" w:noVBand="1"/>
            </w:tblPr>
            <w:tblGrid>
              <w:gridCol w:w="754"/>
              <w:gridCol w:w="76"/>
              <w:gridCol w:w="4412"/>
            </w:tblGrid>
            <w:tr w:rsidR="00936613" w:rsidRPr="00C011B2" w14:paraId="39F52172" w14:textId="77777777" w:rsidTr="001E785F">
              <w:tc>
                <w:tcPr>
                  <w:tcW w:w="754" w:type="dxa"/>
                  <w:shd w:val="clear" w:color="auto" w:fill="auto"/>
                  <w:hideMark/>
                </w:tcPr>
                <w:p w14:paraId="2A28F9E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0107114C"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12" w:type="dxa"/>
                  <w:shd w:val="clear" w:color="auto" w:fill="auto"/>
                  <w:hideMark/>
                </w:tcPr>
                <w:p w14:paraId="072F3AF3" w14:textId="031C3DAA"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termen care permite ajustarea în funcție de câștigurile sau pierderile contabilizate deja de </w:t>
                  </w:r>
                  <w:r w:rsidR="00FE380B" w:rsidRPr="00C011B2">
                    <w:rPr>
                      <w:rFonts w:ascii="Times New Roman" w:hAnsi="Times New Roman" w:cs="Times New Roman"/>
                      <w:color w:val="000000" w:themeColor="text1"/>
                      <w:lang w:val="ro-MD"/>
                    </w:rPr>
                    <w:t>bancă</w:t>
                  </w:r>
                  <w:r w:rsidRPr="00C011B2">
                    <w:rPr>
                      <w:rFonts w:ascii="Times New Roman" w:hAnsi="Times New Roman" w:cs="Times New Roman"/>
                      <w:color w:val="000000" w:themeColor="text1"/>
                      <w:lang w:val="ro-MD"/>
                    </w:rPr>
                    <w:t xml:space="preserve">, cauzate de modificările valorii juste a instrumentului care creează expunerea lungă; </w:t>
                  </w:r>
                  <w:r w:rsidRPr="00C011B2">
                    <w:rPr>
                      <w:rFonts w:ascii="Times New Roman" w:hAnsi="Times New Roman" w:cs="Times New Roman"/>
                      <w:color w:val="000000" w:themeColor="text1"/>
                      <w:lang w:val="ro-MD"/>
                    </w:rPr>
                    <w:lastRenderedPageBreak/>
                    <w:t>câștigurile sunt introduse în formulă cu semn pozitiv, iar pierderile sunt introduse în formulă cu semn negativ;</w:t>
                  </w:r>
                </w:p>
              </w:tc>
            </w:tr>
          </w:tbl>
          <w:p w14:paraId="0C10D4FE"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311" w:type="dxa"/>
              <w:tblLayout w:type="fixed"/>
              <w:tblCellMar>
                <w:left w:w="0" w:type="dxa"/>
                <w:right w:w="0" w:type="dxa"/>
              </w:tblCellMar>
              <w:tblLook w:val="04A0" w:firstRow="1" w:lastRow="0" w:firstColumn="1" w:lastColumn="0" w:noHBand="0" w:noVBand="1"/>
            </w:tblPr>
            <w:tblGrid>
              <w:gridCol w:w="1037"/>
              <w:gridCol w:w="76"/>
              <w:gridCol w:w="4198"/>
            </w:tblGrid>
            <w:tr w:rsidR="00936613" w:rsidRPr="00C011B2" w14:paraId="416726AA" w14:textId="77777777" w:rsidTr="001E785F">
              <w:tc>
                <w:tcPr>
                  <w:tcW w:w="1037" w:type="dxa"/>
                  <w:shd w:val="clear" w:color="auto" w:fill="auto"/>
                  <w:hideMark/>
                </w:tcPr>
                <w:p w14:paraId="7CC7C37A"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lung</w:t>
                  </w:r>
                </w:p>
              </w:tc>
              <w:tc>
                <w:tcPr>
                  <w:tcW w:w="76" w:type="dxa"/>
                  <w:shd w:val="clear" w:color="auto" w:fill="auto"/>
                  <w:hideMark/>
                </w:tcPr>
                <w:p w14:paraId="16A309CC"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98" w:type="dxa"/>
                  <w:shd w:val="clear" w:color="auto" w:fill="auto"/>
                  <w:hideMark/>
                </w:tcPr>
                <w:p w14:paraId="07BB8EEF" w14:textId="6D765A6D"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cuantumul cu care s-ar majora sau s-ar reduce pierderea suferită de </w:t>
                  </w:r>
                  <w:r w:rsidR="00FE380B"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din cauza structurii instrumentului derivat în eventualitatea unei situații de nerambursare în raport cu pierderea totală aferentă instrumentului suport; majorările sunt introduse în formulă cu semn pozitiv, iar reducerile sunt introduse în formulă cu semn negativ;</w:t>
                  </w:r>
                </w:p>
              </w:tc>
            </w:tr>
          </w:tbl>
          <w:p w14:paraId="2D43184F"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13" w:type="dxa"/>
              <w:tblLayout w:type="fixed"/>
              <w:tblCellMar>
                <w:left w:w="0" w:type="dxa"/>
                <w:right w:w="0" w:type="dxa"/>
              </w:tblCellMar>
              <w:tblLook w:val="04A0" w:firstRow="1" w:lastRow="0" w:firstColumn="1" w:lastColumn="0" w:noHBand="0" w:noVBand="1"/>
            </w:tblPr>
            <w:tblGrid>
              <w:gridCol w:w="896"/>
              <w:gridCol w:w="115"/>
              <w:gridCol w:w="4202"/>
            </w:tblGrid>
            <w:tr w:rsidR="00936613" w:rsidRPr="00C011B2" w14:paraId="385F10DB" w14:textId="77777777" w:rsidTr="001E785F">
              <w:tc>
                <w:tcPr>
                  <w:tcW w:w="896" w:type="dxa"/>
                  <w:shd w:val="clear" w:color="auto" w:fill="auto"/>
                  <w:hideMark/>
                </w:tcPr>
                <w:p w14:paraId="02084C4B"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JTD</w:t>
                  </w:r>
                  <w:r w:rsidRPr="00C011B2">
                    <w:rPr>
                      <w:rFonts w:ascii="Times New Roman" w:hAnsi="Times New Roman" w:cs="Times New Roman"/>
                      <w:color w:val="000000" w:themeColor="text1"/>
                      <w:vertAlign w:val="subscript"/>
                      <w:lang w:val="ro-MD"/>
                    </w:rPr>
                    <w:t>scurt</w:t>
                  </w:r>
                </w:p>
              </w:tc>
              <w:tc>
                <w:tcPr>
                  <w:tcW w:w="115" w:type="dxa"/>
                  <w:shd w:val="clear" w:color="auto" w:fill="auto"/>
                  <w:hideMark/>
                </w:tcPr>
                <w:p w14:paraId="13639890"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02" w:type="dxa"/>
                  <w:shd w:val="clear" w:color="auto" w:fill="auto"/>
                  <w:hideMark/>
                </w:tcPr>
                <w:p w14:paraId="6EE0927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brute ale JTD pentru expunere scurtă;</w:t>
                  </w:r>
                </w:p>
              </w:tc>
            </w:tr>
          </w:tbl>
          <w:p w14:paraId="32167BB3"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25" w:type="dxa"/>
              <w:tblLayout w:type="fixed"/>
              <w:tblCellMar>
                <w:left w:w="0" w:type="dxa"/>
                <w:right w:w="0" w:type="dxa"/>
              </w:tblCellMar>
              <w:tblLook w:val="04A0" w:firstRow="1" w:lastRow="0" w:firstColumn="1" w:lastColumn="0" w:noHBand="0" w:noVBand="1"/>
            </w:tblPr>
            <w:tblGrid>
              <w:gridCol w:w="754"/>
              <w:gridCol w:w="76"/>
              <w:gridCol w:w="4395"/>
            </w:tblGrid>
            <w:tr w:rsidR="00936613" w:rsidRPr="00C011B2" w14:paraId="5A987472" w14:textId="77777777" w:rsidTr="001E785F">
              <w:tc>
                <w:tcPr>
                  <w:tcW w:w="754" w:type="dxa"/>
                  <w:shd w:val="clear" w:color="auto" w:fill="auto"/>
                  <w:hideMark/>
                </w:tcPr>
                <w:p w14:paraId="23944936"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P&amp;L</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0AC96587"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5" w:type="dxa"/>
                  <w:shd w:val="clear" w:color="auto" w:fill="auto"/>
                  <w:hideMark/>
                </w:tcPr>
                <w:p w14:paraId="6B489567" w14:textId="7078063A"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termen care permite ajustarea în funcție de câștigurile sau pierderile contabilizate deja de </w:t>
                  </w:r>
                  <w:r w:rsidR="00FE380B" w:rsidRPr="00C011B2">
                    <w:rPr>
                      <w:rFonts w:ascii="Times New Roman" w:hAnsi="Times New Roman" w:cs="Times New Roman"/>
                      <w:color w:val="000000" w:themeColor="text1"/>
                      <w:lang w:val="ro-MD"/>
                    </w:rPr>
                    <w:t>bancă</w:t>
                  </w:r>
                  <w:r w:rsidRPr="00C011B2">
                    <w:rPr>
                      <w:rFonts w:ascii="Times New Roman" w:hAnsi="Times New Roman" w:cs="Times New Roman"/>
                      <w:color w:val="000000" w:themeColor="text1"/>
                      <w:lang w:val="ro-MD"/>
                    </w:rPr>
                    <w:t>, cauzate de modificările valorii juste a instrumentului care creează expunerea scurtă; câștigurile sunt introduse în formulă cu semn pozitiv, iar pierderile sunt introduse în formulă cu semn negativ; și</w:t>
                  </w:r>
                </w:p>
              </w:tc>
            </w:tr>
          </w:tbl>
          <w:p w14:paraId="25B82623" w14:textId="77777777" w:rsidR="00936613" w:rsidRPr="00C011B2" w:rsidRDefault="00936613" w:rsidP="00936613">
            <w:pPr>
              <w:spacing w:after="0" w:line="276" w:lineRule="auto"/>
              <w:jc w:val="both"/>
              <w:rPr>
                <w:rFonts w:ascii="Times New Roman" w:hAnsi="Times New Roman" w:cs="Times New Roman"/>
                <w:vanish/>
                <w:color w:val="000000" w:themeColor="text1"/>
                <w:lang w:val="ro-MD"/>
              </w:rPr>
            </w:pPr>
          </w:p>
          <w:tbl>
            <w:tblPr>
              <w:tblW w:w="5294" w:type="dxa"/>
              <w:tblLayout w:type="fixed"/>
              <w:tblCellMar>
                <w:left w:w="0" w:type="dxa"/>
                <w:right w:w="0" w:type="dxa"/>
              </w:tblCellMar>
              <w:tblLook w:val="04A0" w:firstRow="1" w:lastRow="0" w:firstColumn="1" w:lastColumn="0" w:noHBand="0" w:noVBand="1"/>
            </w:tblPr>
            <w:tblGrid>
              <w:gridCol w:w="1037"/>
              <w:gridCol w:w="76"/>
              <w:gridCol w:w="4181"/>
            </w:tblGrid>
            <w:tr w:rsidR="00936613" w:rsidRPr="00C011B2" w14:paraId="224F2EC1" w14:textId="77777777" w:rsidTr="001E785F">
              <w:tc>
                <w:tcPr>
                  <w:tcW w:w="1037" w:type="dxa"/>
                  <w:shd w:val="clear" w:color="auto" w:fill="auto"/>
                  <w:hideMark/>
                </w:tcPr>
                <w:p w14:paraId="249BD5B2"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Ajustare</w:t>
                  </w:r>
                  <w:r w:rsidRPr="00C011B2">
                    <w:rPr>
                      <w:rFonts w:ascii="Times New Roman" w:hAnsi="Times New Roman" w:cs="Times New Roman"/>
                      <w:color w:val="000000" w:themeColor="text1"/>
                      <w:vertAlign w:val="subscript"/>
                      <w:lang w:val="ro-MD"/>
                    </w:rPr>
                    <w:t>scurt</w:t>
                  </w:r>
                </w:p>
              </w:tc>
              <w:tc>
                <w:tcPr>
                  <w:tcW w:w="76" w:type="dxa"/>
                  <w:shd w:val="clear" w:color="auto" w:fill="auto"/>
                  <w:hideMark/>
                </w:tcPr>
                <w:p w14:paraId="0961E45C"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81" w:type="dxa"/>
                  <w:shd w:val="clear" w:color="auto" w:fill="auto"/>
                  <w:hideMark/>
                </w:tcPr>
                <w:p w14:paraId="0B8256F8" w14:textId="4793CEF0"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cuantumul cu care s-ar majora sau s-ar reduce câștigul obținut de </w:t>
                  </w:r>
                  <w:r w:rsidR="00FE380B"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 xml:space="preserve">datorită structurii instrumentului derivat în eventualitatea unei situații de nerambursare în raport cu pierderea totală aferentă instrumentului-suport; reducerile </w:t>
                  </w:r>
                  <w:r w:rsidRPr="00C011B2">
                    <w:rPr>
                      <w:rFonts w:ascii="Times New Roman" w:hAnsi="Times New Roman" w:cs="Times New Roman"/>
                      <w:color w:val="000000" w:themeColor="text1"/>
                      <w:lang w:val="ro-MD"/>
                    </w:rPr>
                    <w:lastRenderedPageBreak/>
                    <w:t>sunt introduse în formulă cu semn pozitiv, iar majorările sunt introduse în formulă cu semn negativ.</w:t>
                  </w:r>
                </w:p>
              </w:tc>
            </w:tr>
            <w:bookmarkEnd w:id="209"/>
          </w:tbl>
          <w:p w14:paraId="71597B01" w14:textId="77777777" w:rsidR="00936613" w:rsidRPr="00C011B2" w:rsidRDefault="00936613" w:rsidP="00936613">
            <w:pPr>
              <w:spacing w:after="0" w:line="276" w:lineRule="auto"/>
              <w:jc w:val="both"/>
              <w:rPr>
                <w:rFonts w:ascii="Times New Roman" w:hAnsi="Times New Roman" w:cs="Times New Roman"/>
                <w:color w:val="000000" w:themeColor="text1"/>
                <w:lang w:val="ro-MD"/>
              </w:rPr>
            </w:pPr>
          </w:p>
        </w:tc>
        <w:tc>
          <w:tcPr>
            <w:tcW w:w="450" w:type="pct"/>
          </w:tcPr>
          <w:p w14:paraId="10D0C622" w14:textId="2CFB33D8" w:rsidR="00936613" w:rsidRPr="00C011B2" w:rsidRDefault="00106FB1"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44DC811"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11E4CDF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11C82C4" w14:textId="77777777" w:rsidR="00936613" w:rsidRPr="00C011B2" w:rsidRDefault="00FA7D23" w:rsidP="00936613">
            <w:pPr>
              <w:spacing w:after="0" w:line="276" w:lineRule="auto"/>
              <w:jc w:val="both"/>
              <w:rPr>
                <w:rFonts w:ascii="Times New Roman" w:hAnsi="Times New Roman" w:cs="Times New Roman"/>
                <w:b/>
                <w:bCs/>
                <w:color w:val="000000" w:themeColor="text1"/>
                <w:lang w:val="ro-MD"/>
              </w:rPr>
            </w:pPr>
            <w:hyperlink r:id="rId91" w:tooltip="32019R0876: INSERTED" w:history="1">
              <w:r w:rsidR="00936613" w:rsidRPr="00C011B2">
                <w:rPr>
                  <w:rStyle w:val="Hyperlink"/>
                  <w:rFonts w:ascii="Times New Roman" w:hAnsi="Times New Roman" w:cs="Times New Roman"/>
                  <w:b/>
                  <w:bCs/>
                  <w:lang w:val="ro-MD"/>
                </w:rPr>
                <w:t>▼M8</w:t>
              </w:r>
            </w:hyperlink>
          </w:p>
          <w:p w14:paraId="42F10B4C" w14:textId="47395005"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În scopul efectuării calculului prevăzut la alineatul (5), instituțiile atribuie titlurilor de capital o LGD de 100 %.</w:t>
            </w:r>
          </w:p>
        </w:tc>
        <w:tc>
          <w:tcPr>
            <w:tcW w:w="1692" w:type="pct"/>
            <w:shd w:val="clear" w:color="auto" w:fill="auto"/>
          </w:tcPr>
          <w:p w14:paraId="344B2F30" w14:textId="5E427C6C" w:rsidR="00936613" w:rsidRPr="00C011B2" w:rsidRDefault="00FE380B" w:rsidP="00936613">
            <w:pPr>
              <w:spacing w:after="0" w:line="276" w:lineRule="auto"/>
              <w:jc w:val="both"/>
              <w:rPr>
                <w:rFonts w:ascii="Times New Roman" w:hAnsi="Times New Roman" w:cs="Times New Roman"/>
                <w:color w:val="000000" w:themeColor="text1"/>
                <w:lang w:val="ro-MD"/>
              </w:rPr>
            </w:pPr>
            <w:bookmarkStart w:id="210" w:name="_Hlk223014288"/>
            <w:r w:rsidRPr="00C011B2">
              <w:rPr>
                <w:rFonts w:ascii="Times New Roman" w:hAnsi="Times New Roman" w:cs="Times New Roman"/>
                <w:color w:val="000000" w:themeColor="text1"/>
                <w:lang w:val="ro-MD"/>
              </w:rPr>
              <w:t>233.</w:t>
            </w:r>
            <w:r w:rsidR="00936613" w:rsidRPr="00C011B2">
              <w:rPr>
                <w:rFonts w:ascii="Times New Roman" w:hAnsi="Times New Roman" w:cs="Times New Roman"/>
                <w:color w:val="000000" w:themeColor="text1"/>
                <w:lang w:val="ro-MD"/>
              </w:rPr>
              <w:t>   În scopul efectuării calculului prevăzut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pct.232</w:t>
            </w:r>
            <w:r w:rsidR="00936613"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atribuie titlurilor de capital o LGD de 100 %.</w:t>
            </w:r>
            <w:bookmarkEnd w:id="210"/>
          </w:p>
        </w:tc>
        <w:tc>
          <w:tcPr>
            <w:tcW w:w="450" w:type="pct"/>
          </w:tcPr>
          <w:p w14:paraId="435E1057" w14:textId="0239BC93" w:rsidR="00936613" w:rsidRPr="00C011B2" w:rsidRDefault="00106FB1"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AA5B386"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936613" w:rsidRPr="00C011B2" w14:paraId="34D2739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1CEE88" w14:textId="0F3BE9C3" w:rsidR="00936613" w:rsidRPr="00C011B2" w:rsidRDefault="00936613" w:rsidP="00936613">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În cazul expunerilor la riscul de nerambursare care decurg din instrumente derivate ale căror rezultate în cazul intrării debitorului în stare de nerambursare nu sunt legate de valoarea noțională a unui anumit instrument emis de respectivul debitor sau de LGD a debitorului sau a unui instrument emis de acesta, instituțiile utilizează metodologii alternative pentru a estima cuantumurile brute ale JTD.</w:t>
            </w:r>
          </w:p>
        </w:tc>
        <w:tc>
          <w:tcPr>
            <w:tcW w:w="1692" w:type="pct"/>
            <w:shd w:val="clear" w:color="auto" w:fill="auto"/>
          </w:tcPr>
          <w:p w14:paraId="21F7C0AF" w14:textId="0EC55752" w:rsidR="00936613" w:rsidRPr="00C011B2" w:rsidRDefault="00FE380B" w:rsidP="00936613">
            <w:pPr>
              <w:spacing w:after="0" w:line="276" w:lineRule="auto"/>
              <w:jc w:val="both"/>
              <w:rPr>
                <w:rFonts w:ascii="Times New Roman" w:hAnsi="Times New Roman" w:cs="Times New Roman"/>
                <w:color w:val="000000" w:themeColor="text1"/>
                <w:lang w:val="ro-MD"/>
              </w:rPr>
            </w:pPr>
            <w:bookmarkStart w:id="211" w:name="_Hlk223014309"/>
            <w:r w:rsidRPr="00C011B2">
              <w:rPr>
                <w:rFonts w:ascii="Times New Roman" w:hAnsi="Times New Roman" w:cs="Times New Roman"/>
                <w:color w:val="000000" w:themeColor="text1"/>
                <w:lang w:val="ro-MD"/>
              </w:rPr>
              <w:t>234.</w:t>
            </w:r>
            <w:r w:rsidR="00936613" w:rsidRPr="00C011B2">
              <w:rPr>
                <w:rFonts w:ascii="Times New Roman" w:hAnsi="Times New Roman" w:cs="Times New Roman"/>
                <w:color w:val="000000" w:themeColor="text1"/>
                <w:lang w:val="ro-MD"/>
              </w:rPr>
              <w:t xml:space="preserve">   În cazul expunerilor la riscul de nerambursare care decurg din instrumente derivate ale căror rezultate în cazul intrării debitorului în stare de nerambursare nu sunt legate de valoarea noțională a unui anumit instrument emis de respectivul debitor sau de LGD a debitorului sau a unui instrument emis de acesta, </w:t>
            </w:r>
            <w:r w:rsidRPr="00C011B2">
              <w:rPr>
                <w:rFonts w:ascii="Times New Roman" w:hAnsi="Times New Roman" w:cs="Times New Roman"/>
                <w:color w:val="000000" w:themeColor="text1"/>
                <w:lang w:val="ro-MD"/>
              </w:rPr>
              <w:t xml:space="preserve">băncile </w:t>
            </w:r>
            <w:r w:rsidR="00936613" w:rsidRPr="00C011B2">
              <w:rPr>
                <w:rFonts w:ascii="Times New Roman" w:hAnsi="Times New Roman" w:cs="Times New Roman"/>
                <w:color w:val="000000" w:themeColor="text1"/>
                <w:lang w:val="ro-MD"/>
              </w:rPr>
              <w:t>utilizează metodologii alternative pentru a estima cuantumurile brute ale JTD.</w:t>
            </w:r>
            <w:bookmarkEnd w:id="211"/>
          </w:p>
        </w:tc>
        <w:tc>
          <w:tcPr>
            <w:tcW w:w="450" w:type="pct"/>
          </w:tcPr>
          <w:p w14:paraId="38A7B4EB" w14:textId="71B97A1E" w:rsidR="00936613" w:rsidRPr="00C011B2" w:rsidRDefault="00106FB1" w:rsidP="00936613">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4D46FD1" w14:textId="77777777" w:rsidR="00936613" w:rsidRPr="00C011B2" w:rsidRDefault="00936613" w:rsidP="00936613">
            <w:pPr>
              <w:spacing w:line="276" w:lineRule="auto"/>
              <w:jc w:val="both"/>
              <w:rPr>
                <w:rFonts w:ascii="Times New Roman" w:hAnsi="Times New Roman" w:cs="Times New Roman"/>
                <w:color w:val="000000" w:themeColor="text1"/>
                <w:lang w:val="ro-MD"/>
              </w:rPr>
            </w:pPr>
          </w:p>
        </w:tc>
      </w:tr>
      <w:tr w:rsidR="00106FB1" w:rsidRPr="00C011B2" w14:paraId="070EDA7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9EC5302" w14:textId="50BA964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ABE elaborează proiecte de standarde tehnice de reglementare pentru a preciza:</w:t>
            </w:r>
          </w:p>
          <w:p w14:paraId="7A39768C"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2" w:tooltip="32019R0876R(11): REPLACED" w:history="1">
              <w:r w:rsidR="00106FB1" w:rsidRPr="00C011B2">
                <w:rPr>
                  <w:rStyle w:val="Hyperlink"/>
                  <w:rFonts w:ascii="Times New Roman" w:hAnsi="Times New Roman" w:cs="Times New Roman"/>
                  <w:b/>
                  <w:bCs/>
                  <w:lang w:val="ro-MD"/>
                </w:rPr>
                <w:t>▼C7</w:t>
              </w:r>
            </w:hyperlink>
          </w:p>
          <w:p w14:paraId="6FBF82BA" w14:textId="2124520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modul în care instituțiile trebuie să determine componentele P&amp;L</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P&amp;L</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Ajustare</w:t>
            </w:r>
            <w:r w:rsidRPr="00C011B2">
              <w:rPr>
                <w:rFonts w:ascii="Times New Roman" w:hAnsi="Times New Roman" w:cs="Times New Roman"/>
                <w:color w:val="000000" w:themeColor="text1"/>
                <w:vertAlign w:val="subscript"/>
                <w:lang w:val="ro-MD"/>
              </w:rPr>
              <w:t>lung</w:t>
            </w:r>
            <w:r w:rsidRPr="00C011B2">
              <w:rPr>
                <w:rFonts w:ascii="Times New Roman" w:hAnsi="Times New Roman" w:cs="Times New Roman"/>
                <w:color w:val="000000" w:themeColor="text1"/>
                <w:lang w:val="ro-MD"/>
              </w:rPr>
              <w:t> și Ajustare</w:t>
            </w:r>
            <w:r w:rsidRPr="00C011B2">
              <w:rPr>
                <w:rFonts w:ascii="Times New Roman" w:hAnsi="Times New Roman" w:cs="Times New Roman"/>
                <w:color w:val="000000" w:themeColor="text1"/>
                <w:vertAlign w:val="subscript"/>
                <w:lang w:val="ro-MD"/>
              </w:rPr>
              <w:t>scurt</w:t>
            </w:r>
            <w:r w:rsidRPr="00C011B2">
              <w:rPr>
                <w:rFonts w:ascii="Times New Roman" w:hAnsi="Times New Roman" w:cs="Times New Roman"/>
                <w:color w:val="000000" w:themeColor="text1"/>
                <w:lang w:val="ro-MD"/>
              </w:rPr>
              <w:t> atunci când calculează cuantumurile JTD pentru diferite tipuri de instrumente în conformitate cu prezentul articol;</w:t>
            </w:r>
          </w:p>
          <w:p w14:paraId="21071A00"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3" w:tooltip="32019R0876: INSERTED" w:history="1">
              <w:r w:rsidR="00106FB1" w:rsidRPr="00C011B2">
                <w:rPr>
                  <w:rStyle w:val="Hyperlink"/>
                  <w:rFonts w:ascii="Times New Roman" w:hAnsi="Times New Roman" w:cs="Times New Roman"/>
                  <w:b/>
                  <w:bCs/>
                  <w:lang w:val="ro-MD"/>
                </w:rPr>
                <w:t>▼M8</w:t>
              </w:r>
            </w:hyperlink>
          </w:p>
          <w:p w14:paraId="6601F4BF" w14:textId="096B926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metodologiile alternative pe care instituțiile trebuie să le utilizeze în scopul estimării cuantumurilor JTD brute menționate la alineatul (7).</w:t>
            </w:r>
          </w:p>
          <w:p w14:paraId="38BA29DC" w14:textId="7EDCA50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valorile noționale ale altor instrumente decât cele menționate la alineatul (4) literele (a) și (b).</w:t>
            </w:r>
          </w:p>
          <w:p w14:paraId="58E4B0C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28 iunie 2021.</w:t>
            </w:r>
          </w:p>
          <w:p w14:paraId="23092F45" w14:textId="71B2EF8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32673C44" w14:textId="5EEA2EBC"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3D7FBA25" w14:textId="048ADB92"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6814F52E" w14:textId="2EDCE16B"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Alin.(8) stabilește obligații pentru autorități europene – Autoritatea Bancară Europeană.</w:t>
            </w:r>
          </w:p>
        </w:tc>
      </w:tr>
      <w:tr w:rsidR="00106FB1" w:rsidRPr="00C011B2" w14:paraId="7518533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5217595"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325x</w:t>
            </w:r>
          </w:p>
          <w:p w14:paraId="40ECA9F4" w14:textId="27C32C0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Cuantumurile nete ale trecerii bruște în starea de nerambursare</w:t>
            </w:r>
          </w:p>
        </w:tc>
        <w:tc>
          <w:tcPr>
            <w:tcW w:w="1692" w:type="pct"/>
            <w:shd w:val="clear" w:color="auto" w:fill="auto"/>
          </w:tcPr>
          <w:p w14:paraId="5240C477" w14:textId="4FD60CAA"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2" w:name="_Hlk195097400"/>
            <w:r w:rsidRPr="00C011B2">
              <w:rPr>
                <w:rFonts w:ascii="Times New Roman" w:hAnsi="Times New Roman" w:cs="Times New Roman"/>
                <w:i/>
                <w:iCs/>
                <w:color w:val="000000" w:themeColor="text1"/>
                <w:lang w:val="ro-MD"/>
              </w:rPr>
              <w:t>Paragraful 2.</w:t>
            </w:r>
            <w:r w:rsidRPr="00C011B2">
              <w:rPr>
                <w:rFonts w:ascii="Times New Roman" w:hAnsi="Times New Roman" w:cs="Times New Roman"/>
                <w:b/>
                <w:bCs/>
                <w:color w:val="000000" w:themeColor="text1"/>
                <w:lang w:val="ro-MD"/>
              </w:rPr>
              <w:t>Cuantumurile nete ale trecerii bruște în starea de nerambursare</w:t>
            </w:r>
            <w:bookmarkEnd w:id="212"/>
          </w:p>
        </w:tc>
        <w:tc>
          <w:tcPr>
            <w:tcW w:w="450" w:type="pct"/>
          </w:tcPr>
          <w:p w14:paraId="19BDE65E"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253B758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01BFC7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481492" w14:textId="5D0083D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calculează cuantumurile nete ale JTD prin compensarea cuantumurilor brute ale JTD pentru expunerile scurte și expunerile lungi. Compensarea nu este posibilă decât între expuneri la același debitor în cazul în care expunerile scurte au rang mai mic sau egal cu expunerile lungi.</w:t>
            </w:r>
          </w:p>
        </w:tc>
        <w:tc>
          <w:tcPr>
            <w:tcW w:w="1692" w:type="pct"/>
            <w:shd w:val="clear" w:color="auto" w:fill="auto"/>
          </w:tcPr>
          <w:p w14:paraId="254A21CC" w14:textId="544FDB1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235.   Băncile calculează cuantumurile nete ale JTD prin compensarea cuantumurilor brute ale JTD pentru expunerile scurte și expunerile lungi. Compensarea nu este posibilă decât între expuneri la același debitor în cazul în care expunerile scurte au rang mai mic sau egal cu expunerile lungi.</w:t>
            </w:r>
          </w:p>
        </w:tc>
        <w:tc>
          <w:tcPr>
            <w:tcW w:w="450" w:type="pct"/>
          </w:tcPr>
          <w:p w14:paraId="27FF5325" w14:textId="3460C96A"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925899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049C5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E419C40" w14:textId="3570FC7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Compensarea este integrală sau parțială, în funcție de scadențele expunerilor supuse compensării:</w:t>
            </w:r>
          </w:p>
          <w:p w14:paraId="0E95770C" w14:textId="4A935D7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 compensarea este integrală atunci când toate expunerile supuse compensării au scadențe de un an sau mai mult;</w:t>
            </w:r>
          </w:p>
          <w:p w14:paraId="39C4A0B9" w14:textId="66CA783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compensarea este parțială atunci când cel puțin una dintre expunerile supuse compensării are o scadență mai mică de un an, caz în care cuantumul JTD pentru fiecare expunere cu o scadență mai mică de un an este înmulțit cu raportul dintre scadența expunerii și un an.</w:t>
            </w:r>
          </w:p>
        </w:tc>
        <w:tc>
          <w:tcPr>
            <w:tcW w:w="1692" w:type="pct"/>
            <w:shd w:val="clear" w:color="auto" w:fill="auto"/>
          </w:tcPr>
          <w:p w14:paraId="52F1ABBE" w14:textId="16956B6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236.   Compensarea este integrală sau parțială, în funcție de scadențele expunerilor supuse compensării:</w:t>
            </w:r>
          </w:p>
          <w:p w14:paraId="1C568A71" w14:textId="7D4745E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236.1. compensarea este integrală atunci când toate expunerile supuse compensării au scadențe de un an sau mai mult;</w:t>
            </w:r>
          </w:p>
          <w:p w14:paraId="4756BD03" w14:textId="3250D0A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236.2. compensarea este parțială atunci când cel puțin una dintre expunerile supuse compensării are o scadență mai mică de un an, caz în care cuantumul JTD pentru fiecare expunere cu o scadență mai mică de un an este înmulțit cu raportul dintre scadența expunerii și un an.</w:t>
            </w:r>
          </w:p>
        </w:tc>
        <w:tc>
          <w:tcPr>
            <w:tcW w:w="450" w:type="pct"/>
          </w:tcPr>
          <w:p w14:paraId="659DF3D4" w14:textId="41658111"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7A000C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5346C9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4B69952" w14:textId="19D603B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în care compensarea nu este posibilă, cuantumurile brute ale JTD sunt egale cu cuantumurile nete ale JTD pentru expunerile cu scadențe de un an sau mai mult. Cuantumurile brute ale JTD cu scadențe mai mici de un an sunt înmulțite cu raportul dintre scadența expunerii și un an, cu un prag de trei luni, în scopul calculării cuantumurilor nete ale JTD.</w:t>
            </w:r>
          </w:p>
        </w:tc>
        <w:tc>
          <w:tcPr>
            <w:tcW w:w="1692" w:type="pct"/>
            <w:shd w:val="clear" w:color="auto" w:fill="auto"/>
          </w:tcPr>
          <w:p w14:paraId="7C24C98F" w14:textId="6161AA0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237. În cazul în care compensarea nu este posibilă, cuantumurile brute ale JTD sunt egale cu cuantumurile nete ale JTD pentru expunerile cu scadențe de un an sau mai mult. Cuantumurile brute ale JTD cu scadențe mai mici de un an sunt înmulțite cu raportul dintre scadența expunerii și un an, cu un prag de trei luni, în scopul calculării cuantumurilor nete ale JTD.</w:t>
            </w:r>
          </w:p>
        </w:tc>
        <w:tc>
          <w:tcPr>
            <w:tcW w:w="450" w:type="pct"/>
          </w:tcPr>
          <w:p w14:paraId="2A556CEF" w14:textId="75394F87"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A40DB9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611D5A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DE697FD" w14:textId="0B292A4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sensul alineatelor (2) și (3), se iau în considerare mai curând scadențele contractelor derivate decât scadențele instrumentelor-suport ale acestora. Expunerilor în numerar provenind din titluri de capital li se atribuie o scadență de un an sau de trei luni, la latitudinea instituției.</w:t>
            </w:r>
          </w:p>
        </w:tc>
        <w:tc>
          <w:tcPr>
            <w:tcW w:w="1692" w:type="pct"/>
            <w:shd w:val="clear" w:color="auto" w:fill="auto"/>
          </w:tcPr>
          <w:p w14:paraId="0261A233" w14:textId="38EE721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238.   În sensul pct.236 și 237, se iau în considerare mai curând scadențele contractelor derivate decât scadențele instrumentelor-suport ale acestora. Expunerilor în numerar provenind din titluri de capital li se atribuie o scadență de un an sau de trei luni, la latitudinea băncii.</w:t>
            </w:r>
          </w:p>
        </w:tc>
        <w:tc>
          <w:tcPr>
            <w:tcW w:w="450" w:type="pct"/>
          </w:tcPr>
          <w:p w14:paraId="76983778" w14:textId="2BF0D3B5"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894F89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0D0005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31D54D"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4" w:tooltip="32024R1623: INSERTED" w:history="1">
              <w:r w:rsidR="00106FB1" w:rsidRPr="00C011B2">
                <w:rPr>
                  <w:rStyle w:val="Hyperlink"/>
                  <w:rFonts w:ascii="Times New Roman" w:hAnsi="Times New Roman" w:cs="Times New Roman"/>
                  <w:b/>
                  <w:bCs/>
                  <w:lang w:val="ro-MD"/>
                </w:rPr>
                <w:t>▼M17</w:t>
              </w:r>
            </w:hyperlink>
          </w:p>
          <w:p w14:paraId="6F752226" w14:textId="69A892A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În cazul în care clauzele contractuale sau juridice ale unei poziții pe instrumente financiare derivate care are drept suport un instrument financiar de datorie în </w:t>
            </w:r>
            <w:r w:rsidRPr="00C011B2">
              <w:rPr>
                <w:rFonts w:ascii="Times New Roman" w:hAnsi="Times New Roman" w:cs="Times New Roman"/>
                <w:color w:val="000000" w:themeColor="text1"/>
                <w:lang w:val="ro-MD"/>
              </w:rPr>
              <w:lastRenderedPageBreak/>
              <w:t>numerar sau de capital în numerar și este acoperită cu respectivul instrument financiar de datorie în numerar sau de capital în numerar permit unei instituții să închidă ambele segmente ale poziției respective la momentul expirării segmentului care ajunge primul la scadență dintre cele două fără nicio expunere la riscul de nerambursare al suportului, cuantumul net al trecerii bruște în starea de nerambursare al poziției combinate se stabilește la zero.</w:t>
            </w:r>
          </w:p>
        </w:tc>
        <w:tc>
          <w:tcPr>
            <w:tcW w:w="1692" w:type="pct"/>
            <w:shd w:val="clear" w:color="auto" w:fill="auto"/>
          </w:tcPr>
          <w:p w14:paraId="7BAC05B6" w14:textId="314E226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239.  În cazul în care clauzele contractuale sau juridice ale unei poziții pe instrumente financiare derivate care are drept suport un instrument financiar de datorie în numerar sau de capital în numerar și este acoperită cu respectivul </w:t>
            </w:r>
            <w:r w:rsidRPr="00C011B2">
              <w:rPr>
                <w:rFonts w:ascii="Times New Roman" w:hAnsi="Times New Roman" w:cs="Times New Roman"/>
                <w:color w:val="000000" w:themeColor="text1"/>
                <w:lang w:val="ro-MD"/>
              </w:rPr>
              <w:lastRenderedPageBreak/>
              <w:t>instrument financiar de datorie în numerar sau de capital în numerar permit unei bănci să închidă ambele segmente ale poziției respective la momentul expirării segmentului care ajunge primul la scadență dintre cele două fără nicio expunere la riscul de nerambursare al suportului, cuantumul net al trecerii bruște în starea de nerambursare al poziției combinate se stabilește la zero.</w:t>
            </w:r>
          </w:p>
        </w:tc>
        <w:tc>
          <w:tcPr>
            <w:tcW w:w="450" w:type="pct"/>
          </w:tcPr>
          <w:p w14:paraId="11640557" w14:textId="1469DF63"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52D959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764869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D32874"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5" w:tooltip="32019R0876: INSERTED" w:history="1">
              <w:r w:rsidR="00106FB1" w:rsidRPr="00C011B2">
                <w:rPr>
                  <w:rStyle w:val="Hyperlink"/>
                  <w:rFonts w:ascii="Times New Roman" w:hAnsi="Times New Roman" w:cs="Times New Roman"/>
                  <w:b/>
                  <w:bCs/>
                  <w:lang w:val="ro-MD"/>
                </w:rPr>
                <w:t>▼M8</w:t>
              </w:r>
            </w:hyperlink>
          </w:p>
          <w:p w14:paraId="2FC3B49F"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325y</w:t>
            </w:r>
          </w:p>
          <w:p w14:paraId="79D05103" w14:textId="3D6BC1E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Calcularea cerinței de fonduri proprii pentru riscul de nerambursare</w:t>
            </w:r>
          </w:p>
        </w:tc>
        <w:tc>
          <w:tcPr>
            <w:tcW w:w="1692" w:type="pct"/>
            <w:shd w:val="clear" w:color="auto" w:fill="auto"/>
          </w:tcPr>
          <w:p w14:paraId="47C0CB76" w14:textId="6BB087CB"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3" w:name="_Hlk195097432"/>
            <w:r w:rsidRPr="00C011B2">
              <w:rPr>
                <w:rFonts w:ascii="Times New Roman" w:hAnsi="Times New Roman" w:cs="Times New Roman"/>
                <w:i/>
                <w:iCs/>
                <w:color w:val="000000" w:themeColor="text1"/>
                <w:lang w:val="ro-MD"/>
              </w:rPr>
              <w:t>Paragraful 3.</w:t>
            </w:r>
            <w:r w:rsidRPr="00C011B2">
              <w:rPr>
                <w:rFonts w:ascii="Times New Roman" w:hAnsi="Times New Roman" w:cs="Times New Roman"/>
                <w:b/>
                <w:bCs/>
                <w:color w:val="000000" w:themeColor="text1"/>
                <w:lang w:val="ro-MD"/>
              </w:rPr>
              <w:t>Calcularea cerinței de fonduri proprii pentru riscul de nerambursare</w:t>
            </w:r>
            <w:bookmarkEnd w:id="213"/>
          </w:p>
        </w:tc>
        <w:tc>
          <w:tcPr>
            <w:tcW w:w="450" w:type="pct"/>
          </w:tcPr>
          <w:p w14:paraId="4A4A52F2"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205CE907"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EBB751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F0CD96A" w14:textId="06869D3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Cuantumurile nete ale JTD, indiferent de tipul contrapărții, se înmulțesc cu ponderile de risc de nerambursare care corespund calității creditului lor, astfel cum se precizează în tabelul 2:</w:t>
            </w:r>
          </w:p>
          <w:p w14:paraId="0AFD994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2</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735"/>
              <w:gridCol w:w="1865"/>
            </w:tblGrid>
            <w:tr w:rsidR="00106FB1" w:rsidRPr="00C011B2" w14:paraId="7CA2CFD4"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E874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Categorie de calitate a creditului</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9392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 de risc de nerambursare</w:t>
                  </w:r>
                </w:p>
              </w:tc>
            </w:tr>
            <w:tr w:rsidR="00106FB1" w:rsidRPr="00C011B2" w14:paraId="2DF5929C"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0BF47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1</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EAB7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w:t>
                  </w:r>
                </w:p>
              </w:tc>
            </w:tr>
            <w:tr w:rsidR="00106FB1" w:rsidRPr="00C011B2" w14:paraId="78B315CE"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0626F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2</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29A3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w:t>
                  </w:r>
                </w:p>
              </w:tc>
            </w:tr>
            <w:tr w:rsidR="00106FB1" w:rsidRPr="00C011B2" w14:paraId="11265CE4"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587A4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Nivel de calitate a creditului 3</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77B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w:t>
                  </w:r>
                </w:p>
              </w:tc>
            </w:tr>
            <w:tr w:rsidR="00106FB1" w:rsidRPr="00C011B2" w14:paraId="599D6534"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C63F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4</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0B5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7663F620"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4063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5</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841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457E4F53"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E614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6</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AF207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2ABB4C6A"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5FCE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Nu beneficiază de rating</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B48E1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7ADF7165" w14:textId="77777777" w:rsidTr="00FA1D20">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F4C5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stare de nerambursare</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D134B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bl>
          <w:p w14:paraId="30D83C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4F64C1ED" w14:textId="6E56759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240.   Cuantumurile nete ale JTD, indiferent de tipul contrapărții, se înmulțesc cu ponderile de risc de nerambursare care corespund calității creditului lor, astfel cum se precizează în tabelul 2:</w:t>
            </w:r>
          </w:p>
          <w:p w14:paraId="67707E3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2</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735"/>
              <w:gridCol w:w="1865"/>
            </w:tblGrid>
            <w:tr w:rsidR="00106FB1" w:rsidRPr="00C011B2" w14:paraId="6058EB35"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7952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Categorie de calitate a creditului</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12767F"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 de risc de nerambursare</w:t>
                  </w:r>
                </w:p>
              </w:tc>
            </w:tr>
            <w:tr w:rsidR="00106FB1" w:rsidRPr="00C011B2" w14:paraId="6FF3107A"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440D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1</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7985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w:t>
                  </w:r>
                </w:p>
              </w:tc>
            </w:tr>
            <w:tr w:rsidR="00106FB1" w:rsidRPr="00C011B2" w14:paraId="0F2000C9"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CC0BB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2</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EA14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w:t>
                  </w:r>
                </w:p>
              </w:tc>
            </w:tr>
            <w:tr w:rsidR="00106FB1" w:rsidRPr="00C011B2" w14:paraId="2316600F"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CAD3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Nivel de calitate a creditului 3</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261F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w:t>
                  </w:r>
                </w:p>
              </w:tc>
            </w:tr>
            <w:tr w:rsidR="00106FB1" w:rsidRPr="00C011B2" w14:paraId="379FC145"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6FF2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4</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C7088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6C6FDF76"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648D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5</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417B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52F7F8E9"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DCB3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 de calitate a creditului 6</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DBEBF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067F935C"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14D37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Nu beneficiază de rating</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262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20EFC708" w14:textId="77777777" w:rsidTr="001E785F">
              <w:trPr>
                <w:jc w:val="center"/>
              </w:trPr>
              <w:tc>
                <w:tcPr>
                  <w:tcW w:w="17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44D1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stare de nerambursare</w:t>
                  </w:r>
                </w:p>
              </w:tc>
              <w:tc>
                <w:tcPr>
                  <w:tcW w:w="186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2D3FA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bl>
          <w:p w14:paraId="729E3AE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3B479F5E" w14:textId="1BB362AD"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5B9A9F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1FE8FF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5ACBA83" w14:textId="39777E6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Expunerile care ar primi o pondere de risc de 0 % în conformitate cu abordarea standardizată pentru riscul de credit în conformitate cu titlul II capitolul 2 primesc o pondere de risc de nerambursare de 0 % pentru cerințele de fonduri proprii pentru riscul de nerambursare.</w:t>
            </w:r>
          </w:p>
        </w:tc>
        <w:tc>
          <w:tcPr>
            <w:tcW w:w="1692" w:type="pct"/>
            <w:shd w:val="clear" w:color="auto" w:fill="auto"/>
          </w:tcPr>
          <w:p w14:paraId="3E7C07F6" w14:textId="2C000C7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241.   Expunerile care ar primi o pondere de risc de 0 % în conformitate cu abordarea standardizată pentru riscul de credit în conformitate cu Regulamentul nr.111/2018 primesc o pondere de risc de nerambursare de 0 % pentru cerințele de fonduri proprii pentru riscul de nerambursare.</w:t>
            </w:r>
          </w:p>
        </w:tc>
        <w:tc>
          <w:tcPr>
            <w:tcW w:w="450" w:type="pct"/>
          </w:tcPr>
          <w:p w14:paraId="374A3013" w14:textId="08CB52C7"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4231C3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7AA0F2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0247F5C" w14:textId="21F4A8C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JDT nete ponderate se atribuie următoarelor benzi: societăți, entități suverane și administrații locale/municipalități.</w:t>
            </w:r>
          </w:p>
        </w:tc>
        <w:tc>
          <w:tcPr>
            <w:tcW w:w="1692" w:type="pct"/>
            <w:shd w:val="clear" w:color="auto" w:fill="auto"/>
          </w:tcPr>
          <w:p w14:paraId="4336E4AF" w14:textId="18EAC58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242.   JDT nete ponderate se atribuie următoarelor benzi: societăți, entități suverane și administrații locale/municipalități.</w:t>
            </w:r>
          </w:p>
        </w:tc>
        <w:tc>
          <w:tcPr>
            <w:tcW w:w="450" w:type="pct"/>
          </w:tcPr>
          <w:p w14:paraId="2BEFD595" w14:textId="7B0F2428"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AE17DF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6946A2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5A8A41A" w14:textId="38C2E3B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Cuantumurile nete ponderate ale JTD sunt agregate în cadrul fiecărei benzi, în conformitate cu următoarea formulă:</w:t>
            </w:r>
          </w:p>
          <w:p w14:paraId="41AC4C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DRC</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 max {(Σ</w:t>
            </w:r>
            <w:r w:rsidRPr="00C011B2">
              <w:rPr>
                <w:rFonts w:ascii="Times New Roman" w:hAnsi="Times New Roman" w:cs="Times New Roman"/>
                <w:color w:val="000000" w:themeColor="text1"/>
                <w:vertAlign w:val="subscript"/>
                <w:lang w:val="ro-MD"/>
              </w:rPr>
              <w:t xml:space="preserve">i </w:t>
            </w:r>
            <w:r w:rsidRPr="00C011B2">
              <w:rPr>
                <w:rFonts w:ascii="Cambria Math" w:hAnsi="Cambria Math" w:cs="Cambria Math"/>
                <w:color w:val="000000" w:themeColor="text1"/>
                <w:vertAlign w:val="subscript"/>
                <w:lang w:val="ro-MD"/>
              </w:rPr>
              <w:t>∈</w:t>
            </w:r>
            <w:r w:rsidRPr="00C011B2">
              <w:rPr>
                <w:rFonts w:ascii="Times New Roman" w:hAnsi="Times New Roman" w:cs="Times New Roman"/>
                <w:color w:val="000000" w:themeColor="text1"/>
                <w:vertAlign w:val="subscript"/>
                <w:lang w:val="ro-MD"/>
              </w:rPr>
              <w:t xml:space="preserve"> lung</w:t>
            </w:r>
            <w:r w:rsidRPr="00C011B2">
              <w:rPr>
                <w:rFonts w:ascii="Times New Roman" w:hAnsi="Times New Roman" w:cs="Times New Roman"/>
                <w:color w:val="000000" w:themeColor="text1"/>
                <w:lang w:val="ro-MD"/>
              </w:rPr>
              <w:t> RW</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 net JTD</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 WtS · (Σ</w:t>
            </w:r>
            <w:r w:rsidRPr="00C011B2">
              <w:rPr>
                <w:rFonts w:ascii="Times New Roman" w:hAnsi="Times New Roman" w:cs="Times New Roman"/>
                <w:color w:val="000000" w:themeColor="text1"/>
                <w:vertAlign w:val="subscript"/>
                <w:lang w:val="ro-MD"/>
              </w:rPr>
              <w:t xml:space="preserve">i </w:t>
            </w:r>
            <w:r w:rsidRPr="00C011B2">
              <w:rPr>
                <w:rFonts w:ascii="Cambria Math" w:hAnsi="Cambria Math" w:cs="Cambria Math"/>
                <w:color w:val="000000" w:themeColor="text1"/>
                <w:vertAlign w:val="subscript"/>
                <w:lang w:val="ro-MD"/>
              </w:rPr>
              <w:t>∈</w:t>
            </w:r>
            <w:r w:rsidRPr="00C011B2">
              <w:rPr>
                <w:rFonts w:ascii="Times New Roman" w:hAnsi="Times New Roman" w:cs="Times New Roman"/>
                <w:color w:val="000000" w:themeColor="text1"/>
                <w:vertAlign w:val="subscript"/>
                <w:lang w:val="ro-MD"/>
              </w:rPr>
              <w:t xml:space="preserve"> scurt</w:t>
            </w:r>
            <w:r w:rsidRPr="00C011B2">
              <w:rPr>
                <w:rFonts w:ascii="Times New Roman" w:hAnsi="Times New Roman" w:cs="Times New Roman"/>
                <w:color w:val="000000" w:themeColor="text1"/>
                <w:lang w:val="ro-MD"/>
              </w:rPr>
              <w:t>RW</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|net JTD</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0}</w:t>
            </w:r>
          </w:p>
          <w:p w14:paraId="0A0134D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129" w:type="dxa"/>
              <w:tblLayout w:type="fixed"/>
              <w:tblCellMar>
                <w:left w:w="0" w:type="dxa"/>
                <w:right w:w="0" w:type="dxa"/>
              </w:tblCellMar>
              <w:tblLook w:val="04A0" w:firstRow="1" w:lastRow="0" w:firstColumn="1" w:lastColumn="0" w:noHBand="0" w:noVBand="1"/>
            </w:tblPr>
            <w:tblGrid>
              <w:gridCol w:w="612"/>
              <w:gridCol w:w="85"/>
              <w:gridCol w:w="4432"/>
            </w:tblGrid>
            <w:tr w:rsidR="00106FB1" w:rsidRPr="00C011B2" w14:paraId="67BEE5BF" w14:textId="77777777" w:rsidTr="00D42C0E">
              <w:tc>
                <w:tcPr>
                  <w:tcW w:w="612" w:type="dxa"/>
                  <w:shd w:val="clear" w:color="auto" w:fill="auto"/>
                  <w:hideMark/>
                </w:tcPr>
                <w:p w14:paraId="6B549C0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b</w:t>
                  </w:r>
                </w:p>
              </w:tc>
              <w:tc>
                <w:tcPr>
                  <w:tcW w:w="85" w:type="dxa"/>
                  <w:shd w:val="clear" w:color="auto" w:fill="auto"/>
                  <w:hideMark/>
                </w:tcPr>
                <w:p w14:paraId="27F2B1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2" w:type="dxa"/>
                  <w:shd w:val="clear" w:color="auto" w:fill="auto"/>
                  <w:hideMark/>
                </w:tcPr>
                <w:p w14:paraId="249AF5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benzii „b”;</w:t>
                  </w:r>
                </w:p>
              </w:tc>
            </w:tr>
          </w:tbl>
          <w:p w14:paraId="2180C042"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67"/>
              <w:gridCol w:w="123"/>
              <w:gridCol w:w="4622"/>
            </w:tblGrid>
            <w:tr w:rsidR="00106FB1" w:rsidRPr="00C011B2" w14:paraId="2FD3F489" w14:textId="77777777" w:rsidTr="00D42C0E">
              <w:tc>
                <w:tcPr>
                  <w:tcW w:w="115" w:type="dxa"/>
                  <w:shd w:val="clear" w:color="auto" w:fill="auto"/>
                  <w:hideMark/>
                </w:tcPr>
                <w:p w14:paraId="635C5E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228" w:type="dxa"/>
                  <w:shd w:val="clear" w:color="auto" w:fill="auto"/>
                  <w:hideMark/>
                </w:tcPr>
                <w:p w14:paraId="69AAA24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46" w:type="dxa"/>
                  <w:shd w:val="clear" w:color="auto" w:fill="auto"/>
                  <w:hideMark/>
                </w:tcPr>
                <w:p w14:paraId="521FFA5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un instrument din banda b;</w:t>
                  </w:r>
                </w:p>
              </w:tc>
            </w:tr>
          </w:tbl>
          <w:p w14:paraId="7158FB31"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768"/>
              <w:gridCol w:w="261"/>
              <w:gridCol w:w="3783"/>
            </w:tblGrid>
            <w:tr w:rsidR="00106FB1" w:rsidRPr="00C011B2" w14:paraId="71B80087" w14:textId="77777777" w:rsidTr="00D42C0E">
              <w:tc>
                <w:tcPr>
                  <w:tcW w:w="1536" w:type="dxa"/>
                  <w:shd w:val="clear" w:color="auto" w:fill="auto"/>
                  <w:hideMark/>
                </w:tcPr>
                <w:p w14:paraId="7DA9755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w:t>
                  </w:r>
                  <w:r w:rsidRPr="00C011B2">
                    <w:rPr>
                      <w:rFonts w:ascii="Times New Roman" w:hAnsi="Times New Roman" w:cs="Times New Roman"/>
                      <w:color w:val="000000" w:themeColor="text1"/>
                      <w:vertAlign w:val="subscript"/>
                      <w:lang w:val="ro-MD"/>
                    </w:rPr>
                    <w:t>i</w:t>
                  </w:r>
                </w:p>
              </w:tc>
              <w:tc>
                <w:tcPr>
                  <w:tcW w:w="509" w:type="dxa"/>
                  <w:shd w:val="clear" w:color="auto" w:fill="auto"/>
                  <w:hideMark/>
                </w:tcPr>
                <w:p w14:paraId="6906A1A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644" w:type="dxa"/>
                  <w:shd w:val="clear" w:color="auto" w:fill="auto"/>
                  <w:hideMark/>
                </w:tcPr>
                <w:p w14:paraId="3E738B6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și</w:t>
                  </w:r>
                </w:p>
              </w:tc>
            </w:tr>
          </w:tbl>
          <w:p w14:paraId="3AF91C86"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64" w:type="dxa"/>
              <w:tblLayout w:type="fixed"/>
              <w:tblCellMar>
                <w:left w:w="0" w:type="dxa"/>
                <w:right w:w="0" w:type="dxa"/>
              </w:tblCellMar>
              <w:tblLook w:val="04A0" w:firstRow="1" w:lastRow="0" w:firstColumn="1" w:lastColumn="0" w:noHBand="0" w:noVBand="1"/>
            </w:tblPr>
            <w:tblGrid>
              <w:gridCol w:w="470"/>
              <w:gridCol w:w="110"/>
              <w:gridCol w:w="4484"/>
            </w:tblGrid>
            <w:tr w:rsidR="00106FB1" w:rsidRPr="00C011B2" w14:paraId="57B83A5A" w14:textId="77777777" w:rsidTr="00D42C0E">
              <w:tc>
                <w:tcPr>
                  <w:tcW w:w="470" w:type="dxa"/>
                  <w:shd w:val="clear" w:color="auto" w:fill="auto"/>
                  <w:hideMark/>
                </w:tcPr>
                <w:p w14:paraId="01C826A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WtS</w:t>
                  </w:r>
                </w:p>
              </w:tc>
              <w:tc>
                <w:tcPr>
                  <w:tcW w:w="110" w:type="dxa"/>
                  <w:shd w:val="clear" w:color="auto" w:fill="auto"/>
                  <w:hideMark/>
                </w:tcPr>
                <w:p w14:paraId="767FDD0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84" w:type="dxa"/>
                  <w:shd w:val="clear" w:color="auto" w:fill="auto"/>
                  <w:hideMark/>
                </w:tcPr>
                <w:p w14:paraId="224F929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raport care reflectă beneficiul obținut în urma acoperirii împotriva riscurilor a relațiilor din cadrul unei benzi, calculat după cum urmează:</w:t>
                  </w:r>
                </w:p>
                <w:p w14:paraId="61B7800C" w14:textId="73E85B0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3D35D70" wp14:editId="5DA3E72C">
                        <wp:extent cx="3055620" cy="480695"/>
                        <wp:effectExtent l="0" t="0" r="0" b="0"/>
                        <wp:docPr id="54" name="Picture 5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55620" cy="480695"/>
                                </a:xfrm>
                                <a:prstGeom prst="rect">
                                  <a:avLst/>
                                </a:prstGeom>
                                <a:noFill/>
                                <a:ln>
                                  <a:noFill/>
                                </a:ln>
                              </pic:spPr>
                            </pic:pic>
                          </a:graphicData>
                        </a:graphic>
                      </wp:inline>
                    </w:drawing>
                  </w:r>
                </w:p>
              </w:tc>
            </w:tr>
          </w:tbl>
          <w:p w14:paraId="63751B67" w14:textId="0800660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scopul calculării DRC</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și a WtS, pozițiile lungi și pozițiile scurte sunt agregate pentru toate pozițiile din cadrul unei benzi, indiferent de nivelul de calitate a creditului căruia îi sunt atribuite pozițiile respective, pentru a se obține cerințele de fonduri proprii pentru riscul de nerambursare specifice benzii.</w:t>
            </w:r>
          </w:p>
        </w:tc>
        <w:tc>
          <w:tcPr>
            <w:tcW w:w="1692" w:type="pct"/>
            <w:shd w:val="clear" w:color="auto" w:fill="auto"/>
          </w:tcPr>
          <w:p w14:paraId="22C256AC" w14:textId="01A8FB3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243.   Cuantumurile nete ponderate ale JTD sunt agregate în cadrul fiecărei benzi, în conformitate cu următoarea formulă:</w:t>
            </w:r>
          </w:p>
          <w:p w14:paraId="1483C42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DRC</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 max {(Σ</w:t>
            </w:r>
            <w:r w:rsidRPr="00C011B2">
              <w:rPr>
                <w:rFonts w:ascii="Times New Roman" w:hAnsi="Times New Roman" w:cs="Times New Roman"/>
                <w:color w:val="000000" w:themeColor="text1"/>
                <w:vertAlign w:val="subscript"/>
                <w:lang w:val="ro-MD"/>
              </w:rPr>
              <w:t xml:space="preserve">i </w:t>
            </w:r>
            <w:r w:rsidRPr="00C011B2">
              <w:rPr>
                <w:rFonts w:ascii="Cambria Math" w:hAnsi="Cambria Math" w:cs="Cambria Math"/>
                <w:color w:val="000000" w:themeColor="text1"/>
                <w:vertAlign w:val="subscript"/>
                <w:lang w:val="ro-MD"/>
              </w:rPr>
              <w:t>∈</w:t>
            </w:r>
            <w:r w:rsidRPr="00C011B2">
              <w:rPr>
                <w:rFonts w:ascii="Times New Roman" w:hAnsi="Times New Roman" w:cs="Times New Roman"/>
                <w:color w:val="000000" w:themeColor="text1"/>
                <w:vertAlign w:val="subscript"/>
                <w:lang w:val="ro-MD"/>
              </w:rPr>
              <w:t xml:space="preserve"> lung</w:t>
            </w:r>
            <w:r w:rsidRPr="00C011B2">
              <w:rPr>
                <w:rFonts w:ascii="Times New Roman" w:hAnsi="Times New Roman" w:cs="Times New Roman"/>
                <w:color w:val="000000" w:themeColor="text1"/>
                <w:lang w:val="ro-MD"/>
              </w:rPr>
              <w:t> RW</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 net JTD</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 WtS · (Σ</w:t>
            </w:r>
            <w:r w:rsidRPr="00C011B2">
              <w:rPr>
                <w:rFonts w:ascii="Times New Roman" w:hAnsi="Times New Roman" w:cs="Times New Roman"/>
                <w:color w:val="000000" w:themeColor="text1"/>
                <w:vertAlign w:val="subscript"/>
                <w:lang w:val="ro-MD"/>
              </w:rPr>
              <w:t xml:space="preserve">i </w:t>
            </w:r>
            <w:r w:rsidRPr="00C011B2">
              <w:rPr>
                <w:rFonts w:ascii="Cambria Math" w:hAnsi="Cambria Math" w:cs="Cambria Math"/>
                <w:color w:val="000000" w:themeColor="text1"/>
                <w:vertAlign w:val="subscript"/>
                <w:lang w:val="ro-MD"/>
              </w:rPr>
              <w:t>∈</w:t>
            </w:r>
            <w:r w:rsidRPr="00C011B2">
              <w:rPr>
                <w:rFonts w:ascii="Times New Roman" w:hAnsi="Times New Roman" w:cs="Times New Roman"/>
                <w:color w:val="000000" w:themeColor="text1"/>
                <w:vertAlign w:val="subscript"/>
                <w:lang w:val="ro-MD"/>
              </w:rPr>
              <w:t xml:space="preserve"> scurt</w:t>
            </w:r>
            <w:r w:rsidRPr="00C011B2">
              <w:rPr>
                <w:rFonts w:ascii="Times New Roman" w:hAnsi="Times New Roman" w:cs="Times New Roman"/>
                <w:color w:val="000000" w:themeColor="text1"/>
                <w:lang w:val="ro-MD"/>
              </w:rPr>
              <w:t>RW</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|net JTD</w:t>
            </w:r>
            <w:r w:rsidRPr="00C011B2">
              <w:rPr>
                <w:rFonts w:ascii="Times New Roman" w:hAnsi="Times New Roman" w:cs="Times New Roman"/>
                <w:color w:val="000000" w:themeColor="text1"/>
                <w:vertAlign w:val="subscript"/>
                <w:lang w:val="ro-MD"/>
              </w:rPr>
              <w:t>i</w:t>
            </w:r>
            <w:r w:rsidRPr="00C011B2">
              <w:rPr>
                <w:rFonts w:ascii="Times New Roman" w:hAnsi="Times New Roman" w:cs="Times New Roman"/>
                <w:color w:val="000000" w:themeColor="text1"/>
                <w:lang w:val="ro-MD"/>
              </w:rPr>
              <w:t>|); 0}</w:t>
            </w:r>
          </w:p>
          <w:p w14:paraId="1E09B4F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129" w:type="dxa"/>
              <w:tblLayout w:type="fixed"/>
              <w:tblCellMar>
                <w:left w:w="0" w:type="dxa"/>
                <w:right w:w="0" w:type="dxa"/>
              </w:tblCellMar>
              <w:tblLook w:val="04A0" w:firstRow="1" w:lastRow="0" w:firstColumn="1" w:lastColumn="0" w:noHBand="0" w:noVBand="1"/>
            </w:tblPr>
            <w:tblGrid>
              <w:gridCol w:w="612"/>
              <w:gridCol w:w="85"/>
              <w:gridCol w:w="4432"/>
            </w:tblGrid>
            <w:tr w:rsidR="00106FB1" w:rsidRPr="00C011B2" w14:paraId="2EB9655E" w14:textId="77777777" w:rsidTr="001E785F">
              <w:tc>
                <w:tcPr>
                  <w:tcW w:w="612" w:type="dxa"/>
                  <w:shd w:val="clear" w:color="auto" w:fill="auto"/>
                  <w:hideMark/>
                </w:tcPr>
                <w:p w14:paraId="7570073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b</w:t>
                  </w:r>
                </w:p>
              </w:tc>
              <w:tc>
                <w:tcPr>
                  <w:tcW w:w="85" w:type="dxa"/>
                  <w:shd w:val="clear" w:color="auto" w:fill="auto"/>
                  <w:hideMark/>
                </w:tcPr>
                <w:p w14:paraId="65D114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2" w:type="dxa"/>
                  <w:shd w:val="clear" w:color="auto" w:fill="auto"/>
                  <w:hideMark/>
                </w:tcPr>
                <w:p w14:paraId="210A99C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benzii „b”;</w:t>
                  </w:r>
                </w:p>
              </w:tc>
            </w:tr>
          </w:tbl>
          <w:p w14:paraId="1972A257"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70"/>
              <w:gridCol w:w="129"/>
              <w:gridCol w:w="4912"/>
            </w:tblGrid>
            <w:tr w:rsidR="00106FB1" w:rsidRPr="00C011B2" w14:paraId="531EACE4" w14:textId="77777777" w:rsidTr="001E785F">
              <w:tc>
                <w:tcPr>
                  <w:tcW w:w="115" w:type="dxa"/>
                  <w:shd w:val="clear" w:color="auto" w:fill="auto"/>
                  <w:hideMark/>
                </w:tcPr>
                <w:p w14:paraId="5DCA994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228" w:type="dxa"/>
                  <w:shd w:val="clear" w:color="auto" w:fill="auto"/>
                  <w:hideMark/>
                </w:tcPr>
                <w:p w14:paraId="40662E8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346" w:type="dxa"/>
                  <w:shd w:val="clear" w:color="auto" w:fill="auto"/>
                  <w:hideMark/>
                </w:tcPr>
                <w:p w14:paraId="2B14AC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un instrument din banda b;</w:t>
                  </w:r>
                </w:p>
              </w:tc>
            </w:tr>
          </w:tbl>
          <w:p w14:paraId="5ADB7F8B"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815"/>
              <w:gridCol w:w="277"/>
              <w:gridCol w:w="4019"/>
            </w:tblGrid>
            <w:tr w:rsidR="00106FB1" w:rsidRPr="00C011B2" w14:paraId="2DC088C5" w14:textId="77777777" w:rsidTr="001E785F">
              <w:tc>
                <w:tcPr>
                  <w:tcW w:w="1536" w:type="dxa"/>
                  <w:shd w:val="clear" w:color="auto" w:fill="auto"/>
                  <w:hideMark/>
                </w:tcPr>
                <w:p w14:paraId="31B8D3B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w:t>
                  </w:r>
                  <w:r w:rsidRPr="00C011B2">
                    <w:rPr>
                      <w:rFonts w:ascii="Times New Roman" w:hAnsi="Times New Roman" w:cs="Times New Roman"/>
                      <w:color w:val="000000" w:themeColor="text1"/>
                      <w:vertAlign w:val="subscript"/>
                      <w:lang w:val="ro-MD"/>
                    </w:rPr>
                    <w:t>i</w:t>
                  </w:r>
                </w:p>
              </w:tc>
              <w:tc>
                <w:tcPr>
                  <w:tcW w:w="509" w:type="dxa"/>
                  <w:shd w:val="clear" w:color="auto" w:fill="auto"/>
                  <w:hideMark/>
                </w:tcPr>
                <w:p w14:paraId="1A9F9D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644" w:type="dxa"/>
                  <w:shd w:val="clear" w:color="auto" w:fill="auto"/>
                  <w:hideMark/>
                </w:tcPr>
                <w:p w14:paraId="7874A3E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și</w:t>
                  </w:r>
                </w:p>
              </w:tc>
            </w:tr>
          </w:tbl>
          <w:p w14:paraId="4E4BBBB7"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64" w:type="dxa"/>
              <w:tblLayout w:type="fixed"/>
              <w:tblCellMar>
                <w:left w:w="0" w:type="dxa"/>
                <w:right w:w="0" w:type="dxa"/>
              </w:tblCellMar>
              <w:tblLook w:val="04A0" w:firstRow="1" w:lastRow="0" w:firstColumn="1" w:lastColumn="0" w:noHBand="0" w:noVBand="1"/>
            </w:tblPr>
            <w:tblGrid>
              <w:gridCol w:w="470"/>
              <w:gridCol w:w="110"/>
              <w:gridCol w:w="4484"/>
            </w:tblGrid>
            <w:tr w:rsidR="00106FB1" w:rsidRPr="00C011B2" w14:paraId="52532AE1" w14:textId="77777777" w:rsidTr="001E785F">
              <w:tc>
                <w:tcPr>
                  <w:tcW w:w="470" w:type="dxa"/>
                  <w:shd w:val="clear" w:color="auto" w:fill="auto"/>
                  <w:hideMark/>
                </w:tcPr>
                <w:p w14:paraId="4A6D46A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WtS</w:t>
                  </w:r>
                </w:p>
              </w:tc>
              <w:tc>
                <w:tcPr>
                  <w:tcW w:w="110" w:type="dxa"/>
                  <w:shd w:val="clear" w:color="auto" w:fill="auto"/>
                  <w:hideMark/>
                </w:tcPr>
                <w:p w14:paraId="5D3B5E9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84" w:type="dxa"/>
                  <w:shd w:val="clear" w:color="auto" w:fill="auto"/>
                  <w:hideMark/>
                </w:tcPr>
                <w:p w14:paraId="49A8810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raport care reflectă beneficiul obținut în urma acoperirii împotriva riscurilor a relațiilor din cadrul unei benzi, calculat după cum urmează:</w:t>
                  </w:r>
                </w:p>
                <w:p w14:paraId="6069B50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72340EF" wp14:editId="2E7EE45F">
                        <wp:extent cx="3055620" cy="480695"/>
                        <wp:effectExtent l="0" t="0" r="0" b="0"/>
                        <wp:docPr id="155" name="Picture 1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55620" cy="480695"/>
                                </a:xfrm>
                                <a:prstGeom prst="rect">
                                  <a:avLst/>
                                </a:prstGeom>
                                <a:noFill/>
                                <a:ln>
                                  <a:noFill/>
                                </a:ln>
                              </pic:spPr>
                            </pic:pic>
                          </a:graphicData>
                        </a:graphic>
                      </wp:inline>
                    </w:drawing>
                  </w:r>
                </w:p>
              </w:tc>
            </w:tr>
          </w:tbl>
          <w:p w14:paraId="1EA91A35" w14:textId="6B953B8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244. În scopul calculării DRC</w:t>
            </w:r>
            <w:r w:rsidRPr="00C011B2">
              <w:rPr>
                <w:rFonts w:ascii="Times New Roman" w:hAnsi="Times New Roman" w:cs="Times New Roman"/>
                <w:color w:val="000000" w:themeColor="text1"/>
                <w:vertAlign w:val="subscript"/>
                <w:lang w:val="ro-MD"/>
              </w:rPr>
              <w:t>b</w:t>
            </w:r>
            <w:r w:rsidRPr="00C011B2">
              <w:rPr>
                <w:rFonts w:ascii="Times New Roman" w:hAnsi="Times New Roman" w:cs="Times New Roman"/>
                <w:color w:val="000000" w:themeColor="text1"/>
                <w:lang w:val="ro-MD"/>
              </w:rPr>
              <w:t> și a WtS, pozițiile lungi și pozițiile scurte sunt agregate pentru toate pozițiile din cadrul unei benzi, indiferent de nivelul de calitate a creditului căruia îi sunt atribuite pozițiile respective, pentru a se obține cerințele de fonduri proprii pentru riscul de nerambursare specifice benzii.</w:t>
            </w:r>
          </w:p>
        </w:tc>
        <w:tc>
          <w:tcPr>
            <w:tcW w:w="450" w:type="pct"/>
          </w:tcPr>
          <w:p w14:paraId="585F2A49" w14:textId="534185A2"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5E613D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B78221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C885CE1" w14:textId="5650DAC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Cerința finală de fonduri proprii pentru riscul de nerambursare aferentă instrumentelor care nu sunt poziții din securitizare se calculează ca suma simplă a cerințelor de fonduri proprii la nivel de bandă.</w:t>
            </w:r>
          </w:p>
        </w:tc>
        <w:tc>
          <w:tcPr>
            <w:tcW w:w="1692" w:type="pct"/>
            <w:shd w:val="clear" w:color="auto" w:fill="auto"/>
          </w:tcPr>
          <w:p w14:paraId="265FF8A2" w14:textId="4ABAAD7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245.  Cerința finală de fonduri proprii pentru riscul de nerambursare aferentă instrumentelor care nu sunt poziții din securitizare se calculează ca suma simplă a cerințelor de fonduri proprii la nivel de bandă.</w:t>
            </w:r>
          </w:p>
        </w:tc>
        <w:tc>
          <w:tcPr>
            <w:tcW w:w="450" w:type="pct"/>
          </w:tcPr>
          <w:p w14:paraId="4AD230F9" w14:textId="64B81884"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CAD9D4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B2D6BD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66C4B72"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7" w:tooltip="32024R1623: INSERTED" w:history="1">
              <w:r w:rsidR="00106FB1" w:rsidRPr="00C011B2">
                <w:rPr>
                  <w:rStyle w:val="Hyperlink"/>
                  <w:rFonts w:ascii="Times New Roman" w:hAnsi="Times New Roman" w:cs="Times New Roman"/>
                  <w:b/>
                  <w:bCs/>
                  <w:lang w:val="ro-MD"/>
                </w:rPr>
                <w:t>▼M17</w:t>
              </w:r>
            </w:hyperlink>
          </w:p>
          <w:p w14:paraId="68208E95" w14:textId="56BC455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(6)   În sensul prezentului articol, unei expuneri i se atribuie categoria de calitate a creditului corespunzătoare categoriei de calitate a creditului pe care ar urma să o primească în conformitate cu abordarea standardizată pentru riscul de credit prevăzută în titlul II capitolul 2.</w:t>
            </w:r>
          </w:p>
        </w:tc>
        <w:tc>
          <w:tcPr>
            <w:tcW w:w="1692" w:type="pct"/>
            <w:shd w:val="clear" w:color="auto" w:fill="auto"/>
          </w:tcPr>
          <w:p w14:paraId="440AD461" w14:textId="68FC76F0"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4" w:name="_Hlk223016053"/>
            <w:r w:rsidRPr="00C011B2">
              <w:rPr>
                <w:rFonts w:ascii="Times New Roman" w:hAnsi="Times New Roman" w:cs="Times New Roman"/>
                <w:color w:val="000000" w:themeColor="text1"/>
                <w:lang w:val="ro-MD"/>
              </w:rPr>
              <w:lastRenderedPageBreak/>
              <w:t xml:space="preserve">246.   În sensul prezentului paragraf, unei expuneri i se atribuie categoria de calitate a creditului corespunzătoare </w:t>
            </w:r>
            <w:r w:rsidRPr="00C011B2">
              <w:rPr>
                <w:rFonts w:ascii="Times New Roman" w:hAnsi="Times New Roman" w:cs="Times New Roman"/>
                <w:color w:val="000000" w:themeColor="text1"/>
                <w:lang w:val="ro-MD"/>
              </w:rPr>
              <w:lastRenderedPageBreak/>
              <w:t>categoriei de calitate a creditului pe care ar urma să o primească în conformitate cu abordarea standardizată pentru riscul de credit prevăzută în Regulamentul nr.111/2018 .</w:t>
            </w:r>
            <w:bookmarkEnd w:id="214"/>
          </w:p>
        </w:tc>
        <w:tc>
          <w:tcPr>
            <w:tcW w:w="450" w:type="pct"/>
          </w:tcPr>
          <w:p w14:paraId="6E825671" w14:textId="4BF7F4E5"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93B18A7"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B4CF0C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8AA5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2</w:t>
            </w:r>
          </w:p>
          <w:p w14:paraId="0909784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pentru securitizări neincluse în ACTP</w:t>
            </w:r>
          </w:p>
          <w:p w14:paraId="4B584510"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325z</w:t>
            </w:r>
          </w:p>
          <w:p w14:paraId="4ED9D91E" w14:textId="3A2C464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Cuantumurile trecerii bruște în starea de nerambursare</w:t>
            </w:r>
          </w:p>
        </w:tc>
        <w:tc>
          <w:tcPr>
            <w:tcW w:w="1692" w:type="pct"/>
            <w:shd w:val="clear" w:color="auto" w:fill="auto"/>
          </w:tcPr>
          <w:p w14:paraId="13D59E7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5" w:name="_Hlk195097474"/>
            <w:r w:rsidRPr="00C011B2">
              <w:rPr>
                <w:rFonts w:ascii="Times New Roman" w:hAnsi="Times New Roman" w:cs="Times New Roman"/>
                <w:color w:val="000000" w:themeColor="text1"/>
                <w:lang w:val="ro-MD"/>
              </w:rPr>
              <w:t>Subsecțiunea 2</w:t>
            </w:r>
          </w:p>
          <w:p w14:paraId="052E184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pentru securitizări neincluse în ACTP</w:t>
            </w:r>
          </w:p>
          <w:p w14:paraId="166B30E3" w14:textId="17D59DD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Paragraful 1.</w:t>
            </w:r>
            <w:r w:rsidRPr="00C011B2">
              <w:rPr>
                <w:rFonts w:ascii="Times New Roman" w:hAnsi="Times New Roman" w:cs="Times New Roman"/>
                <w:b/>
                <w:bCs/>
                <w:color w:val="000000" w:themeColor="text1"/>
                <w:lang w:val="ro-MD"/>
              </w:rPr>
              <w:t>Cuantumurile trecerii bruște în starea de nerambursare</w:t>
            </w:r>
            <w:bookmarkEnd w:id="215"/>
          </w:p>
        </w:tc>
        <w:tc>
          <w:tcPr>
            <w:tcW w:w="450" w:type="pct"/>
          </w:tcPr>
          <w:p w14:paraId="293F37E7"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79505EA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9E2A0A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CB3651" w14:textId="31E5581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Cuantumurile brute ale trecerii bruște în starea de nerambursare pentru expunerile din securitizare sunt valoarea lor de piață sau, dacă valoarea lor de piață nu este disponibilă, valoarea lor justă determinată în conformitate cu cadrul contabil aplicabil.</w:t>
            </w:r>
          </w:p>
        </w:tc>
        <w:tc>
          <w:tcPr>
            <w:tcW w:w="1692" w:type="pct"/>
            <w:shd w:val="clear" w:color="auto" w:fill="auto"/>
          </w:tcPr>
          <w:p w14:paraId="16EF9426" w14:textId="79142FF7"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6" w:name="_Hlk223016110"/>
            <w:r w:rsidRPr="00C011B2">
              <w:rPr>
                <w:rFonts w:ascii="Times New Roman" w:hAnsi="Times New Roman" w:cs="Times New Roman"/>
                <w:color w:val="000000" w:themeColor="text1"/>
                <w:lang w:val="ro-MD"/>
              </w:rPr>
              <w:t>247. Cuantumurile brute ale trecerii bruște în starea de nerambursare pentru expunerile din securitizare sunt valoarea lor de piață sau, dacă valoarea lor de piață nu este disponibilă, valoarea lor justă determinată în conformitate cu cadrul contabil aplicabil.</w:t>
            </w:r>
            <w:bookmarkEnd w:id="216"/>
          </w:p>
        </w:tc>
        <w:tc>
          <w:tcPr>
            <w:tcW w:w="450" w:type="pct"/>
          </w:tcPr>
          <w:p w14:paraId="00133DAA" w14:textId="5EEE69BB"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D315DA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C4AFB0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EE457CA" w14:textId="1CA0486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Cuantumurile nete ale trecerii bruște în starea de nerambursare se determină prin compensarea cuantumurilor brute lungi ale trecerii bruște în starea de nerambursare cu cuantumurile brute scurte ale trecerii bruște în starea de nerambursare. Compensarea este posibilă numai între expuneri din securitizare care au același portofoliu de active-suport și sunt incluse în </w:t>
            </w:r>
            <w:r w:rsidRPr="00C011B2">
              <w:rPr>
                <w:rFonts w:ascii="Times New Roman" w:hAnsi="Times New Roman" w:cs="Times New Roman"/>
                <w:color w:val="000000" w:themeColor="text1"/>
                <w:lang w:val="ro-MD"/>
              </w:rPr>
              <w:lastRenderedPageBreak/>
              <w:t>aceeași tranșă. Compensarea nu este permisă între expuneri din securitizare care au portofolii de active-suport diferite, chiar dacă plafoanele de afectare și de neafectare sunt aceleași.</w:t>
            </w:r>
          </w:p>
        </w:tc>
        <w:tc>
          <w:tcPr>
            <w:tcW w:w="1692" w:type="pct"/>
            <w:shd w:val="clear" w:color="auto" w:fill="auto"/>
          </w:tcPr>
          <w:p w14:paraId="4908E17C" w14:textId="16811D28"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7" w:name="_Hlk223016140"/>
            <w:r w:rsidRPr="00C011B2">
              <w:rPr>
                <w:rFonts w:ascii="Times New Roman" w:hAnsi="Times New Roman" w:cs="Times New Roman"/>
                <w:color w:val="000000" w:themeColor="text1"/>
                <w:lang w:val="ro-MD"/>
              </w:rPr>
              <w:lastRenderedPageBreak/>
              <w:t xml:space="preserve">248.   Cuantumurile nete ale trecerii bruște în starea de nerambursare se determină prin compensarea cuantumurilor brute lungi ale trecerii bruște în starea de nerambursare cu cuantumurile brute scurte ale trecerii bruște în starea de nerambursare. Compensarea este posibilă numai între expuneri din securitizare care au același portofoliu de active-suport și sunt incluse în aceeași </w:t>
            </w:r>
            <w:r w:rsidRPr="00C011B2">
              <w:rPr>
                <w:rFonts w:ascii="Times New Roman" w:hAnsi="Times New Roman" w:cs="Times New Roman"/>
                <w:color w:val="000000" w:themeColor="text1"/>
                <w:lang w:val="ro-MD"/>
              </w:rPr>
              <w:lastRenderedPageBreak/>
              <w:t>tranșă. Compensarea nu este permisă între expuneri din securitizare care au portofolii de active-suport diferite, chiar dacă plafoanele de afectare și de neafectare sunt aceleași.</w:t>
            </w:r>
            <w:bookmarkEnd w:id="217"/>
          </w:p>
        </w:tc>
        <w:tc>
          <w:tcPr>
            <w:tcW w:w="450" w:type="pct"/>
          </w:tcPr>
          <w:p w14:paraId="74BF2AAF" w14:textId="2EB73BBC"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4D5773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273B1F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F142B7A" w14:textId="2892637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în care, prin descompunerea sau combinarea expunerilor din securitizare existente, pot fi reproduse perfect alte expuneri din securitizare existente, mai puțin în ceea ce privește dimensiunea scadenței, în scopul compensării pot fi utilizate expunerile care rezultă din descompunerea sau combinarea respectivă în locul expunerilor din securitizare existente.</w:t>
            </w:r>
          </w:p>
        </w:tc>
        <w:tc>
          <w:tcPr>
            <w:tcW w:w="1692" w:type="pct"/>
            <w:shd w:val="clear" w:color="auto" w:fill="auto"/>
          </w:tcPr>
          <w:p w14:paraId="63D4B877" w14:textId="724835E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8" w:name="_Hlk223016158"/>
            <w:r w:rsidRPr="00C011B2">
              <w:rPr>
                <w:rFonts w:ascii="Times New Roman" w:hAnsi="Times New Roman" w:cs="Times New Roman"/>
                <w:color w:val="000000" w:themeColor="text1"/>
                <w:lang w:val="ro-MD"/>
              </w:rPr>
              <w:t>249.  În cazul în care, prin descompunerea sau combinarea expunerilor din securitizare existente, pot fi reproduse perfect alte expuneri din securitizare existente, mai puțin în ceea ce privește dimensiunea scadenței, în scopul compensării pot fi utilizate expunerile care rezultă din descompunerea sau combinarea respectivă în locul expunerilor din securitizare existente.</w:t>
            </w:r>
            <w:bookmarkEnd w:id="218"/>
          </w:p>
        </w:tc>
        <w:tc>
          <w:tcPr>
            <w:tcW w:w="450" w:type="pct"/>
          </w:tcPr>
          <w:p w14:paraId="72B5A291" w14:textId="052AA0DA"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D2A7FC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D0890E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1330E94" w14:textId="382AB24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cazul în care, prin descompunerea sau combinarea expunerilor existente față de semnăturile suport, poate fi reprodusă perfect întreaga structură pe tranșe a unei expuneri din securitizare existente, în scopul compensării pot fi utilizate expunerile care rezultă din descompunerea sau combinarea respectivă în locul expunerilor din securitizare existente. Atunci când numele activelor-suport sunt utilizate în acest mod, acestea sunt excluse de la tratamentul riscului de nerambursare pentru instrumente care nu sunt poziții din securitizare.</w:t>
            </w:r>
          </w:p>
        </w:tc>
        <w:tc>
          <w:tcPr>
            <w:tcW w:w="1692" w:type="pct"/>
            <w:shd w:val="clear" w:color="auto" w:fill="auto"/>
          </w:tcPr>
          <w:p w14:paraId="5EC31B21" w14:textId="57491631"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19" w:name="_Hlk223016180"/>
            <w:r w:rsidRPr="00C011B2">
              <w:rPr>
                <w:rFonts w:ascii="Times New Roman" w:hAnsi="Times New Roman" w:cs="Times New Roman"/>
                <w:color w:val="000000" w:themeColor="text1"/>
                <w:lang w:val="ro-MD"/>
              </w:rPr>
              <w:t>250.   În cazul în care, prin descompunerea sau combinarea expunerilor existente față de semnăturile suport, poate fi reprodusă perfect întreaga structură pe tranșe a unei expuneri din securitizare existente, în scopul compensării pot fi utilizate expunerile care rezultă din descompunerea sau combinarea respectivă în locul expunerilor din securitizare existente. Atunci când numele activelor-suport sunt utilizate în acest mod, acestea sunt excluse de la tratamentul riscului de nerambursare pentru instrumente care nu sunt poziții din securitizare.</w:t>
            </w:r>
            <w:bookmarkEnd w:id="219"/>
          </w:p>
        </w:tc>
        <w:tc>
          <w:tcPr>
            <w:tcW w:w="450" w:type="pct"/>
          </w:tcPr>
          <w:p w14:paraId="7DF4B93F" w14:textId="71A96594"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073942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CADCAC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AC4C2E8" w14:textId="0869F8A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Articolul 325x se aplică atât expunerilor din securitizare existente, cât și expunerilor din securitizare </w:t>
            </w:r>
            <w:r w:rsidRPr="00C011B2">
              <w:rPr>
                <w:rFonts w:ascii="Times New Roman" w:hAnsi="Times New Roman" w:cs="Times New Roman"/>
                <w:color w:val="000000" w:themeColor="text1"/>
                <w:lang w:val="ro-MD"/>
              </w:rPr>
              <w:lastRenderedPageBreak/>
              <w:t>utilizate în conformitate cu alineatul (3) sau (4) de la prezentul articol. Scadențele relevante sunt cele ale tranșelor din securitizare.</w:t>
            </w:r>
          </w:p>
        </w:tc>
        <w:tc>
          <w:tcPr>
            <w:tcW w:w="1692" w:type="pct"/>
            <w:shd w:val="clear" w:color="auto" w:fill="auto"/>
          </w:tcPr>
          <w:p w14:paraId="6976399C" w14:textId="1E5AE8A0"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0" w:name="_Hlk223016196"/>
            <w:r w:rsidRPr="00C011B2">
              <w:rPr>
                <w:rFonts w:ascii="Times New Roman" w:hAnsi="Times New Roman" w:cs="Times New Roman"/>
                <w:color w:val="000000" w:themeColor="text1"/>
                <w:lang w:val="ro-MD"/>
              </w:rPr>
              <w:lastRenderedPageBreak/>
              <w:t xml:space="preserve">251.   Subsecțiunea 1, paragraful 2 se aplică atât expunerilor din securitizare existente, cât și expunerilor </w:t>
            </w:r>
            <w:r w:rsidRPr="00C011B2">
              <w:rPr>
                <w:rFonts w:ascii="Times New Roman" w:hAnsi="Times New Roman" w:cs="Times New Roman"/>
                <w:color w:val="000000" w:themeColor="text1"/>
                <w:lang w:val="ro-MD"/>
              </w:rPr>
              <w:lastRenderedPageBreak/>
              <w:t>din securitizare utilizate în conformitate cu pct.249 sau 250. Scadențele relevante sunt cele ale tranșelor din securitizare.</w:t>
            </w:r>
            <w:bookmarkEnd w:id="220"/>
          </w:p>
        </w:tc>
        <w:tc>
          <w:tcPr>
            <w:tcW w:w="450" w:type="pct"/>
          </w:tcPr>
          <w:p w14:paraId="778D1546" w14:textId="6212EC9B"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A76051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EF7CAC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FAD12F6" w14:textId="7DFF6B96" w:rsidR="00106FB1" w:rsidRPr="00C011B2" w:rsidRDefault="00106FB1" w:rsidP="00106FB1">
            <w:pPr>
              <w:tabs>
                <w:tab w:val="left" w:pos="470"/>
              </w:tabs>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325aa</w:t>
            </w:r>
          </w:p>
          <w:p w14:paraId="00F61EF9" w14:textId="4ACF49F6" w:rsidR="00106FB1" w:rsidRPr="00C011B2" w:rsidRDefault="00106FB1" w:rsidP="00106FB1">
            <w:pPr>
              <w:tabs>
                <w:tab w:val="left" w:pos="47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Calcularea cerinței de fonduri proprii pentru riscul de nerambursare pentru securitizări</w:t>
            </w:r>
          </w:p>
        </w:tc>
        <w:tc>
          <w:tcPr>
            <w:tcW w:w="1692" w:type="pct"/>
            <w:shd w:val="clear" w:color="auto" w:fill="auto"/>
          </w:tcPr>
          <w:p w14:paraId="7D0EED73" w14:textId="77B5399C"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1" w:name="_Hlk195097522"/>
            <w:r w:rsidRPr="00C011B2">
              <w:rPr>
                <w:rFonts w:ascii="Times New Roman" w:hAnsi="Times New Roman" w:cs="Times New Roman"/>
                <w:i/>
                <w:iCs/>
                <w:color w:val="000000" w:themeColor="text1"/>
                <w:lang w:val="ro-MD"/>
              </w:rPr>
              <w:t>Paragraful 2.</w:t>
            </w:r>
            <w:r w:rsidRPr="00C011B2">
              <w:rPr>
                <w:rFonts w:ascii="Times New Roman" w:hAnsi="Times New Roman" w:cs="Times New Roman"/>
                <w:b/>
                <w:bCs/>
                <w:color w:val="000000" w:themeColor="text1"/>
                <w:lang w:val="ro-MD"/>
              </w:rPr>
              <w:t>Calcularea cerinței de fonduri proprii pentru riscul de nerambursare pentru securitizări</w:t>
            </w:r>
            <w:bookmarkEnd w:id="221"/>
          </w:p>
        </w:tc>
        <w:tc>
          <w:tcPr>
            <w:tcW w:w="450" w:type="pct"/>
          </w:tcPr>
          <w:p w14:paraId="40B8616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7C7E28F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D3EBCF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762D31E" w14:textId="2385BAC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Cuantumurile nete ale JTD aferente expunerilor din securitizare se înmulțesc cu 8 % din ponderea de risc care se aplică expunerii din securitizare relevante, inclusiv din securitizările STS (simple, transparente și standardizate), din afara portofoliului de tranzacționare, în conformitate cu ierarhia abordărilor prevăzută la titlul II capitolul 5 secțiunea 3 și indiferent de tipul de contraparte.</w:t>
            </w:r>
          </w:p>
        </w:tc>
        <w:tc>
          <w:tcPr>
            <w:tcW w:w="1692" w:type="pct"/>
            <w:shd w:val="clear" w:color="auto" w:fill="auto"/>
          </w:tcPr>
          <w:p w14:paraId="1549E61D" w14:textId="5D6D0E9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252.   Cuantumurile nete ale JTD aferente expunerilor din securitizare se înmulțesc cu </w:t>
            </w:r>
            <w:r w:rsidR="00B03320" w:rsidRPr="00C011B2">
              <w:rPr>
                <w:rFonts w:ascii="Times New Roman" w:hAnsi="Times New Roman" w:cs="Times New Roman"/>
                <w:color w:val="000000" w:themeColor="text1"/>
                <w:lang w:val="ro-MD"/>
              </w:rPr>
              <w:t>10</w:t>
            </w:r>
            <w:r w:rsidRPr="00C011B2">
              <w:rPr>
                <w:rFonts w:ascii="Times New Roman" w:hAnsi="Times New Roman" w:cs="Times New Roman"/>
                <w:color w:val="000000" w:themeColor="text1"/>
                <w:lang w:val="ro-MD"/>
              </w:rPr>
              <w:t> % din ponderea de risc care se aplică expunerii din securitizare relevante, inclusiv din securitizările STS (simple, transparente și standardizate), din afara portofoliului de tranzacționare, în conformitate cu ierarhia abordărilor prevăzută la capitolul IV din Regulamentul nr.221/2025 privind tratamentul prudenţial al securitizărilor și indiferent de tipul de contraparte.</w:t>
            </w:r>
          </w:p>
        </w:tc>
        <w:tc>
          <w:tcPr>
            <w:tcW w:w="450" w:type="pct"/>
          </w:tcPr>
          <w:p w14:paraId="4F0DB390" w14:textId="0F175CEE" w:rsidR="00106FB1" w:rsidRPr="00C011B2" w:rsidRDefault="00B03320"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Parțial </w:t>
            </w:r>
            <w:r w:rsidR="009C2D83" w:rsidRPr="00C011B2">
              <w:rPr>
                <w:rFonts w:ascii="Times New Roman" w:hAnsi="Times New Roman" w:cs="Times New Roman"/>
                <w:color w:val="000000" w:themeColor="text1"/>
                <w:lang w:val="ro-MD"/>
              </w:rPr>
              <w:t>compatibil</w:t>
            </w:r>
          </w:p>
        </w:tc>
        <w:tc>
          <w:tcPr>
            <w:tcW w:w="1261" w:type="pct"/>
          </w:tcPr>
          <w:p w14:paraId="5BAE6AA9" w14:textId="0F71DE24" w:rsidR="00106FB1" w:rsidRPr="00C011B2" w:rsidRDefault="00B03320"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de 8% se va aplica de la data intrării în vigoare a Tratatului de aderare a Republicii Moldova la Uniunea Europeană. Până la data respectivă se va aplica ponderea de risc de 8% astfel cum stabilesc prevederile Regulamentului nr.109/2018 cu privire la fondurile proprii ale băncilor şi cerinţele de capital.</w:t>
            </w:r>
          </w:p>
        </w:tc>
      </w:tr>
      <w:tr w:rsidR="00106FB1" w:rsidRPr="00C011B2" w14:paraId="57EB22A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1279A5" w14:textId="2FEDF30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cazul în care ponderile de risc sunt calculate în conformitate cu abordările SEC-IRBA și SEC-ERBA, tuturor tranșelor li se aplică o scadență de un an.</w:t>
            </w:r>
          </w:p>
        </w:tc>
        <w:tc>
          <w:tcPr>
            <w:tcW w:w="1692" w:type="pct"/>
            <w:shd w:val="clear" w:color="auto" w:fill="auto"/>
          </w:tcPr>
          <w:p w14:paraId="64D192D2" w14:textId="0A8F6BC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2" w:name="_Hlk223070381"/>
            <w:r w:rsidRPr="00C011B2">
              <w:rPr>
                <w:rFonts w:ascii="Times New Roman" w:hAnsi="Times New Roman" w:cs="Times New Roman"/>
                <w:color w:val="000000" w:themeColor="text1"/>
                <w:lang w:val="ro-MD"/>
              </w:rPr>
              <w:t>253.   În cazul în care ponderile de risc sunt calculate în conformitate cu abordările SEC-IRBA și SEC-ERBA, tuturor tranșelor li se aplică o scadență de un an.</w:t>
            </w:r>
            <w:bookmarkEnd w:id="222"/>
          </w:p>
        </w:tc>
        <w:tc>
          <w:tcPr>
            <w:tcW w:w="450" w:type="pct"/>
          </w:tcPr>
          <w:p w14:paraId="56FA60FF" w14:textId="25C5B2EA"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E680741"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A4F4AC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40F63CF" w14:textId="3BA15E6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Cuantumurile ponderate la risc ale JTD pentru expuneri din securitizare individuale în numerar sunt plafonate la valoarea justă a poziției.</w:t>
            </w:r>
          </w:p>
        </w:tc>
        <w:tc>
          <w:tcPr>
            <w:tcW w:w="1692" w:type="pct"/>
            <w:shd w:val="clear" w:color="auto" w:fill="auto"/>
          </w:tcPr>
          <w:p w14:paraId="4D74CA93" w14:textId="3B26A9C7"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3" w:name="_Hlk223070398"/>
            <w:r w:rsidRPr="00C011B2">
              <w:rPr>
                <w:rFonts w:ascii="Times New Roman" w:hAnsi="Times New Roman" w:cs="Times New Roman"/>
                <w:color w:val="000000" w:themeColor="text1"/>
                <w:lang w:val="ro-MD"/>
              </w:rPr>
              <w:t>254.   Cuantumurile ponderate la risc ale JTD pentru expuneri din securitizare individuale în numerar sunt plafonate la valoarea justă a poziției.</w:t>
            </w:r>
            <w:bookmarkEnd w:id="223"/>
          </w:p>
        </w:tc>
        <w:tc>
          <w:tcPr>
            <w:tcW w:w="450" w:type="pct"/>
          </w:tcPr>
          <w:p w14:paraId="148C4318" w14:textId="73A888FF"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3F6B37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B3C58E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B613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w:t>
            </w:r>
          </w:p>
          <w:p w14:paraId="511FD66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nete ponderate la risc ale JTD se încadrează în următoarele benzi:</w:t>
            </w:r>
          </w:p>
          <w:p w14:paraId="4D72309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w:t>
            </w:r>
          </w:p>
          <w:p w14:paraId="30BE3F7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o bandă comună pentru toate societățile, indiferent de regiune;</w:t>
            </w:r>
          </w:p>
          <w:p w14:paraId="0D9647D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w:t>
            </w:r>
          </w:p>
          <w:p w14:paraId="594F14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44 de benzi diferite, corespunzând unei benzi per regiune, pentru fiecare dintre cele 11 clase de active definite la al doilea paragraf.</w:t>
            </w:r>
          </w:p>
          <w:p w14:paraId="703E652D" w14:textId="43425D7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sensul primului paragraf, cele 11 clase de active sunt ABCP, împrumuturile/contractele de leasing auto, titlurile garantate cu ipoteci asupra proprietăților imobiliare locative (RMBS), cardurile de credit, titlurile garantate cu ipoteci asupra proprietăților imobiliare comerciale (CMBS), titluri garantate cu împrumuturi colateralizate, titluri garantate cu active „la pătrat” (</w:t>
            </w:r>
            <w:r w:rsidRPr="00C011B2">
              <w:rPr>
                <w:rFonts w:ascii="Times New Roman" w:hAnsi="Times New Roman" w:cs="Times New Roman"/>
                <w:i/>
                <w:iCs/>
                <w:color w:val="000000" w:themeColor="text1"/>
                <w:lang w:val="ro-MD"/>
              </w:rPr>
              <w:t>CDO-squared</w:t>
            </w:r>
            <w:r w:rsidRPr="00C011B2">
              <w:rPr>
                <w:rFonts w:ascii="Times New Roman" w:hAnsi="Times New Roman" w:cs="Times New Roman"/>
                <w:color w:val="000000" w:themeColor="text1"/>
                <w:lang w:val="ro-MD"/>
              </w:rPr>
              <w:t>), întreprinderi mici și mijlocii („IMM-uri”), împrumuturi pentru studenți, alte active de tipul </w:t>
            </w:r>
            <w:r w:rsidRPr="00C011B2">
              <w:rPr>
                <w:rFonts w:ascii="Times New Roman" w:hAnsi="Times New Roman" w:cs="Times New Roman"/>
                <w:i/>
                <w:iCs/>
                <w:color w:val="000000" w:themeColor="text1"/>
                <w:lang w:val="ro-MD"/>
              </w:rPr>
              <w:t>retail</w:t>
            </w:r>
            <w:r w:rsidRPr="00C011B2">
              <w:rPr>
                <w:rFonts w:ascii="Times New Roman" w:hAnsi="Times New Roman" w:cs="Times New Roman"/>
                <w:color w:val="000000" w:themeColor="text1"/>
                <w:lang w:val="ro-MD"/>
              </w:rPr>
              <w:t>, alte active de tipul </w:t>
            </w:r>
            <w:r w:rsidRPr="00C011B2">
              <w:rPr>
                <w:rFonts w:ascii="Times New Roman" w:hAnsi="Times New Roman" w:cs="Times New Roman"/>
                <w:i/>
                <w:iCs/>
                <w:color w:val="000000" w:themeColor="text1"/>
                <w:lang w:val="ro-MD"/>
              </w:rPr>
              <w:t>wholesale</w:t>
            </w:r>
            <w:r w:rsidRPr="00C011B2">
              <w:rPr>
                <w:rFonts w:ascii="Times New Roman" w:hAnsi="Times New Roman" w:cs="Times New Roman"/>
                <w:color w:val="000000" w:themeColor="text1"/>
                <w:lang w:val="ro-MD"/>
              </w:rPr>
              <w:t>. Cele patru regiuni sunt Asia, Europa, America de Nord și restul lumii.</w:t>
            </w:r>
          </w:p>
        </w:tc>
        <w:tc>
          <w:tcPr>
            <w:tcW w:w="1692" w:type="pct"/>
            <w:shd w:val="clear" w:color="auto" w:fill="auto"/>
          </w:tcPr>
          <w:p w14:paraId="03AE8E3D" w14:textId="554C1421"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4" w:name="_Hlk223070420"/>
            <w:r w:rsidRPr="00C011B2">
              <w:rPr>
                <w:rFonts w:ascii="Times New Roman" w:hAnsi="Times New Roman" w:cs="Times New Roman"/>
                <w:color w:val="000000" w:themeColor="text1"/>
                <w:lang w:val="ro-MD"/>
              </w:rPr>
              <w:lastRenderedPageBreak/>
              <w:t>255.   </w:t>
            </w:r>
          </w:p>
          <w:p w14:paraId="5A9374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Cuantumurile nete ponderate la risc ale JTD se încadrează în următoarele benzi:</w:t>
            </w:r>
          </w:p>
          <w:p w14:paraId="65EA4BFD" w14:textId="62AD11D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255.1. </w:t>
            </w:r>
          </w:p>
          <w:p w14:paraId="687206C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o bandă comună pentru toate societățile, indiferent de regiune;</w:t>
            </w:r>
          </w:p>
          <w:p w14:paraId="797B8A6F" w14:textId="2492A63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255.2. </w:t>
            </w:r>
          </w:p>
          <w:p w14:paraId="137ACBB9" w14:textId="28FEA96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44 de benzi diferite, corespunzând unei benzi per regiune, pentru fiecare dintre cele 11 clase de active definite la pct.256.</w:t>
            </w:r>
          </w:p>
          <w:p w14:paraId="24BC594C" w14:textId="4CB4A03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256. În sensul pct.255, cele 11 clase de active sunt ABCP, împrumuturile/contractele de leasing auto, titlurile garantate cu ipoteci asupra proprietăților imobiliare locative (RMBS), cardurile de credit, titlurile garantate cu ipoteci asupra proprietăților imobiliare comerciale (CMBS), titluri garantate cu împrumuturi colateralizate, titluri garantate cu active „la pătrat” (</w:t>
            </w:r>
            <w:r w:rsidRPr="00C011B2">
              <w:rPr>
                <w:rFonts w:ascii="Times New Roman" w:hAnsi="Times New Roman" w:cs="Times New Roman"/>
                <w:i/>
                <w:iCs/>
                <w:color w:val="000000" w:themeColor="text1"/>
                <w:lang w:val="ro-MD"/>
              </w:rPr>
              <w:t>CDO-squared</w:t>
            </w:r>
            <w:r w:rsidRPr="00C011B2">
              <w:rPr>
                <w:rFonts w:ascii="Times New Roman" w:hAnsi="Times New Roman" w:cs="Times New Roman"/>
                <w:color w:val="000000" w:themeColor="text1"/>
                <w:lang w:val="ro-MD"/>
              </w:rPr>
              <w:t>), întreprinderi mici și mijlocii („IMM-uri”), împrumuturi pentru studenți, alte active de tipul </w:t>
            </w:r>
            <w:r w:rsidRPr="00C011B2">
              <w:rPr>
                <w:rFonts w:ascii="Times New Roman" w:hAnsi="Times New Roman" w:cs="Times New Roman"/>
                <w:i/>
                <w:iCs/>
                <w:color w:val="000000" w:themeColor="text1"/>
                <w:lang w:val="ro-MD"/>
              </w:rPr>
              <w:t>retail</w:t>
            </w:r>
            <w:r w:rsidRPr="00C011B2">
              <w:rPr>
                <w:rFonts w:ascii="Times New Roman" w:hAnsi="Times New Roman" w:cs="Times New Roman"/>
                <w:color w:val="000000" w:themeColor="text1"/>
                <w:lang w:val="ro-MD"/>
              </w:rPr>
              <w:t>, alte active de tipul </w:t>
            </w:r>
            <w:r w:rsidRPr="00C011B2">
              <w:rPr>
                <w:rFonts w:ascii="Times New Roman" w:hAnsi="Times New Roman" w:cs="Times New Roman"/>
                <w:i/>
                <w:iCs/>
                <w:color w:val="000000" w:themeColor="text1"/>
                <w:lang w:val="ro-MD"/>
              </w:rPr>
              <w:t>wholesale</w:t>
            </w:r>
            <w:r w:rsidRPr="00C011B2">
              <w:rPr>
                <w:rFonts w:ascii="Times New Roman" w:hAnsi="Times New Roman" w:cs="Times New Roman"/>
                <w:color w:val="000000" w:themeColor="text1"/>
                <w:lang w:val="ro-MD"/>
              </w:rPr>
              <w:t>. Cele patru regiuni sunt Asia, Europa, America de Nord și restul lumii.</w:t>
            </w:r>
            <w:bookmarkEnd w:id="224"/>
          </w:p>
        </w:tc>
        <w:tc>
          <w:tcPr>
            <w:tcW w:w="450" w:type="pct"/>
          </w:tcPr>
          <w:p w14:paraId="68BA8C74" w14:textId="201C8D8E"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7AB21C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FF7EC6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080063" w14:textId="254C44A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La încadrarea într-o bandă a unei expuneri din securitizare, instituțiile se bazează pe o clasificare utilizată în mod curent pe piață. Instituțiile încadrează fiecare expunere din securitizare într-o singură bandă dintre benzile menționate la alineatul (4). Orice expunere din securitizare pe care o instituție nu o poate atribui unei benzi pentru o clasă de active sau o regiune </w:t>
            </w:r>
            <w:r w:rsidRPr="00C011B2">
              <w:rPr>
                <w:rFonts w:ascii="Times New Roman" w:hAnsi="Times New Roman" w:cs="Times New Roman"/>
                <w:color w:val="000000" w:themeColor="text1"/>
                <w:lang w:val="ro-MD"/>
              </w:rPr>
              <w:lastRenderedPageBreak/>
              <w:t>este atribuită clasei de „alte active de tipul </w:t>
            </w:r>
            <w:r w:rsidRPr="00C011B2">
              <w:rPr>
                <w:rFonts w:ascii="Times New Roman" w:hAnsi="Times New Roman" w:cs="Times New Roman"/>
                <w:i/>
                <w:iCs/>
                <w:color w:val="000000" w:themeColor="text1"/>
                <w:lang w:val="ro-MD"/>
              </w:rPr>
              <w:t>retail</w:t>
            </w:r>
            <w:r w:rsidRPr="00C011B2">
              <w:rPr>
                <w:rFonts w:ascii="Times New Roman" w:hAnsi="Times New Roman" w:cs="Times New Roman"/>
                <w:color w:val="000000" w:themeColor="text1"/>
                <w:lang w:val="ro-MD"/>
              </w:rPr>
              <w:t>” ori de „alte active de tipul </w:t>
            </w:r>
            <w:r w:rsidRPr="00C011B2">
              <w:rPr>
                <w:rFonts w:ascii="Times New Roman" w:hAnsi="Times New Roman" w:cs="Times New Roman"/>
                <w:i/>
                <w:iCs/>
                <w:color w:val="000000" w:themeColor="text1"/>
                <w:lang w:val="ro-MD"/>
              </w:rPr>
              <w:t>wholesale</w:t>
            </w:r>
            <w:r w:rsidRPr="00C011B2">
              <w:rPr>
                <w:rFonts w:ascii="Times New Roman" w:hAnsi="Times New Roman" w:cs="Times New Roman"/>
                <w:color w:val="000000" w:themeColor="text1"/>
                <w:lang w:val="ro-MD"/>
              </w:rPr>
              <w:t>” sau, respectiv, regiunii reprezentate de restul lumii.</w:t>
            </w:r>
          </w:p>
        </w:tc>
        <w:tc>
          <w:tcPr>
            <w:tcW w:w="1692" w:type="pct"/>
            <w:shd w:val="clear" w:color="auto" w:fill="auto"/>
          </w:tcPr>
          <w:p w14:paraId="6103A4A3" w14:textId="40BCD54B"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5" w:name="_Hlk223070451"/>
            <w:r w:rsidRPr="00C011B2">
              <w:rPr>
                <w:rFonts w:ascii="Times New Roman" w:hAnsi="Times New Roman" w:cs="Times New Roman"/>
                <w:color w:val="000000" w:themeColor="text1"/>
                <w:lang w:val="ro-MD"/>
              </w:rPr>
              <w:lastRenderedPageBreak/>
              <w:t xml:space="preserve">257.   La încadrarea într-o bandă a unei expuneri din securitizare, băncile se bazează pe o clasificare utilizată în mod curent pe piață. Băncile încadrează fiecare expunere din securitizare într-o singură bandă dintre benzile menționate la pct.255-256. Orice expunere din securitizare pe care o bancă nu o poate atribui unei benzi pentru o clasă de active sau o regiune este atribuită clasei de „alte active </w:t>
            </w:r>
            <w:r w:rsidRPr="00C011B2">
              <w:rPr>
                <w:rFonts w:ascii="Times New Roman" w:hAnsi="Times New Roman" w:cs="Times New Roman"/>
                <w:color w:val="000000" w:themeColor="text1"/>
                <w:lang w:val="ro-MD"/>
              </w:rPr>
              <w:lastRenderedPageBreak/>
              <w:t>de tipul </w:t>
            </w:r>
            <w:r w:rsidRPr="00C011B2">
              <w:rPr>
                <w:rFonts w:ascii="Times New Roman" w:hAnsi="Times New Roman" w:cs="Times New Roman"/>
                <w:i/>
                <w:iCs/>
                <w:color w:val="000000" w:themeColor="text1"/>
                <w:lang w:val="ro-MD"/>
              </w:rPr>
              <w:t>retail</w:t>
            </w:r>
            <w:r w:rsidRPr="00C011B2">
              <w:rPr>
                <w:rFonts w:ascii="Times New Roman" w:hAnsi="Times New Roman" w:cs="Times New Roman"/>
                <w:color w:val="000000" w:themeColor="text1"/>
                <w:lang w:val="ro-MD"/>
              </w:rPr>
              <w:t>” ori de „alte active de tipul </w:t>
            </w:r>
            <w:r w:rsidRPr="00C011B2">
              <w:rPr>
                <w:rFonts w:ascii="Times New Roman" w:hAnsi="Times New Roman" w:cs="Times New Roman"/>
                <w:i/>
                <w:iCs/>
                <w:color w:val="000000" w:themeColor="text1"/>
                <w:lang w:val="ro-MD"/>
              </w:rPr>
              <w:t>wholesale</w:t>
            </w:r>
            <w:r w:rsidRPr="00C011B2">
              <w:rPr>
                <w:rFonts w:ascii="Times New Roman" w:hAnsi="Times New Roman" w:cs="Times New Roman"/>
                <w:color w:val="000000" w:themeColor="text1"/>
                <w:lang w:val="ro-MD"/>
              </w:rPr>
              <w:t>” sau, respectiv, regiunii reprezentate de restul lumii.</w:t>
            </w:r>
            <w:bookmarkEnd w:id="225"/>
          </w:p>
        </w:tc>
        <w:tc>
          <w:tcPr>
            <w:tcW w:w="450" w:type="pct"/>
          </w:tcPr>
          <w:p w14:paraId="63CFF6C7" w14:textId="3778C6B9"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C3B09E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981B88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65D70C0" w14:textId="1796FFA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Cuantumurile nete ponderate ale JTD sunt agregate în cadrul fiecărei benzi în același mod ca și pentru riscul de nerambursare al expunerilor care nu provin din securitizare, cu ajutorul formulei de la articolul 325y alineatul (4), obținându-se astfel cerința de fonduri proprii pentru riscul de nerambursare pentru fiecare bandă.</w:t>
            </w:r>
          </w:p>
        </w:tc>
        <w:tc>
          <w:tcPr>
            <w:tcW w:w="1692" w:type="pct"/>
            <w:shd w:val="clear" w:color="auto" w:fill="auto"/>
          </w:tcPr>
          <w:p w14:paraId="19BB22DC" w14:textId="0E73EC90"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6" w:name="_Hlk223070468"/>
            <w:r w:rsidRPr="00C011B2">
              <w:rPr>
                <w:rFonts w:ascii="Times New Roman" w:hAnsi="Times New Roman" w:cs="Times New Roman"/>
                <w:color w:val="000000" w:themeColor="text1"/>
                <w:lang w:val="ro-MD"/>
              </w:rPr>
              <w:t>258.   Cuantumurile nete ponderate ale JTD sunt agregate în cadrul fiecărei benzi în același mod ca și pentru riscul de nerambursare al expunerilor care nu provin din securitizare, cu ajutorul formulei de la pct.243-244, obținându-se astfel cerința de fonduri proprii pentru riscul de nerambursare pentru fiecare bandă.</w:t>
            </w:r>
            <w:bookmarkEnd w:id="226"/>
          </w:p>
        </w:tc>
        <w:tc>
          <w:tcPr>
            <w:tcW w:w="450" w:type="pct"/>
          </w:tcPr>
          <w:p w14:paraId="3B3512BC" w14:textId="0E7C4AE8"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E1C94B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3CDF92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0C5077" w14:textId="0CF691F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Cerința finală de fonduri proprii pentru riscul de nerambursare aferentă securitizărilor neincluse în ACTP se calculează ca simpla sumă a cerințelor de fonduri proprii la nivel de bandă.</w:t>
            </w:r>
          </w:p>
        </w:tc>
        <w:tc>
          <w:tcPr>
            <w:tcW w:w="1692" w:type="pct"/>
            <w:shd w:val="clear" w:color="auto" w:fill="auto"/>
          </w:tcPr>
          <w:p w14:paraId="6377B40E" w14:textId="1046F987"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7" w:name="_Hlk223070493"/>
            <w:r w:rsidRPr="00C011B2">
              <w:rPr>
                <w:rFonts w:ascii="Times New Roman" w:hAnsi="Times New Roman" w:cs="Times New Roman"/>
                <w:color w:val="000000" w:themeColor="text1"/>
                <w:lang w:val="ro-MD"/>
              </w:rPr>
              <w:t>259.   Cerința finală de fonduri proprii pentru riscul de nerambursare aferentă securitizărilor neincluse în ACTP se calculează ca simpla sumă a cerințelor de fonduri proprii la nivel de bandă.</w:t>
            </w:r>
            <w:bookmarkEnd w:id="227"/>
          </w:p>
        </w:tc>
        <w:tc>
          <w:tcPr>
            <w:tcW w:w="450" w:type="pct"/>
          </w:tcPr>
          <w:p w14:paraId="02435A3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6CE90E1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B7A402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F4CDAB" w14:textId="77777777" w:rsidR="00106FB1" w:rsidRPr="00C011B2" w:rsidRDefault="00106FB1" w:rsidP="00106FB1">
            <w:pPr>
              <w:tabs>
                <w:tab w:val="left" w:pos="118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3</w:t>
            </w:r>
          </w:p>
          <w:p w14:paraId="1E8302EC" w14:textId="77777777" w:rsidR="00106FB1" w:rsidRPr="00C011B2" w:rsidRDefault="00106FB1" w:rsidP="00106FB1">
            <w:pPr>
              <w:tabs>
                <w:tab w:val="left" w:pos="1180"/>
              </w:tabs>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pentru securitizări incluse în ACTP</w:t>
            </w:r>
          </w:p>
          <w:p w14:paraId="2313DD7F" w14:textId="77777777" w:rsidR="00106FB1" w:rsidRPr="00C011B2" w:rsidRDefault="00106FB1" w:rsidP="00106FB1">
            <w:pPr>
              <w:tabs>
                <w:tab w:val="left" w:pos="1180"/>
              </w:tabs>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325ab</w:t>
            </w:r>
          </w:p>
          <w:p w14:paraId="6834E7FD" w14:textId="03C64D8D" w:rsidR="00106FB1" w:rsidRPr="00C011B2" w:rsidRDefault="00106FB1" w:rsidP="00106FB1">
            <w:pPr>
              <w:tabs>
                <w:tab w:val="left" w:pos="118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Domeniu de aplicare</w:t>
            </w:r>
          </w:p>
        </w:tc>
        <w:tc>
          <w:tcPr>
            <w:tcW w:w="1692" w:type="pct"/>
            <w:shd w:val="clear" w:color="auto" w:fill="auto"/>
          </w:tcPr>
          <w:p w14:paraId="3B42641F" w14:textId="77777777" w:rsidR="00106FB1" w:rsidRPr="00C011B2" w:rsidRDefault="00106FB1" w:rsidP="00106FB1">
            <w:pPr>
              <w:tabs>
                <w:tab w:val="left" w:pos="1180"/>
              </w:tabs>
              <w:spacing w:after="0" w:line="276" w:lineRule="auto"/>
              <w:jc w:val="both"/>
              <w:rPr>
                <w:rFonts w:ascii="Times New Roman" w:hAnsi="Times New Roman" w:cs="Times New Roman"/>
                <w:color w:val="000000" w:themeColor="text1"/>
                <w:lang w:val="ro-MD"/>
              </w:rPr>
            </w:pPr>
            <w:bookmarkStart w:id="228" w:name="_Hlk195097552"/>
            <w:r w:rsidRPr="00C011B2">
              <w:rPr>
                <w:rFonts w:ascii="Times New Roman" w:hAnsi="Times New Roman" w:cs="Times New Roman"/>
                <w:color w:val="000000" w:themeColor="text1"/>
                <w:lang w:val="ro-MD"/>
              </w:rPr>
              <w:t>Subsecțiunea 3</w:t>
            </w:r>
          </w:p>
          <w:p w14:paraId="7D07C20D" w14:textId="77777777" w:rsidR="00106FB1" w:rsidRPr="00C011B2" w:rsidRDefault="00106FB1" w:rsidP="00106FB1">
            <w:pPr>
              <w:tabs>
                <w:tab w:val="left" w:pos="1180"/>
              </w:tabs>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pentru securitizări incluse în ACTP</w:t>
            </w:r>
          </w:p>
          <w:p w14:paraId="50B4CA66" w14:textId="4D69FD7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Paragraful 1. </w:t>
            </w:r>
            <w:r w:rsidRPr="00C011B2">
              <w:rPr>
                <w:rFonts w:ascii="Times New Roman" w:hAnsi="Times New Roman" w:cs="Times New Roman"/>
                <w:b/>
                <w:bCs/>
                <w:color w:val="000000" w:themeColor="text1"/>
                <w:lang w:val="ro-MD"/>
              </w:rPr>
              <w:t>Domeniu de aplicare</w:t>
            </w:r>
            <w:bookmarkEnd w:id="228"/>
          </w:p>
        </w:tc>
        <w:tc>
          <w:tcPr>
            <w:tcW w:w="450" w:type="pct"/>
          </w:tcPr>
          <w:p w14:paraId="42C57DB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2D74234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D61E87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C6224D" w14:textId="7559AF7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În cazul ACTP, cerințele de fonduri proprii includ riscul de nerambursare pentru expunerile din securitizare și pentru acoperirile riscului pentru instrumentele care nu sunt poziții din securitizare. Acoperirile riscului în cauză sunt excluse de la calcularea cerinței pentru riscul de nerambursare </w:t>
            </w:r>
            <w:r w:rsidRPr="00C011B2">
              <w:rPr>
                <w:rFonts w:ascii="Times New Roman" w:hAnsi="Times New Roman" w:cs="Times New Roman"/>
                <w:color w:val="000000" w:themeColor="text1"/>
                <w:lang w:val="ro-MD"/>
              </w:rPr>
              <w:lastRenderedPageBreak/>
              <w:t>pentru instrumentele care nu sunt poziții din securitizare. Nu există niciun beneficiu de pe urma diversificării între cerințele de fonduri proprii pentru riscul de nerambursare pentru instrumentele care nu sunt poziții din securitizare, cerințele de fonduri proprii pentru riscul de nerambursare pentru securitizări neincluse în ACTP și cerințele de fonduri proprii pentru riscul de nerambursare pentru securitizări incluse în ACTP.</w:t>
            </w:r>
          </w:p>
        </w:tc>
        <w:tc>
          <w:tcPr>
            <w:tcW w:w="1692" w:type="pct"/>
            <w:shd w:val="clear" w:color="auto" w:fill="auto"/>
          </w:tcPr>
          <w:p w14:paraId="0E1EA324" w14:textId="762D32C3"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29" w:name="_Hlk223072757"/>
            <w:r w:rsidRPr="00C011B2">
              <w:rPr>
                <w:rFonts w:ascii="Times New Roman" w:hAnsi="Times New Roman" w:cs="Times New Roman"/>
                <w:color w:val="000000" w:themeColor="text1"/>
                <w:lang w:val="ro-MD"/>
              </w:rPr>
              <w:lastRenderedPageBreak/>
              <w:t xml:space="preserve">260.   În cazul ACTP, cerințele de fonduri proprii includ riscul de nerambursare pentru expunerile din securitizare și pentru acoperirile riscului pentru instrumentele care nu sunt poziții din securitizare. Acoperirile riscului în cauză sunt excluse de la calcularea cerinței pentru riscul de nerambursare pentru instrumentele care nu sunt poziții din </w:t>
            </w:r>
            <w:r w:rsidRPr="00C011B2">
              <w:rPr>
                <w:rFonts w:ascii="Times New Roman" w:hAnsi="Times New Roman" w:cs="Times New Roman"/>
                <w:color w:val="000000" w:themeColor="text1"/>
                <w:lang w:val="ro-MD"/>
              </w:rPr>
              <w:lastRenderedPageBreak/>
              <w:t>securitizare. Nu există niciun beneficiu de pe urma diversificării între cerințele de fonduri proprii pentru riscul de nerambursare pentru instrumentele care nu sunt poziții din securitizare, cerințele de fonduri proprii pentru riscul de nerambursare pentru securitizări neincluse în ACTP și cerințele de fonduri proprii pentru riscul de nerambursare pentru securitizări incluse în ACTP.</w:t>
            </w:r>
            <w:bookmarkEnd w:id="229"/>
          </w:p>
        </w:tc>
        <w:tc>
          <w:tcPr>
            <w:tcW w:w="450" w:type="pct"/>
          </w:tcPr>
          <w:p w14:paraId="48655446" w14:textId="051822D5"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25EE41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42DDE4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6B61F8C"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8" w:tooltip="32024R1623: DELETED" w:history="1">
              <w:r w:rsidR="00106FB1" w:rsidRPr="00C011B2">
                <w:rPr>
                  <w:rStyle w:val="Hyperlink"/>
                  <w:rFonts w:ascii="Times New Roman" w:hAnsi="Times New Roman" w:cs="Times New Roman"/>
                  <w:b/>
                  <w:bCs/>
                  <w:lang w:val="ro-MD"/>
                </w:rPr>
                <w:t>▼M17</w:t>
              </w:r>
            </w:hyperlink>
            <w:r w:rsidR="00106FB1" w:rsidRPr="00C011B2">
              <w:rPr>
                <w:rFonts w:ascii="Times New Roman" w:hAnsi="Times New Roman" w:cs="Times New Roman"/>
                <w:b/>
                <w:bCs/>
                <w:color w:val="000000" w:themeColor="text1"/>
                <w:lang w:val="ro-MD"/>
              </w:rPr>
              <w:t> —————</w:t>
            </w:r>
          </w:p>
          <w:p w14:paraId="13E4FEC0"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99" w:tooltip="32019R0876: INSERTED" w:history="1">
              <w:r w:rsidR="00106FB1" w:rsidRPr="00C011B2">
                <w:rPr>
                  <w:rStyle w:val="Hyperlink"/>
                  <w:rFonts w:ascii="Times New Roman" w:hAnsi="Times New Roman" w:cs="Times New Roman"/>
                  <w:b/>
                  <w:bCs/>
                  <w:lang w:val="ro-MD"/>
                </w:rPr>
                <w:t>▼M8</w:t>
              </w:r>
            </w:hyperlink>
          </w:p>
          <w:p w14:paraId="530DCAC4"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325ac</w:t>
            </w:r>
          </w:p>
          <w:p w14:paraId="18AA0583" w14:textId="1DF0119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Cuantumurile trecerii bruște în starea de nerambursare pentru ACTP</w:t>
            </w:r>
          </w:p>
        </w:tc>
        <w:tc>
          <w:tcPr>
            <w:tcW w:w="1692" w:type="pct"/>
            <w:shd w:val="clear" w:color="auto" w:fill="auto"/>
          </w:tcPr>
          <w:p w14:paraId="181C9B2E" w14:textId="07B3718E" w:rsidR="00106FB1" w:rsidRPr="00C011B2" w:rsidRDefault="00106FB1" w:rsidP="00106FB1">
            <w:pPr>
              <w:spacing w:after="0" w:line="276" w:lineRule="auto"/>
              <w:jc w:val="both"/>
              <w:rPr>
                <w:rFonts w:ascii="Times New Roman" w:hAnsi="Times New Roman" w:cs="Times New Roman"/>
                <w:b/>
                <w:bCs/>
                <w:color w:val="000000" w:themeColor="text1"/>
                <w:lang w:val="ro-MD"/>
              </w:rPr>
            </w:pPr>
          </w:p>
          <w:p w14:paraId="4DA21ECC" w14:textId="5A023C91"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0" w:name="_Hlk195097580"/>
            <w:r w:rsidRPr="00C011B2">
              <w:rPr>
                <w:rFonts w:ascii="Times New Roman" w:hAnsi="Times New Roman" w:cs="Times New Roman"/>
                <w:i/>
                <w:iCs/>
                <w:color w:val="000000" w:themeColor="text1"/>
                <w:lang w:val="ro-MD"/>
              </w:rPr>
              <w:t xml:space="preserve">Paragraful 2. </w:t>
            </w:r>
            <w:r w:rsidRPr="00C011B2">
              <w:rPr>
                <w:rFonts w:ascii="Times New Roman" w:hAnsi="Times New Roman" w:cs="Times New Roman"/>
                <w:b/>
                <w:bCs/>
                <w:color w:val="000000" w:themeColor="text1"/>
                <w:lang w:val="ro-MD"/>
              </w:rPr>
              <w:t>Cuantumurile trecerii bruște în starea de nerambursare pentru ACTP</w:t>
            </w:r>
            <w:bookmarkEnd w:id="230"/>
          </w:p>
        </w:tc>
        <w:tc>
          <w:tcPr>
            <w:tcW w:w="450" w:type="pct"/>
          </w:tcPr>
          <w:p w14:paraId="5F84586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733FDDD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0138BE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FE9189" w14:textId="6F9FE00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sensul prezentului articol, se aplică următoarele definiții:</w:t>
            </w:r>
          </w:p>
          <w:p w14:paraId="4A5731A3" w14:textId="63638FD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„descompunere cu un model de evaluare” înseamnă că o componentă având la bază o singură semnătură a unei securitizări este evaluată ca fiind diferența dintre valoarea necondiționată a securitizării și valoarea condiționată a securitizării, în ipoteza în care entitatea aflată la originea semnăturii respective intră în stare de nerambursare cu o LGD de 100 %;</w:t>
            </w:r>
          </w:p>
          <w:p w14:paraId="4FEDEA6B" w14:textId="7D9216A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„reproducere” înseamnă că sunt combinate tranșe de indici din securitizare individuale pentru a </w:t>
            </w:r>
            <w:r w:rsidRPr="00C011B2">
              <w:rPr>
                <w:rFonts w:ascii="Times New Roman" w:hAnsi="Times New Roman" w:cs="Times New Roman"/>
                <w:color w:val="000000" w:themeColor="text1"/>
                <w:lang w:val="ro-MD"/>
              </w:rPr>
              <w:lastRenderedPageBreak/>
              <w:t>reproduce o altă tranșă din aceeași serie de indici sau pentru a reproduce o poziție neîmpărțită în tranșe din aceeași serie de indici;</w:t>
            </w:r>
          </w:p>
          <w:p w14:paraId="41B4951A" w14:textId="4E98B73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„descompunere” înseamnă reproducerea unui indice printr-o securitizare pentru care expunerile-suport din portofoliu sunt identice cu expunerile având la bază o singură semnătură care intră în componența indicelui respectiv.</w:t>
            </w:r>
          </w:p>
        </w:tc>
        <w:tc>
          <w:tcPr>
            <w:tcW w:w="1692" w:type="pct"/>
            <w:shd w:val="clear" w:color="auto" w:fill="auto"/>
          </w:tcPr>
          <w:p w14:paraId="28086A4F" w14:textId="2E9E7AA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1" w:name="_Hlk223072804"/>
            <w:r w:rsidRPr="00C011B2">
              <w:rPr>
                <w:rFonts w:ascii="Times New Roman" w:hAnsi="Times New Roman" w:cs="Times New Roman"/>
                <w:color w:val="000000" w:themeColor="text1"/>
                <w:lang w:val="ro-MD"/>
              </w:rPr>
              <w:lastRenderedPageBreak/>
              <w:t>261.  În sensul prezentului paragraf, se aplică următoarele definiții:</w:t>
            </w:r>
          </w:p>
          <w:p w14:paraId="65E32F50" w14:textId="10D4796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261.1. „descompunere cu un model de evaluare” înseamnă că o componentă având la bază o singură semnătură a unei securitizări este evaluată ca fiind diferența dintre valoarea necondiționată a securitizării și valoarea condiționată a securitizării, în ipoteza în care entitatea aflată la originea semnăturii respective intră în stare de nerambursare cu o LGD de 100 %;</w:t>
            </w:r>
          </w:p>
          <w:p w14:paraId="579B0F5D" w14:textId="4241BC8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261.2. „reproducere” înseamnă că sunt combinate tranșe de indici din securitizare individuale pentru a reproduce o </w:t>
            </w:r>
            <w:r w:rsidRPr="00C011B2">
              <w:rPr>
                <w:rFonts w:ascii="Times New Roman" w:hAnsi="Times New Roman" w:cs="Times New Roman"/>
                <w:color w:val="000000" w:themeColor="text1"/>
                <w:lang w:val="ro-MD"/>
              </w:rPr>
              <w:lastRenderedPageBreak/>
              <w:t>altă tranșă din aceeași serie de indici sau pentru a reproduce o poziție neîmpărțită în tranșe din aceeași serie de indici;</w:t>
            </w:r>
          </w:p>
          <w:p w14:paraId="47C8DCEA" w14:textId="6EEB7B8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261.3. „descompunere” înseamnă reproducerea unui indice printr-o securitizare pentru care expunerile-suport din portofoliu sunt identice cu expunerile având la bază o singură semnătură care intră în componența indicelui respectiv.</w:t>
            </w:r>
            <w:bookmarkEnd w:id="231"/>
          </w:p>
        </w:tc>
        <w:tc>
          <w:tcPr>
            <w:tcW w:w="450" w:type="pct"/>
          </w:tcPr>
          <w:p w14:paraId="7FCFC802" w14:textId="7E82643F"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138EE1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C8F22A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28EA9EE" w14:textId="164E1DC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Cuantumurile brute ale JTD pentru expunerile din securitizare și expunerile care nu provin din securitizare din ACTP sunt valoarea lor de piață sau, dacă valoarea lor de piață nu este disponibilă, valoarea lor justă determinată în conformitate cu cadrul contabil aplicabil.</w:t>
            </w:r>
          </w:p>
        </w:tc>
        <w:tc>
          <w:tcPr>
            <w:tcW w:w="1692" w:type="pct"/>
            <w:shd w:val="clear" w:color="auto" w:fill="auto"/>
          </w:tcPr>
          <w:p w14:paraId="0619CBEF" w14:textId="5AEE27F4"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2" w:name="_Hlk223072829"/>
            <w:r w:rsidRPr="00C011B2">
              <w:rPr>
                <w:rFonts w:ascii="Times New Roman" w:hAnsi="Times New Roman" w:cs="Times New Roman"/>
                <w:color w:val="000000" w:themeColor="text1"/>
                <w:lang w:val="ro-MD"/>
              </w:rPr>
              <w:t>262.   Cuantumurile brute ale JTD pentru expunerile din securitizare și expunerile care nu provin din securitizare din ACTP sunt valoarea lor de piață sau, dacă valoarea lor de piață nu este disponibilă, valoarea lor justă determinată în conformitate cu cadrul contabil aplicabil.</w:t>
            </w:r>
            <w:bookmarkEnd w:id="232"/>
          </w:p>
        </w:tc>
        <w:tc>
          <w:tcPr>
            <w:tcW w:w="450" w:type="pct"/>
          </w:tcPr>
          <w:p w14:paraId="26B13358" w14:textId="0012336D"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70B6E3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396373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9071DEB" w14:textId="2ED4700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Produsele de tipul „n</w:t>
            </w:r>
            <w:r w:rsidRPr="00C011B2">
              <w:rPr>
                <w:rFonts w:ascii="Times New Roman" w:hAnsi="Times New Roman" w:cs="Times New Roman"/>
                <w:color w:val="000000" w:themeColor="text1"/>
                <w:vertAlign w:val="superscript"/>
                <w:lang w:val="ro-MD"/>
              </w:rPr>
              <w:t>th</w:t>
            </w:r>
            <w:r w:rsidRPr="00C011B2">
              <w:rPr>
                <w:rFonts w:ascii="Times New Roman" w:hAnsi="Times New Roman" w:cs="Times New Roman"/>
                <w:color w:val="000000" w:themeColor="text1"/>
                <w:lang w:val="ro-MD"/>
              </w:rPr>
              <w:t>-to-default” sunt tratate ca produse împărțite în tranșe cu următoarele puncte de activare și de dezactivare:</w:t>
            </w:r>
          </w:p>
          <w:p w14:paraId="33361329" w14:textId="26DB7B7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punct de activare = (N – 1) / Total semnături;</w:t>
            </w:r>
          </w:p>
          <w:p w14:paraId="0DC41710" w14:textId="4D1B53EC"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punct de dezactivare = N / Total semnături;</w:t>
            </w:r>
          </w:p>
          <w:p w14:paraId="620DBCD0" w14:textId="2C6F759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 „Total semnături” este numărul total de semnături din coșul sau portofoliul-suport.</w:t>
            </w:r>
          </w:p>
        </w:tc>
        <w:tc>
          <w:tcPr>
            <w:tcW w:w="1692" w:type="pct"/>
            <w:shd w:val="clear" w:color="auto" w:fill="auto"/>
          </w:tcPr>
          <w:p w14:paraId="2161EA92" w14:textId="7D7FB40C"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3" w:name="_Hlk223072849"/>
            <w:r w:rsidRPr="00C011B2">
              <w:rPr>
                <w:rFonts w:ascii="Times New Roman" w:hAnsi="Times New Roman" w:cs="Times New Roman"/>
                <w:color w:val="000000" w:themeColor="text1"/>
                <w:lang w:val="ro-MD"/>
              </w:rPr>
              <w:t>263.   Produsele de tipul „n</w:t>
            </w:r>
            <w:r w:rsidRPr="00C011B2">
              <w:rPr>
                <w:rFonts w:ascii="Times New Roman" w:hAnsi="Times New Roman" w:cs="Times New Roman"/>
                <w:color w:val="000000" w:themeColor="text1"/>
                <w:vertAlign w:val="superscript"/>
                <w:lang w:val="ro-MD"/>
              </w:rPr>
              <w:t>th</w:t>
            </w:r>
            <w:r w:rsidRPr="00C011B2">
              <w:rPr>
                <w:rFonts w:ascii="Times New Roman" w:hAnsi="Times New Roman" w:cs="Times New Roman"/>
                <w:color w:val="000000" w:themeColor="text1"/>
                <w:lang w:val="ro-MD"/>
              </w:rPr>
              <w:t>-to-default” sunt tratate ca produse împărțite în tranșe cu următoarele puncte de activare și de dezactivare:</w:t>
            </w:r>
          </w:p>
          <w:p w14:paraId="4470B9A8" w14:textId="272B2C9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263.1. punct de activare = (N – 1) / Total semnături;</w:t>
            </w:r>
          </w:p>
          <w:p w14:paraId="338F3AF9" w14:textId="3E5A7CF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263.2. punct de dezactivare = N / Total semnături;</w:t>
            </w:r>
          </w:p>
          <w:p w14:paraId="441161E3" w14:textId="18D62D3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 „Total semnături” este numărul total de semnături din coșul sau portofoliul-suport.</w:t>
            </w:r>
            <w:bookmarkEnd w:id="233"/>
          </w:p>
        </w:tc>
        <w:tc>
          <w:tcPr>
            <w:tcW w:w="450" w:type="pct"/>
          </w:tcPr>
          <w:p w14:paraId="69E511A3" w14:textId="2B5AB1F9"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3E281B2"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7431BB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FF2F13" w14:textId="52C5F8A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Cuantumurile nete ale JTD se determină prin compensarea cuantumurilor brute lungi ale JTD cu cuantumurile brute scurte ale JTD. Compensarea nu este posibilă decât între expuneri care sunt identice în </w:t>
            </w:r>
            <w:r w:rsidRPr="00C011B2">
              <w:rPr>
                <w:rFonts w:ascii="Times New Roman" w:hAnsi="Times New Roman" w:cs="Times New Roman"/>
                <w:color w:val="000000" w:themeColor="text1"/>
                <w:lang w:val="ro-MD"/>
              </w:rPr>
              <w:lastRenderedPageBreak/>
              <w:t>toate privințele, mai puțin a scadenței. Compensarea nu este posibilă decât după cum urmează:</w:t>
            </w:r>
          </w:p>
          <w:p w14:paraId="7CE5BA6A" w14:textId="0FE0EAA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pentru indici, tranșe de indici și tranșe individualizate, compensarea este posibilă indiferent de scadență în cadrul aceleiași familii, serii și tranșe de indici, sub rezerva dispozițiilor pentru expunerile de mai puțin de un an prevăzute la articolul 325x; cuantumurile brute lungi și cele scurte ale JTD care se reproduc reciproc perfect pot fi compensate prin descompunerea în expuneri având la bază o singură semnătură echivalente, cu ajutorul unui model de evaluare; în astfel de cazuri, suma cuantumurilor brute ale JTD a expunerilor având la bază o singură semnătură echivalente obținute prin descompunere este egală cu cuantumul brut al JTD al expunerii nedivizate;</w:t>
            </w:r>
          </w:p>
          <w:p w14:paraId="2F6495F8" w14:textId="42969CD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compensarea prin descompunere, astfel cum este prevăzută la litera (a), nu este permisă pentru resecuritizări sau instrumente financiare derivate care sunt poziții din securitizare;</w:t>
            </w:r>
          </w:p>
          <w:p w14:paraId="0CAACC48" w14:textId="270B1F2C"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pentru indici și tranșe de indici, compensarea este posibilă indiferent de scadență în cadrul aceleiași familii, serii și tranșe de indici, prin reproducere sau descompunere; în cazul în care expunerile lungi și cele scurte sunt echivalente în toate privințele, cu excepția </w:t>
            </w:r>
            <w:r w:rsidRPr="00C011B2">
              <w:rPr>
                <w:rFonts w:ascii="Times New Roman" w:hAnsi="Times New Roman" w:cs="Times New Roman"/>
                <w:color w:val="000000" w:themeColor="text1"/>
                <w:lang w:val="ro-MD"/>
              </w:rPr>
              <w:lastRenderedPageBreak/>
              <w:t>unei componente reziduale, compensarea este permisă, iar cuantumul net al JTD reflectă expunerea reziduală;</w:t>
            </w:r>
          </w:p>
          <w:p w14:paraId="13D0DFF6" w14:textId="51FFDB9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nu pot fi utilizate pentru a se compensa reciproc tranșe diferite din aceeași familie de indici, serii diferite ale aceluiași indice și familii de indici diferite.</w:t>
            </w:r>
          </w:p>
        </w:tc>
        <w:tc>
          <w:tcPr>
            <w:tcW w:w="1692" w:type="pct"/>
            <w:shd w:val="clear" w:color="auto" w:fill="auto"/>
          </w:tcPr>
          <w:p w14:paraId="6B923B46" w14:textId="3079D17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4" w:name="_Hlk223072873"/>
            <w:r w:rsidRPr="00C011B2">
              <w:rPr>
                <w:rFonts w:ascii="Times New Roman" w:hAnsi="Times New Roman" w:cs="Times New Roman"/>
                <w:color w:val="000000" w:themeColor="text1"/>
                <w:lang w:val="ro-MD"/>
              </w:rPr>
              <w:lastRenderedPageBreak/>
              <w:t xml:space="preserve">264.  Cuantumurile nete ale JTD se determină prin compensarea cuantumurilor brute lungi ale JTD cu cuantumurile brute scurte ale JTD. Compensarea nu este posibilă decât între expuneri care sunt identice în toate </w:t>
            </w:r>
            <w:r w:rsidRPr="00C011B2">
              <w:rPr>
                <w:rFonts w:ascii="Times New Roman" w:hAnsi="Times New Roman" w:cs="Times New Roman"/>
                <w:color w:val="000000" w:themeColor="text1"/>
                <w:lang w:val="ro-MD"/>
              </w:rPr>
              <w:lastRenderedPageBreak/>
              <w:t>privințele, mai puțin a scadenței. Compensarea nu este posibilă decât după cum urmează:</w:t>
            </w:r>
          </w:p>
          <w:p w14:paraId="63F8DC85" w14:textId="7C6CEE1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264.1. pentru indici, tranșe de indici și tranșe individualizate, compensarea este posibilă indiferent de scadență în cadrul aceleiași familii, serii și tranșe de indici, sub rezerva dispozițiilor pentru expunerile de mai puțin de un an prevăzute la subsecțiunea 1, paragraful 2; cuantumurile brute lungi și cele scurte ale JTD care se reproduc reciproc perfect pot fi compensate prin descompunerea în expuneri având la bază o singură semnătură echivalente, cu ajutorul unui model de evaluare; în astfel de cazuri, suma cuantumurilor brute ale JTD a expunerilor având la bază o singură semnătură echivalente obținute prin descompunere este egală cu cuantumul brut al JTD al expunerii nedivizate;</w:t>
            </w:r>
          </w:p>
          <w:p w14:paraId="5D30D054" w14:textId="21FF5CB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264.2. compensarea prin descompunere, astfel cum este prevăzută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subpct.264.1, nu este permisă pentru resecuritizări sau instrumente financiare derivate care sunt poziții din securitizare;</w:t>
            </w:r>
          </w:p>
          <w:p w14:paraId="34B50394" w14:textId="28652C8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264.3. pentru indici și tranșe de indici, compensarea este posibilă indiferent de scadență în cadrul aceleiași familii, serii și tranșe de indici, prin reproducere sau descompunere; în cazul în care expunerile lungi și cele scurte sunt echivalente în toate privințele, cu excepția unei </w:t>
            </w:r>
            <w:r w:rsidRPr="00C011B2">
              <w:rPr>
                <w:rFonts w:ascii="Times New Roman" w:hAnsi="Times New Roman" w:cs="Times New Roman"/>
                <w:color w:val="000000" w:themeColor="text1"/>
                <w:lang w:val="ro-MD"/>
              </w:rPr>
              <w:lastRenderedPageBreak/>
              <w:t>componente reziduale, compensarea este permisă, iar cuantumul net al JTD reflectă expunerea reziduală;</w:t>
            </w:r>
          </w:p>
          <w:p w14:paraId="4F2C8CB9" w14:textId="4C6ADF4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264.4. nu pot fi utilizate pentru a se compensa reciproc tranșe diferite din aceeași familie de indici, serii diferite ale aceluiași indice și familii de indici diferite.</w:t>
            </w:r>
            <w:bookmarkEnd w:id="234"/>
          </w:p>
        </w:tc>
        <w:tc>
          <w:tcPr>
            <w:tcW w:w="450" w:type="pct"/>
          </w:tcPr>
          <w:p w14:paraId="7B1F836C" w14:textId="131BD92E"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301CDD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B98CB7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3F667E"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325ad</w:t>
            </w:r>
          </w:p>
          <w:p w14:paraId="07E6E670" w14:textId="6D9F7A1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Calcularea cerinței de fonduri proprii pentru riscul de nerambursare pentru ACTP</w:t>
            </w:r>
          </w:p>
        </w:tc>
        <w:tc>
          <w:tcPr>
            <w:tcW w:w="1692" w:type="pct"/>
            <w:shd w:val="clear" w:color="auto" w:fill="auto"/>
          </w:tcPr>
          <w:p w14:paraId="69EDCC9F" w14:textId="3B05BB7B" w:rsidR="00106FB1" w:rsidRPr="00C011B2" w:rsidRDefault="00106FB1" w:rsidP="00106FB1">
            <w:pPr>
              <w:spacing w:after="0" w:line="276" w:lineRule="auto"/>
              <w:jc w:val="both"/>
              <w:rPr>
                <w:rFonts w:ascii="Times New Roman" w:hAnsi="Times New Roman" w:cs="Times New Roman"/>
                <w:i/>
                <w:iCs/>
                <w:color w:val="000000" w:themeColor="text1"/>
                <w:lang w:val="ro-MD"/>
              </w:rPr>
            </w:pPr>
            <w:bookmarkStart w:id="235" w:name="_Hlk195097625"/>
            <w:r w:rsidRPr="00C011B2">
              <w:rPr>
                <w:rFonts w:ascii="Times New Roman" w:hAnsi="Times New Roman" w:cs="Times New Roman"/>
                <w:i/>
                <w:iCs/>
                <w:color w:val="000000" w:themeColor="text1"/>
                <w:lang w:val="ro-MD"/>
              </w:rPr>
              <w:t>Paragraful 3.</w:t>
            </w:r>
          </w:p>
          <w:p w14:paraId="40231ACC" w14:textId="62CFCE1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Calcularea cerinței de fonduri proprii pentru riscul de nerambursare pentru ACTP</w:t>
            </w:r>
            <w:bookmarkEnd w:id="235"/>
          </w:p>
        </w:tc>
        <w:tc>
          <w:tcPr>
            <w:tcW w:w="450" w:type="pct"/>
          </w:tcPr>
          <w:p w14:paraId="1DC7E23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183E5D9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BA6C13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3F538A"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00" w:tooltip="32024R1623: REPLACED" w:history="1">
              <w:r w:rsidR="00106FB1" w:rsidRPr="00C011B2">
                <w:rPr>
                  <w:rStyle w:val="Hyperlink"/>
                  <w:rFonts w:ascii="Times New Roman" w:hAnsi="Times New Roman" w:cs="Times New Roman"/>
                  <w:b/>
                  <w:bCs/>
                  <w:lang w:val="ro-MD"/>
                </w:rPr>
                <w:t>▼M17</w:t>
              </w:r>
            </w:hyperlink>
          </w:p>
          <w:p w14:paraId="6A2C214B" w14:textId="782D32D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Cuantumurile nete ale JTD se înmulțesc:</w:t>
            </w:r>
          </w:p>
          <w:p w14:paraId="18C70470" w14:textId="6402D9E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în cazul produselor neîmpărțite în tranșe, cu ponderile de risc de nerambursare corespunzătoare calității creditului acestora, astfel cum se precizează la articolul 325y alineatele (1) și (2);</w:t>
            </w:r>
          </w:p>
          <w:p w14:paraId="49DADC4F" w14:textId="0ADA6A5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în cazul produselor împărțite în tranșe, cu ponderile de risc de nerambursare menționate la articolul 325aa alineatul (1).</w:t>
            </w:r>
          </w:p>
        </w:tc>
        <w:tc>
          <w:tcPr>
            <w:tcW w:w="1692" w:type="pct"/>
            <w:shd w:val="clear" w:color="auto" w:fill="auto"/>
          </w:tcPr>
          <w:p w14:paraId="17375A3B" w14:textId="31F93EA3"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6" w:name="_Hlk223073517"/>
            <w:r w:rsidRPr="00C011B2">
              <w:rPr>
                <w:rFonts w:ascii="Times New Roman" w:hAnsi="Times New Roman" w:cs="Times New Roman"/>
                <w:color w:val="000000" w:themeColor="text1"/>
                <w:lang w:val="ro-MD"/>
              </w:rPr>
              <w:t>265.   Cuantumurile nete ale JTD se înmulțesc:</w:t>
            </w:r>
          </w:p>
          <w:p w14:paraId="418D47C6" w14:textId="3DA037D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265.1. în cazul produselor neîmpărțite în tranșe, cu ponderile de risc de nerambursare corespunzătoare calității creditului acestora, astfel cum se precizează la pct.240 și 241;</w:t>
            </w:r>
          </w:p>
          <w:p w14:paraId="6C429F15" w14:textId="6AD7FAD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265.2. în cazul produselor împărțite în tranșe, cu ponderile de risc de nerambursare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pct.252.</w:t>
            </w:r>
            <w:bookmarkEnd w:id="236"/>
          </w:p>
        </w:tc>
        <w:tc>
          <w:tcPr>
            <w:tcW w:w="450" w:type="pct"/>
          </w:tcPr>
          <w:p w14:paraId="52DDE768" w14:textId="04F36BBE"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603678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41AD1C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E472E99"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01" w:tooltip="32019R0876: INSERTED" w:history="1">
              <w:r w:rsidR="00106FB1" w:rsidRPr="00C011B2">
                <w:rPr>
                  <w:rStyle w:val="Hyperlink"/>
                  <w:rFonts w:ascii="Times New Roman" w:hAnsi="Times New Roman" w:cs="Times New Roman"/>
                  <w:b/>
                  <w:bCs/>
                  <w:lang w:val="ro-MD"/>
                </w:rPr>
                <w:t>▼M8</w:t>
              </w:r>
            </w:hyperlink>
          </w:p>
          <w:p w14:paraId="36B93B0B" w14:textId="4B94401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Cuantumurile nete ponderate la risc ale JTD sunt încadrate în benzi care corespund unui indice.</w:t>
            </w:r>
          </w:p>
        </w:tc>
        <w:tc>
          <w:tcPr>
            <w:tcW w:w="1692" w:type="pct"/>
            <w:shd w:val="clear" w:color="auto" w:fill="auto"/>
          </w:tcPr>
          <w:p w14:paraId="7B1ADA7D" w14:textId="3A00E18E"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7" w:name="_Hlk223073541"/>
            <w:r w:rsidRPr="00C011B2">
              <w:rPr>
                <w:rFonts w:ascii="Times New Roman" w:hAnsi="Times New Roman" w:cs="Times New Roman"/>
                <w:color w:val="000000" w:themeColor="text1"/>
                <w:lang w:val="ro-MD"/>
              </w:rPr>
              <w:t>266.  Cuantumurile nete ponderate la risc ale JTD sunt încadrate în benzi care corespund unui indice.</w:t>
            </w:r>
            <w:bookmarkEnd w:id="237"/>
          </w:p>
        </w:tc>
        <w:tc>
          <w:tcPr>
            <w:tcW w:w="450" w:type="pct"/>
          </w:tcPr>
          <w:p w14:paraId="503CEC7D" w14:textId="4DF5705B"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C4953A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9A57C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09FE396" w14:textId="54CCA2C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Cuantumurile nete ponderate ale JTD sunt agregate în cadrul fiecărei benzi în conformitate cu următoarea formulă:</w:t>
            </w:r>
          </w:p>
          <w:p w14:paraId="40EAF0A5" w14:textId="112914C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C779A9F" wp14:editId="47C20856">
                  <wp:extent cx="3055620" cy="391160"/>
                  <wp:effectExtent l="0" t="0" r="0" b="8890"/>
                  <wp:docPr id="55" name="Picture 5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55620" cy="391160"/>
                          </a:xfrm>
                          <a:prstGeom prst="rect">
                            <a:avLst/>
                          </a:prstGeom>
                          <a:noFill/>
                          <a:ln>
                            <a:noFill/>
                          </a:ln>
                        </pic:spPr>
                      </pic:pic>
                    </a:graphicData>
                  </a:graphic>
                </wp:inline>
              </w:drawing>
            </w:r>
          </w:p>
          <w:p w14:paraId="101ECD3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unde:</w:t>
            </w:r>
          </w:p>
          <w:tbl>
            <w:tblPr>
              <w:tblW w:w="5129" w:type="dxa"/>
              <w:tblLayout w:type="fixed"/>
              <w:tblCellMar>
                <w:left w:w="0" w:type="dxa"/>
                <w:right w:w="0" w:type="dxa"/>
              </w:tblCellMar>
              <w:tblLook w:val="04A0" w:firstRow="1" w:lastRow="0" w:firstColumn="1" w:lastColumn="0" w:noHBand="0" w:noVBand="1"/>
            </w:tblPr>
            <w:tblGrid>
              <w:gridCol w:w="612"/>
              <w:gridCol w:w="85"/>
              <w:gridCol w:w="4432"/>
            </w:tblGrid>
            <w:tr w:rsidR="00106FB1" w:rsidRPr="00C011B2" w14:paraId="0A619DA0" w14:textId="77777777" w:rsidTr="00205CA4">
              <w:tc>
                <w:tcPr>
                  <w:tcW w:w="612" w:type="dxa"/>
                  <w:shd w:val="clear" w:color="auto" w:fill="auto"/>
                  <w:hideMark/>
                </w:tcPr>
                <w:p w14:paraId="08B3D10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b</w:t>
                  </w:r>
                </w:p>
              </w:tc>
              <w:tc>
                <w:tcPr>
                  <w:tcW w:w="85" w:type="dxa"/>
                  <w:shd w:val="clear" w:color="auto" w:fill="auto"/>
                  <w:hideMark/>
                </w:tcPr>
                <w:p w14:paraId="75670B2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2" w:type="dxa"/>
                  <w:shd w:val="clear" w:color="auto" w:fill="auto"/>
                  <w:hideMark/>
                </w:tcPr>
                <w:p w14:paraId="0D22C8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benzii „b”;</w:t>
                  </w:r>
                </w:p>
              </w:tc>
            </w:tr>
          </w:tbl>
          <w:p w14:paraId="5DE8C31D"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05"/>
              <w:gridCol w:w="198"/>
              <w:gridCol w:w="4509"/>
            </w:tblGrid>
            <w:tr w:rsidR="00106FB1" w:rsidRPr="00C011B2" w14:paraId="4FF5D70C" w14:textId="77777777" w:rsidTr="00205CA4">
              <w:tc>
                <w:tcPr>
                  <w:tcW w:w="192" w:type="dxa"/>
                  <w:shd w:val="clear" w:color="auto" w:fill="auto"/>
                  <w:hideMark/>
                </w:tcPr>
                <w:p w14:paraId="45920E0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380" w:type="dxa"/>
                  <w:shd w:val="clear" w:color="auto" w:fill="auto"/>
                  <w:hideMark/>
                </w:tcPr>
                <w:p w14:paraId="0F30B18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17" w:type="dxa"/>
                  <w:shd w:val="clear" w:color="auto" w:fill="auto"/>
                  <w:hideMark/>
                </w:tcPr>
                <w:p w14:paraId="5A176E7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instrument din banda „b”; și</w:t>
                  </w:r>
                </w:p>
              </w:tc>
            </w:tr>
          </w:tbl>
          <w:p w14:paraId="2547BEF4"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221" w:type="dxa"/>
              <w:tblLayout w:type="fixed"/>
              <w:tblCellMar>
                <w:left w:w="0" w:type="dxa"/>
                <w:right w:w="0" w:type="dxa"/>
              </w:tblCellMar>
              <w:tblLook w:val="04A0" w:firstRow="1" w:lastRow="0" w:firstColumn="1" w:lastColumn="0" w:noHBand="0" w:noVBand="1"/>
            </w:tblPr>
            <w:tblGrid>
              <w:gridCol w:w="754"/>
              <w:gridCol w:w="76"/>
              <w:gridCol w:w="4391"/>
            </w:tblGrid>
            <w:tr w:rsidR="00106FB1" w:rsidRPr="00C011B2" w14:paraId="2FAB5144" w14:textId="77777777" w:rsidTr="00205CA4">
              <w:tc>
                <w:tcPr>
                  <w:tcW w:w="754" w:type="dxa"/>
                  <w:shd w:val="clear" w:color="auto" w:fill="auto"/>
                  <w:hideMark/>
                </w:tcPr>
                <w:p w14:paraId="4C7557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WtS</w:t>
                  </w:r>
                  <w:r w:rsidRPr="00C011B2">
                    <w:rPr>
                      <w:rFonts w:ascii="Times New Roman" w:hAnsi="Times New Roman" w:cs="Times New Roman"/>
                      <w:color w:val="000000" w:themeColor="text1"/>
                      <w:vertAlign w:val="subscript"/>
                      <w:lang w:val="ro-MD"/>
                    </w:rPr>
                    <w:t>ACTP</w:t>
                  </w:r>
                </w:p>
              </w:tc>
              <w:tc>
                <w:tcPr>
                  <w:tcW w:w="76" w:type="dxa"/>
                  <w:shd w:val="clear" w:color="auto" w:fill="auto"/>
                  <w:hideMark/>
                </w:tcPr>
                <w:p w14:paraId="4C9A7C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1" w:type="dxa"/>
                  <w:shd w:val="clear" w:color="auto" w:fill="auto"/>
                  <w:hideMark/>
                </w:tcPr>
                <w:p w14:paraId="5D9B738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raportul care reflectă beneficiul obținut în urma acoperirii împotriva riscurilor a relațiilor din cadrul unei benzi, calculat în conformitate cu formula WtS prevăzută la articolul 325y alineatul (4), dar utilizând poziții lungi și scurte din întregul ACTP, și nu doar pozițiile din banda respectivă.</w:t>
                  </w:r>
                </w:p>
              </w:tc>
            </w:tr>
          </w:tbl>
          <w:p w14:paraId="39145C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2DEC46D" w14:textId="4ED9CBFE"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8" w:name="_Hlk223073561"/>
            <w:r w:rsidRPr="00C011B2">
              <w:rPr>
                <w:rFonts w:ascii="Times New Roman" w:hAnsi="Times New Roman" w:cs="Times New Roman"/>
                <w:color w:val="000000" w:themeColor="text1"/>
                <w:lang w:val="ro-MD"/>
              </w:rPr>
              <w:lastRenderedPageBreak/>
              <w:t>267.  Cuantumurile nete ponderate ale JTD sunt agregate în cadrul fiecărei benzi în conformitate cu următoarea formulă:</w:t>
            </w:r>
          </w:p>
          <w:p w14:paraId="57225A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6573E45" wp14:editId="5BFC8D78">
                  <wp:extent cx="3055620" cy="391160"/>
                  <wp:effectExtent l="0" t="0" r="0" b="8890"/>
                  <wp:docPr id="156" name="Picture 1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55620" cy="391160"/>
                          </a:xfrm>
                          <a:prstGeom prst="rect">
                            <a:avLst/>
                          </a:prstGeom>
                          <a:noFill/>
                          <a:ln>
                            <a:noFill/>
                          </a:ln>
                        </pic:spPr>
                      </pic:pic>
                    </a:graphicData>
                  </a:graphic>
                </wp:inline>
              </w:drawing>
            </w:r>
          </w:p>
          <w:p w14:paraId="5BE9216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unde:</w:t>
            </w:r>
          </w:p>
          <w:tbl>
            <w:tblPr>
              <w:tblW w:w="5129" w:type="dxa"/>
              <w:tblLayout w:type="fixed"/>
              <w:tblCellMar>
                <w:left w:w="0" w:type="dxa"/>
                <w:right w:w="0" w:type="dxa"/>
              </w:tblCellMar>
              <w:tblLook w:val="04A0" w:firstRow="1" w:lastRow="0" w:firstColumn="1" w:lastColumn="0" w:noHBand="0" w:noVBand="1"/>
            </w:tblPr>
            <w:tblGrid>
              <w:gridCol w:w="612"/>
              <w:gridCol w:w="85"/>
              <w:gridCol w:w="4432"/>
            </w:tblGrid>
            <w:tr w:rsidR="00106FB1" w:rsidRPr="00C011B2" w14:paraId="3DCFDB4B" w14:textId="77777777" w:rsidTr="001E785F">
              <w:tc>
                <w:tcPr>
                  <w:tcW w:w="612" w:type="dxa"/>
                  <w:shd w:val="clear" w:color="auto" w:fill="auto"/>
                  <w:hideMark/>
                </w:tcPr>
                <w:p w14:paraId="19B305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b</w:t>
                  </w:r>
                </w:p>
              </w:tc>
              <w:tc>
                <w:tcPr>
                  <w:tcW w:w="85" w:type="dxa"/>
                  <w:shd w:val="clear" w:color="auto" w:fill="auto"/>
                  <w:hideMark/>
                </w:tcPr>
                <w:p w14:paraId="03E1D3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2" w:type="dxa"/>
                  <w:shd w:val="clear" w:color="auto" w:fill="auto"/>
                  <w:hideMark/>
                </w:tcPr>
                <w:p w14:paraId="09813B6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benzii „b”;</w:t>
                  </w:r>
                </w:p>
              </w:tc>
            </w:tr>
          </w:tbl>
          <w:p w14:paraId="6A1CAB07"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10"/>
              <w:gridCol w:w="209"/>
              <w:gridCol w:w="4792"/>
            </w:tblGrid>
            <w:tr w:rsidR="00106FB1" w:rsidRPr="00C011B2" w14:paraId="5BC24703" w14:textId="77777777" w:rsidTr="001E785F">
              <w:tc>
                <w:tcPr>
                  <w:tcW w:w="192" w:type="dxa"/>
                  <w:shd w:val="clear" w:color="auto" w:fill="auto"/>
                  <w:hideMark/>
                </w:tcPr>
                <w:p w14:paraId="68DA232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380" w:type="dxa"/>
                  <w:shd w:val="clear" w:color="auto" w:fill="auto"/>
                  <w:hideMark/>
                </w:tcPr>
                <w:p w14:paraId="13827E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17" w:type="dxa"/>
                  <w:shd w:val="clear" w:color="auto" w:fill="auto"/>
                  <w:hideMark/>
                </w:tcPr>
                <w:p w14:paraId="104C57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instrument din banda „b”; și</w:t>
                  </w:r>
                </w:p>
              </w:tc>
            </w:tr>
          </w:tbl>
          <w:p w14:paraId="472B1F32"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221" w:type="dxa"/>
              <w:tblLayout w:type="fixed"/>
              <w:tblCellMar>
                <w:left w:w="0" w:type="dxa"/>
                <w:right w:w="0" w:type="dxa"/>
              </w:tblCellMar>
              <w:tblLook w:val="04A0" w:firstRow="1" w:lastRow="0" w:firstColumn="1" w:lastColumn="0" w:noHBand="0" w:noVBand="1"/>
            </w:tblPr>
            <w:tblGrid>
              <w:gridCol w:w="754"/>
              <w:gridCol w:w="76"/>
              <w:gridCol w:w="4391"/>
            </w:tblGrid>
            <w:tr w:rsidR="00106FB1" w:rsidRPr="00C011B2" w14:paraId="58D534CB" w14:textId="77777777" w:rsidTr="001E785F">
              <w:tc>
                <w:tcPr>
                  <w:tcW w:w="754" w:type="dxa"/>
                  <w:shd w:val="clear" w:color="auto" w:fill="auto"/>
                  <w:hideMark/>
                </w:tcPr>
                <w:p w14:paraId="5C58AA9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WtS</w:t>
                  </w:r>
                  <w:r w:rsidRPr="00C011B2">
                    <w:rPr>
                      <w:rFonts w:ascii="Times New Roman" w:hAnsi="Times New Roman" w:cs="Times New Roman"/>
                      <w:color w:val="000000" w:themeColor="text1"/>
                      <w:vertAlign w:val="subscript"/>
                      <w:lang w:val="ro-MD"/>
                    </w:rPr>
                    <w:t>ACTP</w:t>
                  </w:r>
                </w:p>
              </w:tc>
              <w:tc>
                <w:tcPr>
                  <w:tcW w:w="76" w:type="dxa"/>
                  <w:shd w:val="clear" w:color="auto" w:fill="auto"/>
                  <w:hideMark/>
                </w:tcPr>
                <w:p w14:paraId="50952C2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91" w:type="dxa"/>
                  <w:shd w:val="clear" w:color="auto" w:fill="auto"/>
                  <w:hideMark/>
                </w:tcPr>
                <w:p w14:paraId="05CB06EC" w14:textId="07E0507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raportul care reflectă beneficiul obținut în urma acoperirii împotriva riscurilor a relațiilor din cadrul unei benzi, calculat în conformitate cu formula WtS prevăzută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pct.243-244, dar utilizând poziții lungi și scurte din întregul ACTP, și nu doar pozițiile din banda respectivă.</w:t>
                  </w:r>
                </w:p>
              </w:tc>
            </w:tr>
            <w:bookmarkEnd w:id="238"/>
          </w:tbl>
          <w:p w14:paraId="5D1D4AC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47CB64A7" w14:textId="43AC8EC2"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0E12DC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5F73E7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3870FD" w14:textId="5733AFC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Instituțiile calculează cerințele de fonduri proprii pentru riscul de nerambursare aferent ACTP utilizând următoarea formulă:</w:t>
            </w:r>
          </w:p>
          <w:p w14:paraId="4D538D60" w14:textId="4550E6C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7B93041" wp14:editId="55FBF949">
                  <wp:extent cx="3055620" cy="377190"/>
                  <wp:effectExtent l="0" t="0" r="0" b="3810"/>
                  <wp:docPr id="56" name="Picture 5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55620" cy="377190"/>
                          </a:xfrm>
                          <a:prstGeom prst="rect">
                            <a:avLst/>
                          </a:prstGeom>
                          <a:noFill/>
                          <a:ln>
                            <a:noFill/>
                          </a:ln>
                        </pic:spPr>
                      </pic:pic>
                    </a:graphicData>
                  </a:graphic>
                </wp:inline>
              </w:drawing>
            </w:r>
          </w:p>
          <w:p w14:paraId="196372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301" w:type="dxa"/>
              <w:tblLayout w:type="fixed"/>
              <w:tblCellMar>
                <w:left w:w="0" w:type="dxa"/>
                <w:right w:w="0" w:type="dxa"/>
              </w:tblCellMar>
              <w:tblLook w:val="04A0" w:firstRow="1" w:lastRow="0" w:firstColumn="1" w:lastColumn="0" w:noHBand="0" w:noVBand="1"/>
            </w:tblPr>
            <w:tblGrid>
              <w:gridCol w:w="896"/>
              <w:gridCol w:w="85"/>
              <w:gridCol w:w="4320"/>
            </w:tblGrid>
            <w:tr w:rsidR="00106FB1" w:rsidRPr="00C011B2" w14:paraId="61BC7FC1" w14:textId="77777777" w:rsidTr="00205CA4">
              <w:tc>
                <w:tcPr>
                  <w:tcW w:w="896" w:type="dxa"/>
                  <w:shd w:val="clear" w:color="auto" w:fill="auto"/>
                  <w:hideMark/>
                </w:tcPr>
                <w:p w14:paraId="1720A53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ACTP</w:t>
                  </w:r>
                </w:p>
              </w:tc>
              <w:tc>
                <w:tcPr>
                  <w:tcW w:w="85" w:type="dxa"/>
                  <w:shd w:val="clear" w:color="auto" w:fill="auto"/>
                  <w:hideMark/>
                </w:tcPr>
                <w:p w14:paraId="5A6FA3B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20" w:type="dxa"/>
                  <w:shd w:val="clear" w:color="auto" w:fill="auto"/>
                  <w:hideMark/>
                </w:tcPr>
                <w:p w14:paraId="07E7C6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ACTP; și</w:t>
                  </w:r>
                </w:p>
              </w:tc>
            </w:tr>
          </w:tbl>
          <w:p w14:paraId="177E0AD3"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128" w:type="dxa"/>
              <w:tblLayout w:type="fixed"/>
              <w:tblCellMar>
                <w:left w:w="0" w:type="dxa"/>
                <w:right w:w="0" w:type="dxa"/>
              </w:tblCellMar>
              <w:tblLook w:val="04A0" w:firstRow="1" w:lastRow="0" w:firstColumn="1" w:lastColumn="0" w:noHBand="0" w:noVBand="1"/>
            </w:tblPr>
            <w:tblGrid>
              <w:gridCol w:w="612"/>
              <w:gridCol w:w="85"/>
              <w:gridCol w:w="4431"/>
            </w:tblGrid>
            <w:tr w:rsidR="00106FB1" w:rsidRPr="00C011B2" w14:paraId="2355ECB1" w14:textId="77777777" w:rsidTr="00205CA4">
              <w:tc>
                <w:tcPr>
                  <w:tcW w:w="612" w:type="dxa"/>
                  <w:shd w:val="clear" w:color="auto" w:fill="auto"/>
                  <w:hideMark/>
                </w:tcPr>
                <w:p w14:paraId="5971EF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b</w:t>
                  </w:r>
                </w:p>
              </w:tc>
              <w:tc>
                <w:tcPr>
                  <w:tcW w:w="85" w:type="dxa"/>
                  <w:shd w:val="clear" w:color="auto" w:fill="auto"/>
                  <w:hideMark/>
                </w:tcPr>
                <w:p w14:paraId="030B8F0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1" w:type="dxa"/>
                  <w:shd w:val="clear" w:color="auto" w:fill="auto"/>
                  <w:hideMark/>
                </w:tcPr>
                <w:p w14:paraId="6D7B040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benzii „b”.</w:t>
                  </w:r>
                </w:p>
              </w:tc>
            </w:tr>
          </w:tbl>
          <w:p w14:paraId="04C3781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02CC1B79" w14:textId="5AB5A9D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39" w:name="_Hlk223073639"/>
            <w:r w:rsidRPr="00C011B2">
              <w:rPr>
                <w:rFonts w:ascii="Times New Roman" w:hAnsi="Times New Roman" w:cs="Times New Roman"/>
                <w:color w:val="000000" w:themeColor="text1"/>
                <w:lang w:val="ro-MD"/>
              </w:rPr>
              <w:t>268.   Băncile calculează cerințele de fonduri proprii pentru riscul de nerambursare aferent ACTP utilizând următoarea formulă:</w:t>
            </w:r>
          </w:p>
          <w:p w14:paraId="6B46B37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7DEEFB5" wp14:editId="194DBA97">
                  <wp:extent cx="3055620" cy="377190"/>
                  <wp:effectExtent l="0" t="0" r="0" b="3810"/>
                  <wp:docPr id="157" name="Picture 1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55620" cy="377190"/>
                          </a:xfrm>
                          <a:prstGeom prst="rect">
                            <a:avLst/>
                          </a:prstGeom>
                          <a:noFill/>
                          <a:ln>
                            <a:noFill/>
                          </a:ln>
                        </pic:spPr>
                      </pic:pic>
                    </a:graphicData>
                  </a:graphic>
                </wp:inline>
              </w:drawing>
            </w:r>
          </w:p>
          <w:p w14:paraId="1260CE0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301" w:type="dxa"/>
              <w:tblLayout w:type="fixed"/>
              <w:tblCellMar>
                <w:left w:w="0" w:type="dxa"/>
                <w:right w:w="0" w:type="dxa"/>
              </w:tblCellMar>
              <w:tblLook w:val="04A0" w:firstRow="1" w:lastRow="0" w:firstColumn="1" w:lastColumn="0" w:noHBand="0" w:noVBand="1"/>
            </w:tblPr>
            <w:tblGrid>
              <w:gridCol w:w="896"/>
              <w:gridCol w:w="85"/>
              <w:gridCol w:w="4320"/>
            </w:tblGrid>
            <w:tr w:rsidR="00106FB1" w:rsidRPr="00C011B2" w14:paraId="4DC46A49" w14:textId="77777777" w:rsidTr="001E785F">
              <w:tc>
                <w:tcPr>
                  <w:tcW w:w="896" w:type="dxa"/>
                  <w:shd w:val="clear" w:color="auto" w:fill="auto"/>
                  <w:hideMark/>
                </w:tcPr>
                <w:p w14:paraId="26CBD60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ACTP</w:t>
                  </w:r>
                </w:p>
              </w:tc>
              <w:tc>
                <w:tcPr>
                  <w:tcW w:w="85" w:type="dxa"/>
                  <w:shd w:val="clear" w:color="auto" w:fill="auto"/>
                  <w:hideMark/>
                </w:tcPr>
                <w:p w14:paraId="74DF9AD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20" w:type="dxa"/>
                  <w:shd w:val="clear" w:color="auto" w:fill="auto"/>
                  <w:hideMark/>
                </w:tcPr>
                <w:p w14:paraId="41434B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ACTP; și</w:t>
                  </w:r>
                </w:p>
              </w:tc>
            </w:tr>
          </w:tbl>
          <w:p w14:paraId="032E4C4A"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128" w:type="dxa"/>
              <w:tblLayout w:type="fixed"/>
              <w:tblCellMar>
                <w:left w:w="0" w:type="dxa"/>
                <w:right w:w="0" w:type="dxa"/>
              </w:tblCellMar>
              <w:tblLook w:val="04A0" w:firstRow="1" w:lastRow="0" w:firstColumn="1" w:lastColumn="0" w:noHBand="0" w:noVBand="1"/>
            </w:tblPr>
            <w:tblGrid>
              <w:gridCol w:w="612"/>
              <w:gridCol w:w="85"/>
              <w:gridCol w:w="4431"/>
            </w:tblGrid>
            <w:tr w:rsidR="00106FB1" w:rsidRPr="00C011B2" w14:paraId="302B4ABD" w14:textId="77777777" w:rsidTr="001E785F">
              <w:tc>
                <w:tcPr>
                  <w:tcW w:w="612" w:type="dxa"/>
                  <w:shd w:val="clear" w:color="auto" w:fill="auto"/>
                  <w:hideMark/>
                </w:tcPr>
                <w:p w14:paraId="2231573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DRC</w:t>
                  </w:r>
                  <w:r w:rsidRPr="00C011B2">
                    <w:rPr>
                      <w:rFonts w:ascii="Times New Roman" w:hAnsi="Times New Roman" w:cs="Times New Roman"/>
                      <w:color w:val="000000" w:themeColor="text1"/>
                      <w:vertAlign w:val="subscript"/>
                      <w:lang w:val="ro-MD"/>
                    </w:rPr>
                    <w:t>b</w:t>
                  </w:r>
                </w:p>
              </w:tc>
              <w:tc>
                <w:tcPr>
                  <w:tcW w:w="85" w:type="dxa"/>
                  <w:shd w:val="clear" w:color="auto" w:fill="auto"/>
                  <w:hideMark/>
                </w:tcPr>
                <w:p w14:paraId="59EC033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431" w:type="dxa"/>
                  <w:shd w:val="clear" w:color="auto" w:fill="auto"/>
                  <w:hideMark/>
                </w:tcPr>
                <w:p w14:paraId="4E4460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cerința de fonduri proprii pentru riscul de nerambursare aferentă benzii „b”.</w:t>
                  </w:r>
                </w:p>
              </w:tc>
            </w:tr>
            <w:bookmarkEnd w:id="239"/>
          </w:tbl>
          <w:p w14:paraId="59E353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01114346" w14:textId="1B694E3C"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E4E895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6CBDC9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D3F11B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6</w:t>
            </w:r>
          </w:p>
          <w:p w14:paraId="6796E4C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 de risc și corelații</w:t>
            </w:r>
          </w:p>
          <w:p w14:paraId="22D4987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1</w:t>
            </w:r>
          </w:p>
          <w:p w14:paraId="50E8E63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 de risc și corelații delta</w:t>
            </w:r>
          </w:p>
          <w:p w14:paraId="11D4AA8B"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325ae</w:t>
            </w:r>
          </w:p>
          <w:p w14:paraId="3E593160" w14:textId="1511F3D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 de risc pentru riscul general de rată a dobânzii</w:t>
            </w:r>
          </w:p>
        </w:tc>
        <w:tc>
          <w:tcPr>
            <w:tcW w:w="1692" w:type="pct"/>
            <w:shd w:val="clear" w:color="auto" w:fill="auto"/>
          </w:tcPr>
          <w:p w14:paraId="781F6E4F"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40" w:name="_Hlk195097660"/>
            <w:r w:rsidRPr="00C011B2">
              <w:rPr>
                <w:rFonts w:ascii="Times New Roman" w:hAnsi="Times New Roman" w:cs="Times New Roman"/>
                <w:b/>
                <w:bCs/>
                <w:color w:val="000000" w:themeColor="text1"/>
                <w:lang w:val="ro-MD"/>
              </w:rPr>
              <w:lastRenderedPageBreak/>
              <w:t>Secțiunea 6</w:t>
            </w:r>
          </w:p>
          <w:p w14:paraId="68D7C0C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 de risc și corelații</w:t>
            </w:r>
          </w:p>
          <w:p w14:paraId="380AE09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1</w:t>
            </w:r>
          </w:p>
          <w:p w14:paraId="1457D6D5"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 de risc și corelații delta</w:t>
            </w:r>
          </w:p>
          <w:p w14:paraId="7EC80703" w14:textId="2538A0E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lastRenderedPageBreak/>
              <w:t xml:space="preserve">Paragraful 1. </w:t>
            </w:r>
            <w:r w:rsidRPr="00C011B2">
              <w:rPr>
                <w:rFonts w:ascii="Times New Roman" w:hAnsi="Times New Roman" w:cs="Times New Roman"/>
                <w:b/>
                <w:bCs/>
                <w:color w:val="000000" w:themeColor="text1"/>
                <w:lang w:val="ro-MD"/>
              </w:rPr>
              <w:t>Ponderi de risc pentru riscul general de rată a dobânzii</w:t>
            </w:r>
            <w:bookmarkEnd w:id="240"/>
          </w:p>
        </w:tc>
        <w:tc>
          <w:tcPr>
            <w:tcW w:w="450" w:type="pct"/>
          </w:tcPr>
          <w:p w14:paraId="5AC207C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60B264A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bookmarkStart w:id="241" w:name="_Hlk223074959"/>
      <w:tr w:rsidR="00106FB1" w:rsidRPr="00C011B2" w14:paraId="7D9489E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FF5102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fldChar w:fldCharType="begin"/>
            </w:r>
            <w:r w:rsidRPr="00C011B2">
              <w:rPr>
                <w:lang w:val="ro-MD"/>
              </w:rPr>
              <w:instrText>HYPERLINK "https://eur-lex.europa.eu/legal-content/RO/AUTO/?uri=celex:32021R0424" \o "32021R0424: REPLACED"</w:instrText>
            </w:r>
            <w:r w:rsidRPr="00C011B2">
              <w:fldChar w:fldCharType="separate"/>
            </w:r>
            <w:r w:rsidRPr="00C011B2">
              <w:rPr>
                <w:rStyle w:val="Hyperlink"/>
                <w:rFonts w:ascii="Times New Roman" w:hAnsi="Times New Roman" w:cs="Times New Roman"/>
                <w:b/>
                <w:bCs/>
                <w:lang w:val="ro-MD"/>
              </w:rPr>
              <w:t>▼M12</w:t>
            </w:r>
            <w:r w:rsidRPr="00C011B2">
              <w:rPr>
                <w:rStyle w:val="Hyperlink"/>
                <w:rFonts w:ascii="Times New Roman" w:hAnsi="Times New Roman" w:cs="Times New Roman"/>
                <w:b/>
                <w:bCs/>
                <w:lang w:val="ro-MD"/>
              </w:rPr>
              <w:fldChar w:fldCharType="end"/>
            </w:r>
          </w:p>
          <w:p w14:paraId="17A50D87" w14:textId="3BF3384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Pentru monedele care nu sunt incluse în subcategoria celei mai lichide monede, astfel cum se menționează la articolul 325bd alineatul (7) litera (b), ponderile de risc ale sensibilităților la factorii de risc aferenți ratei fără risc sunt următoarele:</w:t>
            </w:r>
          </w:p>
          <w:p w14:paraId="3204AFB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3</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18"/>
              <w:gridCol w:w="1012"/>
              <w:gridCol w:w="1870"/>
            </w:tblGrid>
            <w:tr w:rsidR="00106FB1" w:rsidRPr="00C011B2" w14:paraId="5329083E"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4BCE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Banda</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F5B6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Scadența</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418F7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18E7B4D9"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2E07B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AE57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245A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1,7 %</w:t>
                  </w:r>
                </w:p>
              </w:tc>
            </w:tr>
            <w:tr w:rsidR="00106FB1" w:rsidRPr="00C011B2" w14:paraId="07D4A336"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1A8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893E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5178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1,7 %</w:t>
                  </w:r>
                </w:p>
              </w:tc>
            </w:tr>
            <w:tr w:rsidR="00106FB1" w:rsidRPr="00C011B2" w14:paraId="5767DBF7"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60A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196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an</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495E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1,6 %</w:t>
                  </w:r>
                </w:p>
              </w:tc>
            </w:tr>
            <w:tr w:rsidR="00106FB1" w:rsidRPr="00C011B2" w14:paraId="0D30B513"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E88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69BF1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D5CD4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1,3 %</w:t>
                  </w:r>
                </w:p>
              </w:tc>
            </w:tr>
            <w:tr w:rsidR="00106FB1" w:rsidRPr="00C011B2" w14:paraId="4608B716"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F47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8DDDB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07B5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1,2 %</w:t>
                  </w:r>
                </w:p>
              </w:tc>
            </w:tr>
            <w:tr w:rsidR="00106FB1" w:rsidRPr="00C011B2" w14:paraId="20BB1F36"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6491D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BF6E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C5AF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76140142"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90DC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300E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C6AE2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53979F83"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1265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A7D1D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2AB61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3ED7D29B"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CF4FC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5B5A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de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5BE0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572861B7" w14:textId="77777777" w:rsidTr="00205CA4">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B769D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4154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de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920DC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bl>
          <w:p w14:paraId="3DC56A3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CA964B1" w14:textId="765BCCB5"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2" w:name="_Hlk223074978"/>
            <w:r w:rsidRPr="00C011B2">
              <w:rPr>
                <w:rFonts w:ascii="Times New Roman" w:hAnsi="Times New Roman" w:cs="Times New Roman"/>
                <w:color w:val="000000" w:themeColor="text1"/>
                <w:lang w:val="ro-MD"/>
              </w:rPr>
              <w:t xml:space="preserve">269.   Pentru monedele care nu sunt incluse în subcategoria celei mai lichide monede, astfel cum se menționează la </w:t>
            </w:r>
            <w:r w:rsidR="002420C8" w:rsidRPr="00C011B2">
              <w:rPr>
                <w:rFonts w:ascii="Times New Roman" w:hAnsi="Times New Roman" w:cs="Times New Roman"/>
                <w:color w:val="000000" w:themeColor="text1"/>
                <w:lang w:val="ro-RO"/>
              </w:rPr>
              <w:t>subpct.361.2</w:t>
            </w:r>
            <w:r w:rsidRPr="00C011B2">
              <w:rPr>
                <w:rFonts w:ascii="Times New Roman" w:hAnsi="Times New Roman" w:cs="Times New Roman"/>
                <w:color w:val="000000" w:themeColor="text1"/>
                <w:lang w:val="ro-MD"/>
              </w:rPr>
              <w:t>, ponderile de risc ale sensibilităților la factorii de risc aferenți ratei fără risc sunt următoarele:</w:t>
            </w:r>
          </w:p>
          <w:p w14:paraId="798897F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3</w:t>
            </w:r>
            <w:bookmarkEnd w:id="242"/>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18"/>
              <w:gridCol w:w="1012"/>
              <w:gridCol w:w="1870"/>
            </w:tblGrid>
            <w:tr w:rsidR="00106FB1" w:rsidRPr="00C011B2" w14:paraId="703A5D20"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3ACB61"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43" w:name="_Hlk223074997"/>
                  <w:r w:rsidRPr="00C011B2">
                    <w:rPr>
                      <w:rFonts w:ascii="Times New Roman" w:hAnsi="Times New Roman" w:cs="Times New Roman"/>
                      <w:b/>
                      <w:bCs/>
                      <w:color w:val="000000" w:themeColor="text1"/>
                      <w:lang w:val="ro-MD"/>
                    </w:rPr>
                    <w:t>Banda</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990A6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Scadența</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30D3C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5F3E6B63"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385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5546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849B1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1,7 %</w:t>
                  </w:r>
                </w:p>
              </w:tc>
            </w:tr>
            <w:tr w:rsidR="00106FB1" w:rsidRPr="00C011B2" w14:paraId="3D4C42F8"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AB15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26AE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AB724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1,7 %</w:t>
                  </w:r>
                </w:p>
              </w:tc>
            </w:tr>
            <w:tr w:rsidR="00106FB1" w:rsidRPr="00C011B2" w14:paraId="3AA01EC3"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B205E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83DC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an</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8738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1,6 %</w:t>
                  </w:r>
                </w:p>
              </w:tc>
            </w:tr>
            <w:tr w:rsidR="00106FB1" w:rsidRPr="00C011B2" w14:paraId="2DE45CDD"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C8F4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69435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4994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1,3 %</w:t>
                  </w:r>
                </w:p>
              </w:tc>
            </w:tr>
            <w:tr w:rsidR="00106FB1" w:rsidRPr="00C011B2" w14:paraId="08B31FEF"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B46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5AA48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5FD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1,2 %</w:t>
                  </w:r>
                </w:p>
              </w:tc>
            </w:tr>
            <w:tr w:rsidR="00106FB1" w:rsidRPr="00C011B2" w14:paraId="5E45C67B"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CC6B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FA7A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90923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128FE257"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C449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0EC0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AC0D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1256FDF2"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AE57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71F9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7C585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5CD4FE5D"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8E0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0AD7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de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C36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tr w:rsidR="00106FB1" w:rsidRPr="00C011B2" w14:paraId="76BDE50A" w14:textId="77777777" w:rsidTr="001E785F">
              <w:trPr>
                <w:jc w:val="center"/>
              </w:trPr>
              <w:tc>
                <w:tcPr>
                  <w:tcW w:w="7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F19D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01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FE2D3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de ani</w:t>
                  </w:r>
                </w:p>
              </w:tc>
              <w:tc>
                <w:tcPr>
                  <w:tcW w:w="18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932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w:t>
                  </w:r>
                </w:p>
              </w:tc>
            </w:tr>
            <w:bookmarkEnd w:id="243"/>
          </w:tbl>
          <w:p w14:paraId="5988F16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75A227C7" w14:textId="01E13F7D"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8DCE6F1"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bookmarkEnd w:id="241"/>
      <w:tr w:rsidR="00106FB1" w:rsidRPr="00C011B2" w14:paraId="4F58D58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611CBB2" w14:textId="4F282EA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aplică o pondere de risc de 1,6 % tuturor sensibilităților la inflație și factorilor de risc de bază intervalutară.</w:t>
            </w:r>
          </w:p>
        </w:tc>
        <w:tc>
          <w:tcPr>
            <w:tcW w:w="1692" w:type="pct"/>
            <w:shd w:val="clear" w:color="auto" w:fill="auto"/>
          </w:tcPr>
          <w:p w14:paraId="33C04DBF" w14:textId="263EDBF5"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4" w:name="_Hlk223075028"/>
            <w:r w:rsidRPr="00C011B2">
              <w:rPr>
                <w:rFonts w:ascii="Times New Roman" w:hAnsi="Times New Roman" w:cs="Times New Roman"/>
                <w:color w:val="000000" w:themeColor="text1"/>
                <w:lang w:val="ro-MD"/>
              </w:rPr>
              <w:t>270.   Băncile aplică o pondere de risc de 1,6 % tuturor sensibilităților la inflație și factorilor de risc de bază intervalutară.</w:t>
            </w:r>
            <w:bookmarkEnd w:id="244"/>
          </w:p>
        </w:tc>
        <w:tc>
          <w:tcPr>
            <w:tcW w:w="450" w:type="pct"/>
          </w:tcPr>
          <w:p w14:paraId="7373694E" w14:textId="22074E94"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D9BDC22"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6BF6EF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35A6487"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04" w:tooltip="32024R1623: REPLACED" w:history="1">
              <w:r w:rsidR="00106FB1" w:rsidRPr="00C011B2">
                <w:rPr>
                  <w:rStyle w:val="Hyperlink"/>
                  <w:rFonts w:ascii="Times New Roman" w:hAnsi="Times New Roman" w:cs="Times New Roman"/>
                  <w:b/>
                  <w:bCs/>
                  <w:lang w:val="ro-MD"/>
                </w:rPr>
                <w:t>▼M17</w:t>
              </w:r>
            </w:hyperlink>
          </w:p>
          <w:p w14:paraId="628861E0" w14:textId="6D7E530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Ponderile de risc ale factorilor de risc în funcție de monedele incluse în subcategoria „Cele mai lichide monede”, astfel cum se menționează la articolul 325bd alineatul (7) litera (b), și de moneda națională a instituției sunt următoarele:</w:t>
            </w:r>
          </w:p>
          <w:p w14:paraId="4DA153D4" w14:textId="2243801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pentru factorii de risc aferenți ratei fără risc, ponderile de risc menționate la alineatul (1) tabelul 3 de la prezentul articol împărțite la </w:t>
            </w:r>
            <w:r w:rsidRPr="00C011B2">
              <w:rPr>
                <w:rFonts w:ascii="Times New Roman" w:hAnsi="Times New Roman" w:cs="Times New Roman"/>
                <w:noProof/>
                <w:color w:val="000000" w:themeColor="text1"/>
                <w:lang w:val="ro-MD"/>
              </w:rPr>
              <w:drawing>
                <wp:inline distT="0" distB="0" distL="0" distR="0" wp14:anchorId="5C79E6E0" wp14:editId="0449ABBA">
                  <wp:extent cx="279400" cy="273050"/>
                  <wp:effectExtent l="0" t="0" r="6350" b="0"/>
                  <wp:docPr id="58" name="Picture 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9400" cy="27305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1B4BEE3A" w14:textId="76852AE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pentru factorii de risc de inflație și factorii de risc de bază intervalutară, ponderile de risc menționate la alineatul (2) de la prezentul articol împărțite la </w:t>
            </w:r>
            <w:r w:rsidRPr="00C011B2">
              <w:rPr>
                <w:rFonts w:ascii="Times New Roman" w:hAnsi="Times New Roman" w:cs="Times New Roman"/>
                <w:noProof/>
                <w:color w:val="000000" w:themeColor="text1"/>
                <w:lang w:val="ro-MD"/>
              </w:rPr>
              <w:drawing>
                <wp:inline distT="0" distB="0" distL="0" distR="0" wp14:anchorId="4B9AF94A" wp14:editId="7465E686">
                  <wp:extent cx="279400" cy="273050"/>
                  <wp:effectExtent l="0" t="0" r="6350" b="0"/>
                  <wp:docPr id="57" name="Picture 5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9400" cy="27305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tc>
        <w:tc>
          <w:tcPr>
            <w:tcW w:w="1692" w:type="pct"/>
            <w:shd w:val="clear" w:color="auto" w:fill="auto"/>
          </w:tcPr>
          <w:p w14:paraId="1D883290" w14:textId="19FD6D67"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5" w:name="_Hlk223075057"/>
            <w:r w:rsidRPr="00C011B2">
              <w:rPr>
                <w:rFonts w:ascii="Times New Roman" w:hAnsi="Times New Roman" w:cs="Times New Roman"/>
                <w:color w:val="000000" w:themeColor="text1"/>
                <w:lang w:val="ro-MD"/>
              </w:rPr>
              <w:t xml:space="preserve">271.  Ponderile de risc ale factorilor de risc în funcție de monedele incluse în subcategoria „Cele mai lichide monede”, astfel cum se menționează la </w:t>
            </w:r>
            <w:r w:rsidR="002420C8" w:rsidRPr="00C011B2">
              <w:rPr>
                <w:rFonts w:ascii="Times New Roman" w:hAnsi="Times New Roman" w:cs="Times New Roman"/>
                <w:color w:val="000000" w:themeColor="text1"/>
                <w:lang w:val="ro-RO"/>
              </w:rPr>
              <w:t>subpct.361.2</w:t>
            </w:r>
            <w:r w:rsidRPr="00C011B2">
              <w:rPr>
                <w:rFonts w:ascii="Times New Roman" w:hAnsi="Times New Roman" w:cs="Times New Roman"/>
                <w:color w:val="000000" w:themeColor="text1"/>
                <w:lang w:val="ro-MD"/>
              </w:rPr>
              <w:t>, și de moneda națională a băncii sunt următoarele:</w:t>
            </w:r>
          </w:p>
          <w:p w14:paraId="0D0882A7" w14:textId="3F2D0D3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271.1. pentru factorii de risc aferenți ratei fără risc, ponderile de risc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pct.269 tabelul 3 de la prezentul paragraf împărțite la </w:t>
            </w:r>
            <w:r w:rsidRPr="00C011B2">
              <w:rPr>
                <w:rFonts w:ascii="Times New Roman" w:hAnsi="Times New Roman" w:cs="Times New Roman"/>
                <w:noProof/>
                <w:color w:val="000000" w:themeColor="text1"/>
                <w:lang w:val="ro-MD"/>
              </w:rPr>
              <w:drawing>
                <wp:inline distT="0" distB="0" distL="0" distR="0" wp14:anchorId="111117E1" wp14:editId="470DB858">
                  <wp:extent cx="279400" cy="273050"/>
                  <wp:effectExtent l="0" t="0" r="6350" b="0"/>
                  <wp:docPr id="158" name="Picture 1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9400" cy="27305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p>
          <w:p w14:paraId="4AFEDFF1" w14:textId="4636A08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271.2. pentru factorii de risc de inflație și factorii de risc de bază intervalutară, ponderile de risc menționate la pct.270 de la prezentul paragraf împărțite la </w:t>
            </w:r>
            <w:r w:rsidRPr="00C011B2">
              <w:rPr>
                <w:rFonts w:ascii="Times New Roman" w:hAnsi="Times New Roman" w:cs="Times New Roman"/>
                <w:noProof/>
                <w:color w:val="000000" w:themeColor="text1"/>
                <w:lang w:val="ro-MD"/>
              </w:rPr>
              <w:drawing>
                <wp:inline distT="0" distB="0" distL="0" distR="0" wp14:anchorId="0B9EC4A4" wp14:editId="5F792F05">
                  <wp:extent cx="279400" cy="273050"/>
                  <wp:effectExtent l="0" t="0" r="6350" b="0"/>
                  <wp:docPr id="159" name="Picture 1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9400" cy="273050"/>
                          </a:xfrm>
                          <a:prstGeom prst="rect">
                            <a:avLst/>
                          </a:prstGeom>
                          <a:noFill/>
                          <a:ln>
                            <a:noFill/>
                          </a:ln>
                        </pic:spPr>
                      </pic:pic>
                    </a:graphicData>
                  </a:graphic>
                </wp:inline>
              </w:drawing>
            </w:r>
            <w:r w:rsidRPr="00C011B2">
              <w:rPr>
                <w:rFonts w:ascii="Times New Roman" w:hAnsi="Times New Roman" w:cs="Times New Roman"/>
                <w:color w:val="000000" w:themeColor="text1"/>
                <w:lang w:val="ro-MD"/>
              </w:rPr>
              <w:t>.</w:t>
            </w:r>
            <w:bookmarkEnd w:id="245"/>
          </w:p>
        </w:tc>
        <w:tc>
          <w:tcPr>
            <w:tcW w:w="450" w:type="pct"/>
          </w:tcPr>
          <w:p w14:paraId="2EE1F539" w14:textId="68A4081C"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D8948ED"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C3275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C6712D"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06" w:tooltip="32019R0876: INSERTED" w:history="1">
              <w:r w:rsidR="00106FB1" w:rsidRPr="00C011B2">
                <w:rPr>
                  <w:rStyle w:val="Hyperlink"/>
                  <w:rFonts w:ascii="Times New Roman" w:hAnsi="Times New Roman" w:cs="Times New Roman"/>
                  <w:b/>
                  <w:bCs/>
                  <w:lang w:val="ro-MD"/>
                </w:rPr>
                <w:t>▼M8</w:t>
              </w:r>
            </w:hyperlink>
          </w:p>
          <w:p w14:paraId="6BF08245"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325af</w:t>
            </w:r>
          </w:p>
          <w:p w14:paraId="3D11D18F" w14:textId="429DEE0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din cadrul unei benzi pentru riscul general de rată a dobânzii</w:t>
            </w:r>
          </w:p>
        </w:tc>
        <w:tc>
          <w:tcPr>
            <w:tcW w:w="1692" w:type="pct"/>
            <w:shd w:val="clear" w:color="auto" w:fill="auto"/>
          </w:tcPr>
          <w:p w14:paraId="6FA13B9B" w14:textId="79F12E21"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6" w:name="_Hlk195097703"/>
            <w:r w:rsidRPr="00C011B2">
              <w:rPr>
                <w:rFonts w:ascii="Times New Roman" w:hAnsi="Times New Roman" w:cs="Times New Roman"/>
                <w:i/>
                <w:iCs/>
                <w:color w:val="000000" w:themeColor="text1"/>
                <w:lang w:val="ro-MD"/>
              </w:rPr>
              <w:t xml:space="preserve">Paragraful 2. </w:t>
            </w:r>
            <w:r w:rsidRPr="00C011B2">
              <w:rPr>
                <w:rFonts w:ascii="Times New Roman" w:hAnsi="Times New Roman" w:cs="Times New Roman"/>
                <w:b/>
                <w:bCs/>
                <w:color w:val="000000" w:themeColor="text1"/>
                <w:lang w:val="ro-MD"/>
              </w:rPr>
              <w:t>Corelațiile din cadrul unei benzi pentru riscul general de rată a dobânzii</w:t>
            </w:r>
            <w:bookmarkEnd w:id="246"/>
          </w:p>
        </w:tc>
        <w:tc>
          <w:tcPr>
            <w:tcW w:w="450" w:type="pct"/>
          </w:tcPr>
          <w:p w14:paraId="17788F4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071DC59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A23C95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274E530" w14:textId="1998FF4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Între două sensibilități ponderate ale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de risc general de rată a dobânzii din cadrul aceleiași benzi și cu aceeași scadență atribuită, dar care corespund unor curbe diferite, corelația ρkl este de 99,90 %.</w:t>
            </w:r>
          </w:p>
        </w:tc>
        <w:tc>
          <w:tcPr>
            <w:tcW w:w="1692" w:type="pct"/>
            <w:shd w:val="clear" w:color="auto" w:fill="auto"/>
          </w:tcPr>
          <w:p w14:paraId="298915FD" w14:textId="3483AB3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272.  Între două sensibilități ponderate ale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de risc general de rată a dobânzii din cadrul aceleiași benzi și cu aceeași scadență atribuită, dar care corespund unor curbe diferite, corelația ρkl este de 99,90 %.</w:t>
            </w:r>
          </w:p>
        </w:tc>
        <w:tc>
          <w:tcPr>
            <w:tcW w:w="450" w:type="pct"/>
          </w:tcPr>
          <w:p w14:paraId="0B1D638E" w14:textId="1282DEA8"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180ED7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B9C4D9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5599C56" w14:textId="4D92955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Între două sensibilități ponderate ale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xml:space="preserve"> de risc general de rată a dobânzii din cadrul </w:t>
            </w:r>
            <w:r w:rsidRPr="00C011B2">
              <w:rPr>
                <w:rFonts w:ascii="Times New Roman" w:hAnsi="Times New Roman" w:cs="Times New Roman"/>
                <w:color w:val="000000" w:themeColor="text1"/>
                <w:lang w:val="ro-MD"/>
              </w:rPr>
              <w:lastRenderedPageBreak/>
              <w:t>aceleiași benzi, care corespund aceleiași curbe, dar au scadențe diferite, corelația se stabilește în conformitate cu următoarea formulă:</w:t>
            </w:r>
          </w:p>
          <w:p w14:paraId="49CF7119" w14:textId="1C0B475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ED9ECD8" wp14:editId="59D35907">
                  <wp:extent cx="2927350" cy="793750"/>
                  <wp:effectExtent l="0" t="0" r="6350" b="6350"/>
                  <wp:docPr id="59" name="Picture 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27350" cy="793750"/>
                          </a:xfrm>
                          <a:prstGeom prst="rect">
                            <a:avLst/>
                          </a:prstGeom>
                          <a:noFill/>
                          <a:ln>
                            <a:noFill/>
                          </a:ln>
                        </pic:spPr>
                      </pic:pic>
                    </a:graphicData>
                  </a:graphic>
                </wp:inline>
              </w:drawing>
            </w:r>
          </w:p>
          <w:p w14:paraId="3632AE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990" w:type="dxa"/>
              <w:tblLayout w:type="fixed"/>
              <w:tblCellMar>
                <w:left w:w="0" w:type="dxa"/>
                <w:right w:w="0" w:type="dxa"/>
              </w:tblCellMar>
              <w:tblLook w:val="04A0" w:firstRow="1" w:lastRow="0" w:firstColumn="1" w:lastColumn="0" w:noHBand="0" w:noVBand="1"/>
            </w:tblPr>
            <w:tblGrid>
              <w:gridCol w:w="1463"/>
              <w:gridCol w:w="119"/>
              <w:gridCol w:w="3408"/>
            </w:tblGrid>
            <w:tr w:rsidR="00106FB1" w:rsidRPr="00C011B2" w14:paraId="078FA070" w14:textId="77777777" w:rsidTr="0015095F">
              <w:tc>
                <w:tcPr>
                  <w:tcW w:w="1463" w:type="dxa"/>
                  <w:shd w:val="clear" w:color="auto" w:fill="auto"/>
                  <w:hideMark/>
                </w:tcPr>
                <w:p w14:paraId="515BD1A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(respectivT</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w:t>
                  </w:r>
                </w:p>
              </w:tc>
              <w:tc>
                <w:tcPr>
                  <w:tcW w:w="119" w:type="dxa"/>
                  <w:shd w:val="clear" w:color="auto" w:fill="auto"/>
                  <w:hideMark/>
                </w:tcPr>
                <w:p w14:paraId="4A8736B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408" w:type="dxa"/>
                  <w:shd w:val="clear" w:color="auto" w:fill="auto"/>
                  <w:hideMark/>
                </w:tcPr>
                <w:p w14:paraId="404A90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scadența care corespunde ratei fără risc;</w:t>
                  </w:r>
                </w:p>
              </w:tc>
            </w:tr>
          </w:tbl>
          <w:p w14:paraId="2C0AABD3"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894"/>
              <w:gridCol w:w="901"/>
              <w:gridCol w:w="3017"/>
            </w:tblGrid>
            <w:tr w:rsidR="00106FB1" w:rsidRPr="00C011B2" w14:paraId="4D62871B" w14:textId="77777777" w:rsidTr="0015095F">
              <w:tc>
                <w:tcPr>
                  <w:tcW w:w="1791" w:type="dxa"/>
                  <w:shd w:val="clear" w:color="auto" w:fill="auto"/>
                  <w:hideMark/>
                </w:tcPr>
                <w:p w14:paraId="306E8D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θ</w:t>
                  </w:r>
                </w:p>
              </w:tc>
              <w:tc>
                <w:tcPr>
                  <w:tcW w:w="1805" w:type="dxa"/>
                  <w:shd w:val="clear" w:color="auto" w:fill="auto"/>
                  <w:hideMark/>
                </w:tcPr>
                <w:p w14:paraId="1C469F0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6093" w:type="dxa"/>
                  <w:shd w:val="clear" w:color="auto" w:fill="auto"/>
                  <w:hideMark/>
                </w:tcPr>
                <w:p w14:paraId="5C4E92C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w:t>
                  </w:r>
                </w:p>
              </w:tc>
            </w:tr>
          </w:tbl>
          <w:p w14:paraId="3A97794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32DEF12" w14:textId="3A4B2C6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273.   Între două sensibilități ponderate ale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xml:space="preserve"> de risc general de rată a dobânzii din cadrul </w:t>
            </w:r>
            <w:r w:rsidRPr="00C011B2">
              <w:rPr>
                <w:rFonts w:ascii="Times New Roman" w:hAnsi="Times New Roman" w:cs="Times New Roman"/>
                <w:color w:val="000000" w:themeColor="text1"/>
                <w:lang w:val="ro-MD"/>
              </w:rPr>
              <w:lastRenderedPageBreak/>
              <w:t>aceleiași benzi, care corespund aceleiași curbe, dar au scadențe diferite, corelația se stabilește în conformitate cu următoarea formulă:</w:t>
            </w:r>
          </w:p>
          <w:p w14:paraId="34395B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5A4FCA0" wp14:editId="757C4330">
                  <wp:extent cx="2927350" cy="793750"/>
                  <wp:effectExtent l="0" t="0" r="6350" b="6350"/>
                  <wp:docPr id="160" name="Picture 1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27350" cy="793750"/>
                          </a:xfrm>
                          <a:prstGeom prst="rect">
                            <a:avLst/>
                          </a:prstGeom>
                          <a:noFill/>
                          <a:ln>
                            <a:noFill/>
                          </a:ln>
                        </pic:spPr>
                      </pic:pic>
                    </a:graphicData>
                  </a:graphic>
                </wp:inline>
              </w:drawing>
            </w:r>
          </w:p>
          <w:p w14:paraId="1788A3D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990" w:type="dxa"/>
              <w:tblLayout w:type="fixed"/>
              <w:tblCellMar>
                <w:left w:w="0" w:type="dxa"/>
                <w:right w:w="0" w:type="dxa"/>
              </w:tblCellMar>
              <w:tblLook w:val="04A0" w:firstRow="1" w:lastRow="0" w:firstColumn="1" w:lastColumn="0" w:noHBand="0" w:noVBand="1"/>
            </w:tblPr>
            <w:tblGrid>
              <w:gridCol w:w="1463"/>
              <w:gridCol w:w="119"/>
              <w:gridCol w:w="3408"/>
            </w:tblGrid>
            <w:tr w:rsidR="00106FB1" w:rsidRPr="00C011B2" w14:paraId="4B1837DA" w14:textId="77777777" w:rsidTr="001E785F">
              <w:tc>
                <w:tcPr>
                  <w:tcW w:w="1463" w:type="dxa"/>
                  <w:shd w:val="clear" w:color="auto" w:fill="auto"/>
                  <w:hideMark/>
                </w:tcPr>
                <w:p w14:paraId="700306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(respectivT</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w:t>
                  </w:r>
                </w:p>
              </w:tc>
              <w:tc>
                <w:tcPr>
                  <w:tcW w:w="119" w:type="dxa"/>
                  <w:shd w:val="clear" w:color="auto" w:fill="auto"/>
                  <w:hideMark/>
                </w:tcPr>
                <w:p w14:paraId="3F0C77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408" w:type="dxa"/>
                  <w:shd w:val="clear" w:color="auto" w:fill="auto"/>
                  <w:hideMark/>
                </w:tcPr>
                <w:p w14:paraId="5C4481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scadența care corespunde ratei fără risc;</w:t>
                  </w:r>
                </w:p>
              </w:tc>
            </w:tr>
          </w:tbl>
          <w:p w14:paraId="7B237564" w14:textId="77777777" w:rsidR="00106FB1" w:rsidRPr="00C011B2" w:rsidRDefault="00106FB1" w:rsidP="00106FB1">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949"/>
              <w:gridCol w:w="956"/>
              <w:gridCol w:w="3206"/>
            </w:tblGrid>
            <w:tr w:rsidR="00106FB1" w:rsidRPr="00C011B2" w14:paraId="213BFEA6" w14:textId="77777777" w:rsidTr="001E785F">
              <w:tc>
                <w:tcPr>
                  <w:tcW w:w="1791" w:type="dxa"/>
                  <w:shd w:val="clear" w:color="auto" w:fill="auto"/>
                  <w:hideMark/>
                </w:tcPr>
                <w:p w14:paraId="1A5B7D4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θ</w:t>
                  </w:r>
                </w:p>
              </w:tc>
              <w:tc>
                <w:tcPr>
                  <w:tcW w:w="1805" w:type="dxa"/>
                  <w:shd w:val="clear" w:color="auto" w:fill="auto"/>
                  <w:hideMark/>
                </w:tcPr>
                <w:p w14:paraId="42E2FC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6093" w:type="dxa"/>
                  <w:shd w:val="clear" w:color="auto" w:fill="auto"/>
                  <w:hideMark/>
                </w:tcPr>
                <w:p w14:paraId="18FC46F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w:t>
                  </w:r>
                </w:p>
              </w:tc>
            </w:tr>
          </w:tbl>
          <w:p w14:paraId="601560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2F336745" w14:textId="1D07E6C7"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20D846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7DDBA1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CD65A43" w14:textId="6ECC146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Între două sensibilități ponderate ale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de risc general de rată a dobânzii din cadrul aceleiași benzi, care corespund unor curbe diferite și au scadențe diferite, corelația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este egală cu parametrul de corelație menționat la alineatul (2), înmulțit cu 99,90 %.</w:t>
            </w:r>
          </w:p>
        </w:tc>
        <w:tc>
          <w:tcPr>
            <w:tcW w:w="1692" w:type="pct"/>
            <w:shd w:val="clear" w:color="auto" w:fill="auto"/>
          </w:tcPr>
          <w:p w14:paraId="6651901C" w14:textId="16542B9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274.  Între două sensibilități ponderate ale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de risc general de rată a dobânzii din cadrul aceleiași benzi, care corespund unor curbe diferite și au scadențe diferite, corelația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este egală cu parametrul de corelație menționat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pct.273, înmulțit cu 99,90 %.</w:t>
            </w:r>
          </w:p>
        </w:tc>
        <w:tc>
          <w:tcPr>
            <w:tcW w:w="450" w:type="pct"/>
          </w:tcPr>
          <w:p w14:paraId="62125EDB" w14:textId="2FC49DEF"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5CDEBD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C73049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3559EB6" w14:textId="37932C9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Între o sensibilitate ponderată dată a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de risc general de rată a dobânzii și o sensibilitate ponderată dată a factorilor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de risc de inflație, corelația este de 40 %.</w:t>
            </w:r>
          </w:p>
        </w:tc>
        <w:tc>
          <w:tcPr>
            <w:tcW w:w="1692" w:type="pct"/>
            <w:shd w:val="clear" w:color="auto" w:fill="auto"/>
          </w:tcPr>
          <w:p w14:paraId="46B67566" w14:textId="3B8A4CB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275. Între o sensibilitate ponderată dată a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de risc general de rată a dobânzii și o sensibilitate ponderată dată a factorilor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de risc de inflație, corelația este de 40 %.</w:t>
            </w:r>
          </w:p>
        </w:tc>
        <w:tc>
          <w:tcPr>
            <w:tcW w:w="450" w:type="pct"/>
          </w:tcPr>
          <w:p w14:paraId="60C29641" w14:textId="7F1C4C29"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40B3167"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3C1104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2912673" w14:textId="420AE09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Între o sensibilitate ponderată dată a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de risc de bază intervalutară și o sensibilitate ponderată dată a factorilor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xml:space="preserve"> de risc general de rată </w:t>
            </w:r>
            <w:r w:rsidRPr="00C011B2">
              <w:rPr>
                <w:rFonts w:ascii="Times New Roman" w:hAnsi="Times New Roman" w:cs="Times New Roman"/>
                <w:color w:val="000000" w:themeColor="text1"/>
                <w:lang w:val="ro-MD"/>
              </w:rPr>
              <w:lastRenderedPageBreak/>
              <w:t>a dobânzii, inclusiv un alt factor de risc de bază intervalutară, corelația este de 0 %.</w:t>
            </w:r>
          </w:p>
        </w:tc>
        <w:tc>
          <w:tcPr>
            <w:tcW w:w="1692" w:type="pct"/>
            <w:shd w:val="clear" w:color="auto" w:fill="auto"/>
          </w:tcPr>
          <w:p w14:paraId="757CFC44" w14:textId="43AED1D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276.   Între o sensibilitate ponderată dată a factorilor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de risc de bază intervalutară și o sensibilitate ponderată dată a factorilor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xml:space="preserve"> de risc general de rată a </w:t>
            </w:r>
            <w:r w:rsidRPr="00C011B2">
              <w:rPr>
                <w:rFonts w:ascii="Times New Roman" w:hAnsi="Times New Roman" w:cs="Times New Roman"/>
                <w:color w:val="000000" w:themeColor="text1"/>
                <w:lang w:val="ro-MD"/>
              </w:rPr>
              <w:lastRenderedPageBreak/>
              <w:t>dobânzii, inclusiv un alt factor de risc de bază intervalutară, corelația este de 0 %.</w:t>
            </w:r>
          </w:p>
        </w:tc>
        <w:tc>
          <w:tcPr>
            <w:tcW w:w="450" w:type="pct"/>
          </w:tcPr>
          <w:p w14:paraId="56E6AB85" w14:textId="05A4723D"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A4F000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9E0B16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ACDF50B"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325ag</w:t>
            </w:r>
          </w:p>
          <w:p w14:paraId="1E4ED030" w14:textId="1F926A8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riscul general de rată a dobânzii</w:t>
            </w:r>
          </w:p>
        </w:tc>
        <w:tc>
          <w:tcPr>
            <w:tcW w:w="1692" w:type="pct"/>
            <w:shd w:val="clear" w:color="auto" w:fill="auto"/>
          </w:tcPr>
          <w:p w14:paraId="50959176" w14:textId="73F82DB4"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7" w:name="_Hlk195097742"/>
            <w:r w:rsidRPr="00C011B2">
              <w:rPr>
                <w:rFonts w:ascii="Times New Roman" w:hAnsi="Times New Roman" w:cs="Times New Roman"/>
                <w:i/>
                <w:iCs/>
                <w:color w:val="000000" w:themeColor="text1"/>
                <w:lang w:val="ro-MD"/>
              </w:rPr>
              <w:t xml:space="preserve">Paragraful 3. </w:t>
            </w:r>
            <w:r w:rsidRPr="00C011B2">
              <w:rPr>
                <w:rFonts w:ascii="Times New Roman" w:hAnsi="Times New Roman" w:cs="Times New Roman"/>
                <w:b/>
                <w:bCs/>
                <w:color w:val="000000" w:themeColor="text1"/>
                <w:lang w:val="ro-MD"/>
              </w:rPr>
              <w:t>Corelațiile între benzi pentru riscul general de rată a dobânzii</w:t>
            </w:r>
            <w:bookmarkEnd w:id="247"/>
          </w:p>
        </w:tc>
        <w:tc>
          <w:tcPr>
            <w:tcW w:w="450" w:type="pct"/>
          </w:tcPr>
          <w:p w14:paraId="14FA356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5DDFB2F1"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9A29B3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37827C" w14:textId="25669B3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Parametrul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 50 % este utilizat pentru agregarea factorilor de risc încadrați în benzi diferite.</w:t>
            </w:r>
          </w:p>
        </w:tc>
        <w:tc>
          <w:tcPr>
            <w:tcW w:w="1692" w:type="pct"/>
            <w:shd w:val="clear" w:color="auto" w:fill="auto"/>
          </w:tcPr>
          <w:p w14:paraId="6395B8D8" w14:textId="12FE4F73"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8" w:name="_Hlk223091853"/>
            <w:r w:rsidRPr="00C011B2">
              <w:rPr>
                <w:rFonts w:ascii="Times New Roman" w:hAnsi="Times New Roman" w:cs="Times New Roman"/>
                <w:color w:val="000000" w:themeColor="text1"/>
                <w:lang w:val="ro-MD"/>
              </w:rPr>
              <w:t>277.   Parametrul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 50 % este utilizat pentru agregarea factorilor de risc încadrați în benzi diferite.</w:t>
            </w:r>
            <w:bookmarkEnd w:id="248"/>
          </w:p>
        </w:tc>
        <w:tc>
          <w:tcPr>
            <w:tcW w:w="450" w:type="pct"/>
          </w:tcPr>
          <w:p w14:paraId="01E12298" w14:textId="46BAC47C"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4F8D8D1"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AAF35D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4394F6" w14:textId="5E56AE6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Parametrul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 80 % este utilizat pentru agregarea unui factor de risc de rată a dobânzii bazat pe o monedă menționată la articolul 325av alineatul (3) și un factor de risc de rată a dobânzii bazat pe euro.</w:t>
            </w:r>
          </w:p>
        </w:tc>
        <w:tc>
          <w:tcPr>
            <w:tcW w:w="1692" w:type="pct"/>
            <w:shd w:val="clear" w:color="auto" w:fill="auto"/>
          </w:tcPr>
          <w:p w14:paraId="62B68ACA" w14:textId="7CB4D9F1"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49" w:name="_Hlk223091871"/>
            <w:r w:rsidRPr="00C011B2">
              <w:rPr>
                <w:rFonts w:ascii="Times New Roman" w:hAnsi="Times New Roman" w:cs="Times New Roman"/>
                <w:color w:val="000000" w:themeColor="text1"/>
                <w:lang w:val="ro-MD"/>
              </w:rPr>
              <w:t>278.  Parametrul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 80 % este utilizat pentru agregarea unui factor de risc de rată a dobânzii bazat pe o monedă menționată la</w:t>
            </w:r>
            <w:r w:rsidR="00D24F65" w:rsidRPr="00C011B2">
              <w:rPr>
                <w:rFonts w:ascii="Times New Roman" w:hAnsi="Times New Roman" w:cs="Times New Roman"/>
                <w:color w:val="000000" w:themeColor="text1"/>
                <w:lang w:val="ro-MD"/>
              </w:rPr>
              <w:t xml:space="preserve"> pct.316</w:t>
            </w:r>
            <w:r w:rsidRPr="00C011B2">
              <w:rPr>
                <w:rFonts w:ascii="Times New Roman" w:hAnsi="Times New Roman" w:cs="Times New Roman"/>
                <w:color w:val="000000" w:themeColor="text1"/>
                <w:lang w:val="ro-MD"/>
              </w:rPr>
              <w:t xml:space="preserve"> și un factor de risc de rată a dobânzii bazat pe euro.</w:t>
            </w:r>
            <w:bookmarkEnd w:id="249"/>
          </w:p>
        </w:tc>
        <w:tc>
          <w:tcPr>
            <w:tcW w:w="450" w:type="pct"/>
          </w:tcPr>
          <w:p w14:paraId="0FF75707" w14:textId="0894CAB3"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ED273B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D87D8D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C3950E"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325ah</w:t>
            </w:r>
          </w:p>
          <w:p w14:paraId="403DDFD1" w14:textId="6029BAC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riscul de marjă de credit pentru instrumente care nu sunt poziții din securitizare</w:t>
            </w:r>
          </w:p>
        </w:tc>
        <w:tc>
          <w:tcPr>
            <w:tcW w:w="1692" w:type="pct"/>
            <w:shd w:val="clear" w:color="auto" w:fill="auto"/>
          </w:tcPr>
          <w:p w14:paraId="20C02A1F" w14:textId="18A0001A"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0" w:name="_Hlk195097773"/>
            <w:r w:rsidRPr="00C011B2">
              <w:rPr>
                <w:rFonts w:ascii="Times New Roman" w:hAnsi="Times New Roman" w:cs="Times New Roman"/>
                <w:i/>
                <w:iCs/>
                <w:color w:val="000000" w:themeColor="text1"/>
                <w:lang w:val="ro-MD"/>
              </w:rPr>
              <w:t xml:space="preserve">Paragraful 4. </w:t>
            </w:r>
            <w:r w:rsidRPr="00C011B2">
              <w:rPr>
                <w:rFonts w:ascii="Times New Roman" w:hAnsi="Times New Roman" w:cs="Times New Roman"/>
                <w:b/>
                <w:bCs/>
                <w:color w:val="000000" w:themeColor="text1"/>
                <w:lang w:val="ro-MD"/>
              </w:rPr>
              <w:t>Ponderile de risc pentru riscul de marjă de credit pentru instrumente care nu sunt poziții din securitizare</w:t>
            </w:r>
            <w:bookmarkEnd w:id="250"/>
          </w:p>
        </w:tc>
        <w:tc>
          <w:tcPr>
            <w:tcW w:w="450" w:type="pct"/>
          </w:tcPr>
          <w:p w14:paraId="071CAEE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726E538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99251A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1E862E" w14:textId="34B2BE7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Ponderile de risc pentru sensibilitățile la factori de risc de marjă de credit pentru instrumente care nu sunt poziții din securitizare sunt aceleași pentru toate scadențele (0,5 ani, 1 an, 3 ani, 5 ani, 10 ani) din fiecare bandă din tabelul 4:</w:t>
            </w:r>
          </w:p>
          <w:p w14:paraId="15EDAE83" w14:textId="4A542D49"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08" w:tooltip="32021R0424: REPLACED" w:history="1">
              <w:r w:rsidR="00106FB1" w:rsidRPr="00C011B2">
                <w:rPr>
                  <w:rStyle w:val="Hyperlink"/>
                  <w:rFonts w:ascii="Times New Roman" w:hAnsi="Times New Roman" w:cs="Times New Roman"/>
                  <w:b/>
                  <w:bCs/>
                  <w:lang w:val="ro-MD"/>
                </w:rPr>
                <w:t>▼M12</w:t>
              </w:r>
            </w:hyperlink>
          </w:p>
          <w:p w14:paraId="5A4C902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4</w:t>
            </w:r>
          </w:p>
          <w:tbl>
            <w:tblPr>
              <w:tblW w:w="473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2"/>
              <w:gridCol w:w="1027"/>
              <w:gridCol w:w="2452"/>
              <w:gridCol w:w="696"/>
            </w:tblGrid>
            <w:tr w:rsidR="00106FB1" w:rsidRPr="00C011B2" w14:paraId="3E10F562"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3540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 xml:space="preserve">Numărul </w:t>
                  </w:r>
                  <w:r w:rsidRPr="00C011B2">
                    <w:rPr>
                      <w:rFonts w:ascii="Times New Roman" w:hAnsi="Times New Roman" w:cs="Times New Roman"/>
                      <w:b/>
                      <w:bCs/>
                      <w:color w:val="000000" w:themeColor="text1"/>
                      <w:lang w:val="ro-MD"/>
                    </w:rPr>
                    <w:lastRenderedPageBreak/>
                    <w:t>benzii</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FC6ACA"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Calitatea creditului</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988B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EE3A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30C51C3A"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2776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BC39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1A9C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statelor membre, inclusiv băncile centrale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EDA44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w:t>
                  </w:r>
                </w:p>
              </w:tc>
            </w:tr>
            <w:tr w:rsidR="00106FB1" w:rsidRPr="00C011B2" w14:paraId="5B35252C"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8B96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02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4CB60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Nivelul 1-3 de calitate a creditului</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0D53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unei țări terțe, inclusiv băncile centrale, băncile de dezvoltare multilaterală și organizațiile internaționale menționate la articolul 117 alineatul (2) sau la articolul 118</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02CD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w:t>
                  </w:r>
                </w:p>
              </w:tc>
            </w:tr>
            <w:tr w:rsidR="00106FB1" w:rsidRPr="00C011B2" w14:paraId="5C089B0A"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DFE67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9A63F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AB0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5DB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r>
            <w:tr w:rsidR="00106FB1" w:rsidRPr="00C011B2" w14:paraId="5F8080FF"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0B4C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93666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CFE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din sectorul financiar, inclusiv instituții de credit înregistrate sau înființate de o administrație centrală, o administrație regională sau o autoritate locală și creditori promoționali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D6F3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38AA6DBA"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1A5A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9DE56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61DB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produse industriale, agricultură, industria prelucrătoare, industria extractivă</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F075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4BC35AC9"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40447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8FAFD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AD6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Bunuri și servicii pentru consumatori, transport și depozitare, servicii administrative și activități de sprijin</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999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3AA630E3"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EBF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8CA7A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81D3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558A4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2A942E01"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AE5AA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D922A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3DE1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B64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4E674284"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5AE9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F687C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2CE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instituții de credit stabilite în statele membre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675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r>
            <w:tr w:rsidR="00106FB1" w:rsidRPr="00C011B2" w14:paraId="5051EFDA" w14:textId="77777777" w:rsidTr="0015095F">
              <w:trPr>
                <w:jc w:val="center"/>
              </w:trPr>
              <w:tc>
                <w:tcPr>
                  <w:tcW w:w="56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6FA2F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CC800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Nivelul 1 de calitate a creditului</w:t>
                  </w:r>
                </w:p>
              </w:tc>
              <w:tc>
                <w:tcPr>
                  <w:tcW w:w="24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5773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instituții de credit din țări terțe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00F20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08CA0655" w14:textId="77777777" w:rsidTr="0015095F">
              <w:trPr>
                <w:jc w:val="center"/>
              </w:trPr>
              <w:tc>
                <w:tcPr>
                  <w:tcW w:w="56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6B5A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D3D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Nivelurile 2-3 de </w:t>
                  </w:r>
                  <w:r w:rsidRPr="00C011B2">
                    <w:rPr>
                      <w:rFonts w:ascii="Times New Roman" w:hAnsi="Times New Roman" w:cs="Times New Roman"/>
                      <w:color w:val="000000" w:themeColor="text1"/>
                      <w:lang w:val="ro-MD"/>
                    </w:rPr>
                    <w:lastRenderedPageBreak/>
                    <w:t>calitate a creditului</w:t>
                  </w:r>
                </w:p>
              </w:tc>
              <w:tc>
                <w:tcPr>
                  <w:tcW w:w="24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8C72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B138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611D53E7"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192F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02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4FEE6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Nivelul 4-6 de calitate a creditului și fără rating</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931F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unei țări terțe, inclusiv băncile centrale, băncile de dezvoltare multilaterală și organizațiile internaționale menționate la articolul 117 alineatul (2) sau la articolul 118</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7DCC8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w:t>
                  </w:r>
                </w:p>
              </w:tc>
            </w:tr>
            <w:tr w:rsidR="00106FB1" w:rsidRPr="00C011B2" w14:paraId="037646DA"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28A9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A57A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1938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86B26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46D72142"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88C63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297F4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04A953"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09"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Entități din sectorul financiar, inclusiv instituții de credit înregistrate sau înființate de o administrație centrală, o administrație regională sau o autoritate locală, creditori promoționali și obligațiuni garantate</w:t>
                  </w:r>
                  <w:r w:rsidR="00106FB1" w:rsidRPr="00C011B2">
                    <w:rPr>
                      <w:rFonts w:ascii="Times New Roman" w:hAnsi="Times New Roman" w:cs="Times New Roman"/>
                      <w:b/>
                      <w:bCs/>
                      <w:color w:val="000000" w:themeColor="text1"/>
                      <w:lang w:val="ro-MD"/>
                    </w:rPr>
                    <w:t> ◄</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0A99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7E5422AA"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3B0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3047B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3B9F4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Materiale de bază, energie, produse industriale, </w:t>
                  </w:r>
                  <w:r w:rsidRPr="00C011B2">
                    <w:rPr>
                      <w:rFonts w:ascii="Times New Roman" w:hAnsi="Times New Roman" w:cs="Times New Roman"/>
                      <w:color w:val="000000" w:themeColor="text1"/>
                      <w:lang w:val="ro-MD"/>
                    </w:rPr>
                    <w:lastRenderedPageBreak/>
                    <w:t>agricultură, industria prelucrătoare, industria extractivă</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A4D4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7,0 %</w:t>
                  </w:r>
                </w:p>
              </w:tc>
            </w:tr>
            <w:tr w:rsidR="00106FB1" w:rsidRPr="00C011B2" w14:paraId="29E2DC9E"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C2CD9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5601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82E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Bunuri și servicii pentru consumatori, transport și depozitare, servicii administrative și activități de sprijin</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EA1D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8,5 %</w:t>
                  </w:r>
                </w:p>
              </w:tc>
            </w:tr>
            <w:tr w:rsidR="00106FB1" w:rsidRPr="00C011B2" w14:paraId="28F4A8DE"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65F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F8DEF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8EDD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DF2E0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r>
            <w:tr w:rsidR="00106FB1" w:rsidRPr="00C011B2" w14:paraId="31FA0D8B"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FF119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525F2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19A6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63B9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2AFE8555"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E64B9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34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EF8F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6B21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61B326C8"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4DDF4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w:t>
                  </w:r>
                </w:p>
              </w:tc>
              <w:tc>
                <w:tcPr>
                  <w:tcW w:w="34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7A7E2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 de credit cotați cu majoritatea componentelor individuale din categoria </w:t>
                  </w:r>
                  <w:r w:rsidRPr="00C011B2">
                    <w:rPr>
                      <w:rFonts w:ascii="Times New Roman" w:hAnsi="Times New Roman" w:cs="Times New Roman"/>
                      <w:i/>
                      <w:iCs/>
                      <w:color w:val="000000" w:themeColor="text1"/>
                      <w:lang w:val="ro-MD"/>
                    </w:rPr>
                    <w:t>investment grade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4596B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74389162" w14:textId="77777777" w:rsidTr="001509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3AF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c>
                <w:tcPr>
                  <w:tcW w:w="34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CB90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 de credit cotați cu majoritatea componentelor individuale din categoria </w:t>
                  </w:r>
                  <w:r w:rsidRPr="00C011B2">
                    <w:rPr>
                      <w:rFonts w:ascii="Times New Roman" w:hAnsi="Times New Roman" w:cs="Times New Roman"/>
                      <w:i/>
                      <w:iCs/>
                      <w:color w:val="000000" w:themeColor="text1"/>
                      <w:lang w:val="ro-MD"/>
                    </w:rPr>
                    <w:t>non-investment grade</w:t>
                  </w:r>
                  <w:r w:rsidRPr="00C011B2">
                    <w:rPr>
                      <w:rFonts w:ascii="Times New Roman" w:hAnsi="Times New Roman" w:cs="Times New Roman"/>
                      <w:color w:val="000000" w:themeColor="text1"/>
                      <w:lang w:val="ro-MD"/>
                    </w:rPr>
                    <w:t> sau fără rating</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3FE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r>
          </w:tbl>
          <w:p w14:paraId="392E4607"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0" w:tooltip="32024R1623: INSERTED" w:history="1">
              <w:r w:rsidR="00106FB1" w:rsidRPr="00C011B2">
                <w:rPr>
                  <w:rStyle w:val="Hyperlink"/>
                  <w:rFonts w:ascii="Times New Roman" w:hAnsi="Times New Roman" w:cs="Times New Roman"/>
                  <w:b/>
                  <w:bCs/>
                  <w:lang w:val="ro-MD"/>
                </w:rPr>
                <w:t>▼M17</w:t>
              </w:r>
            </w:hyperlink>
          </w:p>
          <w:p w14:paraId="33542F3F" w14:textId="4256C55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sensul prezentului articol, unei expuneri i se atribuie categoria de calitate a creditului corespunzătoare </w:t>
            </w:r>
            <w:r w:rsidRPr="00C011B2">
              <w:rPr>
                <w:rFonts w:ascii="Times New Roman" w:hAnsi="Times New Roman" w:cs="Times New Roman"/>
                <w:color w:val="000000" w:themeColor="text1"/>
                <w:lang w:val="ro-MD"/>
              </w:rPr>
              <w:lastRenderedPageBreak/>
              <w:t>categoriei de calitate a creditului pe care ar urma să o primească în conformitate cu abordarea standardizată pentru riscul de credit prevăzută în titlul II capitolul 2.</w:t>
            </w:r>
          </w:p>
        </w:tc>
        <w:tc>
          <w:tcPr>
            <w:tcW w:w="1692" w:type="pct"/>
            <w:shd w:val="clear" w:color="auto" w:fill="auto"/>
          </w:tcPr>
          <w:p w14:paraId="0B1A6563" w14:textId="4D30ADAD"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1" w:name="_Hlk223091941"/>
            <w:r w:rsidRPr="00C011B2">
              <w:rPr>
                <w:rFonts w:ascii="Times New Roman" w:hAnsi="Times New Roman" w:cs="Times New Roman"/>
                <w:color w:val="000000" w:themeColor="text1"/>
                <w:lang w:val="ro-MD"/>
              </w:rPr>
              <w:lastRenderedPageBreak/>
              <w:t>279. Ponderile de risc pentru sensibilitățile la factori de risc de marjă de credit pentru instrumente care nu sunt poziții din securitizare sunt aceleași pentru toate scadențele (0,5 ani, 1 an, 3 ani, 5 ani, 10 ani) din fiecare bandă din tabelul 4:</w:t>
            </w:r>
          </w:p>
          <w:p w14:paraId="191AFA1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4</w:t>
            </w:r>
          </w:p>
          <w:tbl>
            <w:tblPr>
              <w:tblW w:w="473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2"/>
              <w:gridCol w:w="1027"/>
              <w:gridCol w:w="2452"/>
              <w:gridCol w:w="696"/>
            </w:tblGrid>
            <w:tr w:rsidR="00106FB1" w:rsidRPr="00C011B2" w14:paraId="4B9AC47A"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F948D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6BCC41"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Calitatea creditului</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8787E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625F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2AE21D79"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057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8B30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86EC2" w14:textId="58276DE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Republicii Moldova și Banca Națională a Moldovei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DB4E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w:t>
                  </w:r>
                </w:p>
              </w:tc>
            </w:tr>
            <w:tr w:rsidR="00106FB1" w:rsidRPr="00C011B2" w14:paraId="0A26CC04"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16D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02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6E08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Nivelul 1-3 de calitate a creditului</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B0217D" w14:textId="36B53C93" w:rsidR="00106FB1" w:rsidRPr="00C011B2" w:rsidRDefault="00106FB1" w:rsidP="00A70D2E">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w:t>
                  </w:r>
                  <w:r w:rsidR="000E001D" w:rsidRPr="00C011B2">
                    <w:rPr>
                      <w:rFonts w:ascii="Times New Roman" w:hAnsi="Times New Roman" w:cs="Times New Roman"/>
                      <w:color w:val="000000" w:themeColor="text1"/>
                      <w:lang w:val="ro-MD"/>
                    </w:rPr>
                    <w:t>unui alt stat</w:t>
                  </w:r>
                  <w:r w:rsidRPr="00C011B2">
                    <w:rPr>
                      <w:rFonts w:ascii="Times New Roman" w:hAnsi="Times New Roman" w:cs="Times New Roman"/>
                      <w:color w:val="000000" w:themeColor="text1"/>
                      <w:lang w:val="ro-MD"/>
                    </w:rPr>
                    <w:t>, inclusiv băncile centrale, băncile de dezvoltare multilaterală și organizațiile internaționale menționate la pct.46 sau 47 din Regulamentul nr.111/2018</w:t>
                  </w:r>
                  <w:r w:rsidRPr="00C011B2">
                    <w:rPr>
                      <w:lang w:val="it-IT"/>
                    </w:rPr>
                    <w:t xml:space="preserve"> </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183B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0,5 %</w:t>
                  </w:r>
                </w:p>
              </w:tc>
            </w:tr>
            <w:tr w:rsidR="00106FB1" w:rsidRPr="00C011B2" w14:paraId="3954B288"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6D625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624F8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13F5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38A6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r>
            <w:tr w:rsidR="00106FB1" w:rsidRPr="00C011B2" w14:paraId="13BB6344"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51E19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4799E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E7C9B2" w14:textId="61E1A21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din sectorul financiar, inclusiv bănci înregistrate sau înființate de o administrație centrală, o administrație regională sau o autoritate locală și creditori promoționali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19F5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758260C5"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DBEF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73C2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070AC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Materiale de bază, energie, produse industriale, </w:t>
                  </w:r>
                  <w:r w:rsidRPr="00C011B2">
                    <w:rPr>
                      <w:rFonts w:ascii="Times New Roman" w:hAnsi="Times New Roman" w:cs="Times New Roman"/>
                      <w:color w:val="000000" w:themeColor="text1"/>
                      <w:lang w:val="ro-MD"/>
                    </w:rPr>
                    <w:lastRenderedPageBreak/>
                    <w:t>agricultură, industria prelucrătoare, industria extractivă</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3619A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3,0 %</w:t>
                  </w:r>
                </w:p>
              </w:tc>
            </w:tr>
            <w:tr w:rsidR="00106FB1" w:rsidRPr="00C011B2" w14:paraId="56A03D46"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76E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EB390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8948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Bunuri și servicii pentru consumatori, transport și depozitare, servicii administrative și activități de sprijin</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66824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420DD280"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5B86D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519D5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0E9A6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736C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023A3835"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160A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F5AC9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A6F4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BCA60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5322BC64"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AFEA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59204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6E2DC" w14:textId="2813A8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bănci din Republica Moldova</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A9E0D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r>
            <w:tr w:rsidR="00106FB1" w:rsidRPr="00C011B2" w14:paraId="5DFFBB85" w14:textId="77777777" w:rsidTr="001E785F">
              <w:trPr>
                <w:jc w:val="center"/>
              </w:trPr>
              <w:tc>
                <w:tcPr>
                  <w:tcW w:w="56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A23B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270C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Nivelul 1 de calitate a creditului</w:t>
                  </w:r>
                </w:p>
              </w:tc>
              <w:tc>
                <w:tcPr>
                  <w:tcW w:w="24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0E6A2D" w14:textId="1169565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Obligațiuni garantate emise de bănci din </w:t>
                  </w:r>
                  <w:r w:rsidR="000E001D" w:rsidRPr="00C011B2">
                    <w:rPr>
                      <w:rFonts w:ascii="Times New Roman" w:hAnsi="Times New Roman" w:cs="Times New Roman"/>
                      <w:color w:val="000000" w:themeColor="text1"/>
                      <w:lang w:val="ro-MD"/>
                    </w:rPr>
                    <w:t>alte state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C03E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56C9605F" w14:textId="77777777" w:rsidTr="001E785F">
              <w:trPr>
                <w:jc w:val="center"/>
              </w:trPr>
              <w:tc>
                <w:tcPr>
                  <w:tcW w:w="56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9B31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02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912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Nivelurile 2-3 de calitate a creditului</w:t>
                  </w:r>
                </w:p>
              </w:tc>
              <w:tc>
                <w:tcPr>
                  <w:tcW w:w="24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6B8D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14248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0B326499"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8311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11</w:t>
                  </w:r>
                </w:p>
              </w:tc>
              <w:tc>
                <w:tcPr>
                  <w:tcW w:w="102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509C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Nivelul 4-6 de calitate a creditului și fără rating</w:t>
                  </w: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A03969" w14:textId="62C9DFF3" w:rsidR="00106FB1" w:rsidRPr="00C011B2" w:rsidRDefault="00106FB1" w:rsidP="00A70D2E">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w:t>
                  </w:r>
                  <w:r w:rsidR="000E001D" w:rsidRPr="00C011B2">
                    <w:rPr>
                      <w:rFonts w:ascii="Times New Roman" w:hAnsi="Times New Roman" w:cs="Times New Roman"/>
                      <w:color w:val="000000" w:themeColor="text1"/>
                      <w:lang w:val="ro-MD"/>
                    </w:rPr>
                    <w:t>unui alt stat</w:t>
                  </w:r>
                  <w:r w:rsidRPr="00C011B2">
                    <w:rPr>
                      <w:rFonts w:ascii="Times New Roman" w:hAnsi="Times New Roman" w:cs="Times New Roman"/>
                      <w:color w:val="000000" w:themeColor="text1"/>
                      <w:lang w:val="ro-MD"/>
                    </w:rPr>
                    <w:t>, inclusiv băncile centrale, băncile de dezvoltare multilaterală și organizațiile internaționale menționate la articolul 46 sau 47 din Regulamentul nr.111/2018</w:t>
                  </w:r>
                  <w:r w:rsidRPr="00C011B2">
                    <w:rPr>
                      <w:rFonts w:ascii="Times New Roman" w:hAnsi="Times New Roman" w:cs="Times New Roman"/>
                      <w:color w:val="000000" w:themeColor="text1"/>
                      <w:lang w:val="it-IT"/>
                    </w:rPr>
                    <w:t xml:space="preserve"> </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755C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w:t>
                  </w:r>
                </w:p>
              </w:tc>
            </w:tr>
            <w:tr w:rsidR="00106FB1" w:rsidRPr="00C011B2" w14:paraId="69CE313F"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A08F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47AF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D0F9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BB12D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4A70B8A4"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441CD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1283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49A07A" w14:textId="6649E2E8"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11" w:tooltip="32024R1623: REPLACED" w:history="1">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Entități din sectorul financiar, inclusiv bănci înregistrate sau înființate de o administrație centrală, o administrație regională sau o autoritate locală, creditori promoționali și obligațiuni garantate</w:t>
                  </w:r>
                  <w:r w:rsidR="00106FB1" w:rsidRPr="00C011B2">
                    <w:rPr>
                      <w:rFonts w:ascii="Times New Roman" w:hAnsi="Times New Roman" w:cs="Times New Roman"/>
                      <w:b/>
                      <w:bCs/>
                      <w:color w:val="000000" w:themeColor="text1"/>
                      <w:lang w:val="ro-MD"/>
                    </w:rPr>
                    <w:t> </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E500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12F86211"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849E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863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48DE5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produse industriale, agricultură, industria prelucrătoare, industria extractivă</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5FA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7,0 %</w:t>
                  </w:r>
                </w:p>
              </w:tc>
            </w:tr>
            <w:tr w:rsidR="00106FB1" w:rsidRPr="00C011B2" w14:paraId="68B16E99"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6E55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15</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2919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B742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Bunuri și servicii pentru consumatori, transport și depozitare, servicii administrative și activități de sprijin</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8FD37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8,5 %</w:t>
                  </w:r>
                </w:p>
              </w:tc>
            </w:tr>
            <w:tr w:rsidR="00106FB1" w:rsidRPr="00C011B2" w14:paraId="1FE5C747"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CDE0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0E11A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C7F1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C76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r>
            <w:tr w:rsidR="00106FB1" w:rsidRPr="00C011B2" w14:paraId="47FFE981"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AA29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w:t>
                  </w:r>
                </w:p>
              </w:tc>
              <w:tc>
                <w:tcPr>
                  <w:tcW w:w="102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DB823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24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F8D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888F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0B25A104"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DE68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34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0F19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17BC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7DE5A2DE"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EBA4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w:t>
                  </w:r>
                </w:p>
              </w:tc>
              <w:tc>
                <w:tcPr>
                  <w:tcW w:w="34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5CBC2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 de credit cotați cu majoritatea componentelor individuale din categoria </w:t>
                  </w:r>
                  <w:r w:rsidRPr="00C011B2">
                    <w:rPr>
                      <w:rFonts w:ascii="Times New Roman" w:hAnsi="Times New Roman" w:cs="Times New Roman"/>
                      <w:i/>
                      <w:iCs/>
                      <w:color w:val="000000" w:themeColor="text1"/>
                      <w:lang w:val="ro-MD"/>
                    </w:rPr>
                    <w:t>investment grade</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AB5B9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120AB6A8" w14:textId="77777777" w:rsidTr="001E785F">
              <w:trPr>
                <w:jc w:val="center"/>
              </w:trPr>
              <w:tc>
                <w:tcPr>
                  <w:tcW w:w="56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617E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c>
                <w:tcPr>
                  <w:tcW w:w="34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F0F0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 de credit cotați cu majoritatea componentelor individuale din categoria </w:t>
                  </w:r>
                  <w:r w:rsidRPr="00C011B2">
                    <w:rPr>
                      <w:rFonts w:ascii="Times New Roman" w:hAnsi="Times New Roman" w:cs="Times New Roman"/>
                      <w:i/>
                      <w:iCs/>
                      <w:color w:val="000000" w:themeColor="text1"/>
                      <w:lang w:val="ro-MD"/>
                    </w:rPr>
                    <w:t>non-investment grade</w:t>
                  </w:r>
                  <w:r w:rsidRPr="00C011B2">
                    <w:rPr>
                      <w:rFonts w:ascii="Times New Roman" w:hAnsi="Times New Roman" w:cs="Times New Roman"/>
                      <w:color w:val="000000" w:themeColor="text1"/>
                      <w:lang w:val="ro-MD"/>
                    </w:rPr>
                    <w:t> sau fără rating</w:t>
                  </w:r>
                </w:p>
              </w:tc>
              <w:tc>
                <w:tcPr>
                  <w:tcW w:w="69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21000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r>
          </w:tbl>
          <w:p w14:paraId="3FA5642B" w14:textId="361C747B" w:rsidR="00106FB1" w:rsidRPr="00C011B2" w:rsidRDefault="00106FB1" w:rsidP="00A70D2E">
            <w:pPr>
              <w:spacing w:after="0" w:line="276" w:lineRule="auto"/>
              <w:jc w:val="both"/>
              <w:rPr>
                <w:rFonts w:ascii="Times New Roman" w:hAnsi="Times New Roman" w:cs="Times New Roman"/>
                <w:color w:val="000000" w:themeColor="text1"/>
                <w:lang w:val="ro-MD"/>
              </w:rPr>
            </w:pPr>
            <w:bookmarkStart w:id="252" w:name="_Hlk223092139"/>
            <w:bookmarkEnd w:id="251"/>
            <w:r w:rsidRPr="00C011B2">
              <w:rPr>
                <w:rFonts w:ascii="Times New Roman" w:hAnsi="Times New Roman" w:cs="Times New Roman"/>
                <w:color w:val="000000" w:themeColor="text1"/>
                <w:lang w:val="ro-MD"/>
              </w:rPr>
              <w:t>280. În sensul prezentului paragraf, unei expuneri i se atribuie categoria de calitate a creditului corespunzătoare categoriei de calitate a creditului pe care ar urma să o primească în conformitate cu abordarea standardizată pentru riscul de credit prevăzută în Regulamentul nr.111/2018 .</w:t>
            </w:r>
            <w:bookmarkEnd w:id="252"/>
          </w:p>
        </w:tc>
        <w:tc>
          <w:tcPr>
            <w:tcW w:w="450" w:type="pct"/>
          </w:tcPr>
          <w:p w14:paraId="4700AF1F" w14:textId="00798ADA" w:rsidR="00106FB1" w:rsidRPr="00C011B2" w:rsidRDefault="000E001D"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Parțial </w:t>
            </w:r>
            <w:r w:rsidR="009C2D83" w:rsidRPr="00C011B2">
              <w:rPr>
                <w:rFonts w:ascii="Times New Roman" w:hAnsi="Times New Roman" w:cs="Times New Roman"/>
                <w:color w:val="000000" w:themeColor="text1"/>
                <w:lang w:val="ro-MD"/>
              </w:rPr>
              <w:t>compatibil</w:t>
            </w:r>
          </w:p>
        </w:tc>
        <w:tc>
          <w:tcPr>
            <w:tcW w:w="1261" w:type="pct"/>
          </w:tcPr>
          <w:p w14:paraId="004B0884" w14:textId="4A435908" w:rsidR="00106FB1" w:rsidRPr="00C011B2" w:rsidRDefault="000E001D"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Sintagma „țări terțe” a fost modificată în „alte state”, deoarece Republica Moldova încă nu este parte a UE, iar „țările terțe” în sensul legislației UE sunt țările din afara UE.</w:t>
            </w:r>
          </w:p>
        </w:tc>
      </w:tr>
      <w:tr w:rsidR="00106FB1" w:rsidRPr="00C011B2" w14:paraId="5150C57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D5F2AAD"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2" w:tooltip="32019R0876: INSERTED" w:history="1">
              <w:r w:rsidR="00106FB1" w:rsidRPr="00C011B2">
                <w:rPr>
                  <w:rStyle w:val="Hyperlink"/>
                  <w:rFonts w:ascii="Times New Roman" w:hAnsi="Times New Roman" w:cs="Times New Roman"/>
                  <w:b/>
                  <w:bCs/>
                  <w:lang w:val="ro-MD"/>
                </w:rPr>
                <w:t>▼M8</w:t>
              </w:r>
            </w:hyperlink>
          </w:p>
          <w:p w14:paraId="29C7ECFB" w14:textId="35CD4D8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Atunci când atribuie o expunere la risc unui sector, instituțiile se bazează pe o clasificare care este utilizată în mod curent pe piață pentru gruparea emitenților în funcție de sector. Instituțiile încadrează fiecare emitent într-o singură bandă sectorială din tabelul 4. Expunerile la risc provenind de la orice emitent pe care o instituție nu le poate atribui unui anumit sector în acest mod sunt încadrate în banda 18 din tabelul 4.</w:t>
            </w:r>
          </w:p>
        </w:tc>
        <w:tc>
          <w:tcPr>
            <w:tcW w:w="1692" w:type="pct"/>
            <w:shd w:val="clear" w:color="auto" w:fill="auto"/>
          </w:tcPr>
          <w:p w14:paraId="75DB1965" w14:textId="410F7415"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3" w:name="_Hlk223092173"/>
            <w:r w:rsidRPr="00C011B2">
              <w:rPr>
                <w:rFonts w:ascii="Times New Roman" w:hAnsi="Times New Roman" w:cs="Times New Roman"/>
                <w:color w:val="000000" w:themeColor="text1"/>
                <w:lang w:val="ro-MD"/>
              </w:rPr>
              <w:t>281.   Atunci când atribuie o expunere la risc unui sector, băncile se bazează pe o clasificare care este utilizată în mod curent pe piață pentru gruparea emitenților în funcție de sector. Băncile încadrează fiecare emitent într-o singură bandă sectorială din tabelul 4. Expunerile la risc provenind de la orice emitent pe care o bancă nu le poate atribui unui anumit sector în acest mod sunt încadrate în banda 18 din tabelul 4.</w:t>
            </w:r>
            <w:bookmarkEnd w:id="253"/>
          </w:p>
        </w:tc>
        <w:tc>
          <w:tcPr>
            <w:tcW w:w="450" w:type="pct"/>
          </w:tcPr>
          <w:p w14:paraId="716A2B14" w14:textId="421632EC"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10393F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04FAED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2A1338"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3" w:tooltip="32024R1623: INSERTED" w:history="1">
              <w:r w:rsidR="00106FB1" w:rsidRPr="00C011B2">
                <w:rPr>
                  <w:rStyle w:val="Hyperlink"/>
                  <w:rFonts w:ascii="Times New Roman" w:hAnsi="Times New Roman" w:cs="Times New Roman"/>
                  <w:b/>
                  <w:bCs/>
                  <w:lang w:val="ro-MD"/>
                </w:rPr>
                <w:t>▼M17</w:t>
              </w:r>
            </w:hyperlink>
          </w:p>
          <w:p w14:paraId="1661F992" w14:textId="0D3120CC"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Prin derogare de la alineatul (2), instituțiile pot încadra în banda 4 o expunere la risc aferentă unei obligațiuni garantate care nu beneficiază de rating în cazul în care instituția care a emis obligațiunea garantată are nivelul 1-3 de calitate a creditului.</w:t>
            </w:r>
          </w:p>
        </w:tc>
        <w:tc>
          <w:tcPr>
            <w:tcW w:w="1692" w:type="pct"/>
            <w:shd w:val="clear" w:color="auto" w:fill="auto"/>
          </w:tcPr>
          <w:p w14:paraId="47B016B4" w14:textId="47426A85"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4" w:name="_Hlk223092194"/>
            <w:r w:rsidRPr="00C011B2">
              <w:rPr>
                <w:rFonts w:ascii="Times New Roman" w:hAnsi="Times New Roman" w:cs="Times New Roman"/>
                <w:color w:val="000000" w:themeColor="text1"/>
                <w:lang w:val="ro-MD"/>
              </w:rPr>
              <w:t>282.   Prin derogare de la pct.281, băncile pot încadra în banda 4 o expunere la risc aferentă unei obligațiuni garantate care nu beneficiază de rating în cazul în care banca care a emis obligațiunea garantată are nivelul 1-3 de calitate a creditului.</w:t>
            </w:r>
            <w:bookmarkEnd w:id="254"/>
          </w:p>
        </w:tc>
        <w:tc>
          <w:tcPr>
            <w:tcW w:w="450" w:type="pct"/>
          </w:tcPr>
          <w:p w14:paraId="4963C7DD" w14:textId="2390B333"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3F7464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C83D4D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FF6C5D0" w14:textId="77777777" w:rsidR="00106FB1" w:rsidRPr="00C011B2" w:rsidRDefault="00106FB1" w:rsidP="00106FB1">
            <w:pPr>
              <w:spacing w:after="0" w:line="276" w:lineRule="auto"/>
              <w:jc w:val="both"/>
              <w:rPr>
                <w:rFonts w:ascii="Times New Roman" w:hAnsi="Times New Roman" w:cs="Times New Roman"/>
                <w:b/>
                <w:bCs/>
                <w:i/>
                <w:iCs/>
                <w:color w:val="000000" w:themeColor="text1"/>
                <w:lang w:val="ro-MD"/>
              </w:rPr>
            </w:pPr>
            <w:r w:rsidRPr="00C011B2">
              <w:rPr>
                <w:rFonts w:ascii="Times New Roman" w:hAnsi="Times New Roman" w:cs="Times New Roman"/>
                <w:b/>
                <w:bCs/>
                <w:i/>
                <w:iCs/>
                <w:color w:val="000000" w:themeColor="text1"/>
                <w:lang w:val="ro-MD"/>
              </w:rPr>
              <w:t>Articolul 325ai</w:t>
            </w:r>
          </w:p>
          <w:p w14:paraId="03F807DD" w14:textId="3775B614"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Corelațiile din cadrul unei benzi pentru riscul de marjă de credit pentru instrumente care nu sunt poziții din securitizare</w:t>
            </w:r>
          </w:p>
        </w:tc>
        <w:tc>
          <w:tcPr>
            <w:tcW w:w="1692" w:type="pct"/>
            <w:shd w:val="clear" w:color="auto" w:fill="auto"/>
          </w:tcPr>
          <w:p w14:paraId="5D52575D" w14:textId="6626A5C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5" w:name="_Hlk195097816"/>
            <w:r w:rsidRPr="00C011B2">
              <w:rPr>
                <w:rFonts w:ascii="Times New Roman" w:hAnsi="Times New Roman" w:cs="Times New Roman"/>
                <w:i/>
                <w:iCs/>
                <w:color w:val="000000" w:themeColor="text1"/>
                <w:lang w:val="ro-MD"/>
              </w:rPr>
              <w:t xml:space="preserve">Paragraful 5. </w:t>
            </w:r>
            <w:r w:rsidRPr="00C011B2">
              <w:rPr>
                <w:rFonts w:ascii="Times New Roman" w:hAnsi="Times New Roman" w:cs="Times New Roman"/>
                <w:b/>
                <w:bCs/>
                <w:color w:val="000000" w:themeColor="text1"/>
                <w:lang w:val="ro-MD"/>
              </w:rPr>
              <w:t>Corelațiile din cadrul unei benzi pentru riscul de marjă de credit pentru instrumente care nu sunt poziții din securitizare</w:t>
            </w:r>
            <w:bookmarkEnd w:id="255"/>
          </w:p>
        </w:tc>
        <w:tc>
          <w:tcPr>
            <w:tcW w:w="450" w:type="pct"/>
          </w:tcPr>
          <w:p w14:paraId="3AEE7FD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6AAA90D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CF64F4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3599F0" w14:textId="4B9C3D7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cadrul aceleiași benzi, se stabilește după cum urmează:</w:t>
            </w:r>
          </w:p>
          <w:p w14:paraId="1A5F77B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(nume)</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p>
          <w:p w14:paraId="5B804D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64317191"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4" w:tooltip="32024R1623: REPLACED" w:history="1">
              <w:r w:rsidR="00106FB1" w:rsidRPr="00C011B2">
                <w:rPr>
                  <w:rStyle w:val="Hyperlink"/>
                  <w:rFonts w:ascii="Times New Roman" w:hAnsi="Times New Roman" w:cs="Times New Roman"/>
                  <w:b/>
                  <w:bCs/>
                  <w:lang w:val="ro-MD"/>
                </w:rPr>
                <w:t>▼M17</w:t>
              </w:r>
            </w:hyperlink>
          </w:p>
          <w:p w14:paraId="57DEA19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(nume)</w:t>
            </w:r>
            <w:r w:rsidRPr="00C011B2">
              <w:rPr>
                <w:rFonts w:ascii="Times New Roman" w:hAnsi="Times New Roman" w:cs="Times New Roman"/>
                <w:color w:val="000000" w:themeColor="text1"/>
                <w:lang w:val="ro-MD"/>
              </w:rPr>
              <w:t> este egal cu 1 atunci când cele două nume ale sensibilităților k și l sunt identice; este egal cu 35 % atunci când cele două nume ale sensibilităților k și l se află în benzile 1-18 din tabelul 4 de la articolul 325ah alineatul (1); în caz contrar este egal cu 80 %;</w:t>
            </w:r>
          </w:p>
          <w:p w14:paraId="12E9F680"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5" w:tooltip="32019R0876: INSERTED" w:history="1">
              <w:r w:rsidR="00106FB1" w:rsidRPr="00C011B2">
                <w:rPr>
                  <w:rStyle w:val="Hyperlink"/>
                  <w:rFonts w:ascii="Times New Roman" w:hAnsi="Times New Roman" w:cs="Times New Roman"/>
                  <w:b/>
                  <w:bCs/>
                  <w:lang w:val="ro-MD"/>
                </w:rPr>
                <w:t>▼M8</w:t>
              </w:r>
            </w:hyperlink>
          </w:p>
          <w:p w14:paraId="34A23B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este egal cu 1 atunci când cele două puncte ale sensibilităților „k” și „l” sunt identice, iar în caz contrar cu 65 %;</w:t>
            </w:r>
          </w:p>
          <w:p w14:paraId="1FC8E17E" w14:textId="43EE2DF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 cu 1 atunci când cele două sensibilități corespund acelorași curbe, iar în caz contrar cu 99,90 %.</w:t>
            </w:r>
          </w:p>
        </w:tc>
        <w:tc>
          <w:tcPr>
            <w:tcW w:w="1692" w:type="pct"/>
            <w:shd w:val="clear" w:color="auto" w:fill="auto"/>
          </w:tcPr>
          <w:p w14:paraId="1058A22C" w14:textId="73B303C8"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6" w:name="_Hlk223092295"/>
            <w:r w:rsidRPr="00C011B2">
              <w:rPr>
                <w:rFonts w:ascii="Times New Roman" w:hAnsi="Times New Roman" w:cs="Times New Roman"/>
                <w:color w:val="000000" w:themeColor="text1"/>
                <w:lang w:val="ro-MD"/>
              </w:rPr>
              <w:lastRenderedPageBreak/>
              <w:t>283.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cadrul aceleiași benzi, se stabilește după cum urmează:</w:t>
            </w:r>
          </w:p>
          <w:p w14:paraId="3352308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(nume)</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p>
          <w:p w14:paraId="731D5E6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546C84FD" w14:textId="1644B4C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(nume)</w:t>
            </w:r>
            <w:r w:rsidRPr="00C011B2">
              <w:rPr>
                <w:rFonts w:ascii="Times New Roman" w:hAnsi="Times New Roman" w:cs="Times New Roman"/>
                <w:color w:val="000000" w:themeColor="text1"/>
                <w:lang w:val="ro-MD"/>
              </w:rPr>
              <w:t> este egal cu 1 atunci când cele două nume ale sensibilităților k și l sunt identice; este egal cu 35 % atunci când cele două nume ale sensibilităților k și l se află în benzile 1-18 din tabelul 4 de la pct.279; în caz contrar este egal cu 80 %;</w:t>
            </w:r>
          </w:p>
          <w:p w14:paraId="6984634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este egal cu 1 atunci când cele două puncte ale sensibilităților „k” și „l” sunt identice, iar în caz contrar cu 65 %;</w:t>
            </w:r>
          </w:p>
          <w:p w14:paraId="787F4F8C" w14:textId="16E1F7D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 cu 1 atunci când cele două sensibilități corespund acelorași curbe, iar în caz contrar cu 99,90 %.</w:t>
            </w:r>
            <w:bookmarkEnd w:id="256"/>
          </w:p>
        </w:tc>
        <w:tc>
          <w:tcPr>
            <w:tcW w:w="450" w:type="pct"/>
          </w:tcPr>
          <w:p w14:paraId="471BB794" w14:textId="28568721"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D5E7D37"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C06A1E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A50595" w14:textId="4B67EB9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Parametrii de corelație menționați la alineatul (1) din prezentul articol nu se aplică benzii 18 din tabelul 4 de la articolul 325ah alineatul (1). Cerința de capital pentru formula de agregare a riscului delta din cadrul benzii 18 este egală cu suma valorilor absolute ale sensibilităților nete ponderate atribuite benzii respective:</w:t>
            </w:r>
          </w:p>
          <w:p w14:paraId="0828FE78" w14:textId="6CC5A83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D07BC58" wp14:editId="0EF6CC7C">
                  <wp:extent cx="2317750" cy="584200"/>
                  <wp:effectExtent l="0" t="0" r="6350" b="6350"/>
                  <wp:docPr id="60" name="Picture 6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tc>
        <w:tc>
          <w:tcPr>
            <w:tcW w:w="1692" w:type="pct"/>
            <w:shd w:val="clear" w:color="auto" w:fill="auto"/>
          </w:tcPr>
          <w:p w14:paraId="75ED7A12" w14:textId="7FA6542B"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7" w:name="_Hlk223092333"/>
            <w:r w:rsidRPr="00C011B2">
              <w:rPr>
                <w:rFonts w:ascii="Times New Roman" w:hAnsi="Times New Roman" w:cs="Times New Roman"/>
                <w:color w:val="000000" w:themeColor="text1"/>
                <w:lang w:val="ro-MD"/>
              </w:rPr>
              <w:t>284.   Parametrii de corelație menționați la pct.283 nu se aplică benzii 18 din tabelul 4 de la pct.279. Cerința de capital pentru formula de agregare a riscului delta din cadrul benzii 18 este egală cu suma valorilor absolute ale sensibilităților nete ponderate atribuite benzii respective:</w:t>
            </w:r>
            <w:bookmarkEnd w:id="257"/>
          </w:p>
          <w:p w14:paraId="27B6EE07" w14:textId="3271009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431A5CF" wp14:editId="6FB2CC11">
                  <wp:extent cx="2317750" cy="584200"/>
                  <wp:effectExtent l="0" t="0" r="6350" b="6350"/>
                  <wp:docPr id="161" name="Picture 1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tc>
        <w:tc>
          <w:tcPr>
            <w:tcW w:w="450" w:type="pct"/>
          </w:tcPr>
          <w:p w14:paraId="2FD6515E" w14:textId="586696F5"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BFC604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4C1321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AA40D2"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325aj</w:t>
            </w:r>
          </w:p>
          <w:p w14:paraId="3607B3C0" w14:textId="12AA85C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riscul de marjă de credit pentru instrumente care nu sunt poziții din securitizare</w:t>
            </w:r>
          </w:p>
        </w:tc>
        <w:tc>
          <w:tcPr>
            <w:tcW w:w="1692" w:type="pct"/>
            <w:shd w:val="clear" w:color="auto" w:fill="auto"/>
          </w:tcPr>
          <w:p w14:paraId="608799D9" w14:textId="05EC0DFC"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8" w:name="_Hlk195097848"/>
            <w:r w:rsidRPr="00C011B2">
              <w:rPr>
                <w:rFonts w:ascii="Times New Roman" w:hAnsi="Times New Roman" w:cs="Times New Roman"/>
                <w:i/>
                <w:iCs/>
                <w:color w:val="000000" w:themeColor="text1"/>
                <w:lang w:val="ro-MD"/>
              </w:rPr>
              <w:t>Paragraful 6.</w:t>
            </w:r>
            <w:r w:rsidRPr="00C011B2">
              <w:rPr>
                <w:rFonts w:ascii="Times New Roman" w:hAnsi="Times New Roman" w:cs="Times New Roman"/>
                <w:b/>
                <w:bCs/>
                <w:color w:val="000000" w:themeColor="text1"/>
                <w:lang w:val="ro-MD"/>
              </w:rPr>
              <w:t>Corelațiile între benzi pentru riscul de marjă de credit pentru instrumente care nu sunt poziții din securitizare</w:t>
            </w:r>
            <w:bookmarkEnd w:id="258"/>
          </w:p>
        </w:tc>
        <w:tc>
          <w:tcPr>
            <w:tcW w:w="450" w:type="pct"/>
          </w:tcPr>
          <w:p w14:paraId="4D261683"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493A830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920B27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F0D5A0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Parametrul de corelație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care se aplică la agregarea sensibilităților între benzi diferite se stabilește după cum urmează:</w:t>
            </w:r>
          </w:p>
          <w:p w14:paraId="0E43856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(rating)</w:t>
            </w:r>
            <w:r w:rsidRPr="00C011B2">
              <w:rPr>
                <w:rFonts w:ascii="Times New Roman" w:hAnsi="Times New Roman" w:cs="Times New Roman"/>
                <w:color w:val="000000" w:themeColor="text1"/>
                <w:lang w:val="ro-MD"/>
              </w:rPr>
              <w:t> ·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(sector)</w:t>
            </w:r>
          </w:p>
          <w:p w14:paraId="4F6279F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0FEEE57C"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7" w:tooltip="32024R1623: REPLACED" w:history="1">
              <w:r w:rsidR="00106FB1" w:rsidRPr="00C011B2">
                <w:rPr>
                  <w:rStyle w:val="Hyperlink"/>
                  <w:rFonts w:ascii="Times New Roman" w:hAnsi="Times New Roman" w:cs="Times New Roman"/>
                  <w:b/>
                  <w:bCs/>
                  <w:lang w:val="ro-MD"/>
                </w:rPr>
                <w:t>▼M17</w:t>
              </w:r>
            </w:hyperlink>
          </w:p>
          <w:p w14:paraId="5AE6823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(rating)</w:t>
            </w:r>
            <w:r w:rsidRPr="00C011B2">
              <w:rPr>
                <w:rFonts w:ascii="Times New Roman" w:hAnsi="Times New Roman" w:cs="Times New Roman"/>
                <w:color w:val="000000" w:themeColor="text1"/>
                <w:lang w:val="ro-MD"/>
              </w:rPr>
              <w:t> este egal cu:</w:t>
            </w:r>
          </w:p>
          <w:p w14:paraId="1D63E067" w14:textId="7E59677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1 atunci când benzile b și c sunt benzile 1-17 și ambele benzi intră în aceeași categorie de calitate a creditului (fie „nivelul 1-3 de calitate a creditului”, fie „nivelul 4-6 de calitate a creditului”); în caz contrar este egal cu 50 %; în scopul acestui calcul, se consideră că banda 1 intră în aceeași categorie de calitate a creditului ca și benzile care au nivelul 1-3 de calitate a creditului;</w:t>
            </w:r>
          </w:p>
          <w:p w14:paraId="160405E7" w14:textId="46E29FD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1 atunci când banda b sau c este banda 18;</w:t>
            </w:r>
          </w:p>
          <w:p w14:paraId="7F16D83F" w14:textId="7F1BA92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1 atunci când banda b sau c este banda 19, iar cealaltă bandă are nivelul 1-3 de calitate a creditului; în caz contrar este egal cu 50 %;</w:t>
            </w:r>
          </w:p>
          <w:p w14:paraId="13346240" w14:textId="6334AB5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 1 atunci când banda b sau c este banda 20, iar cealaltă bandă are nivelul 4-6 de calitate a creditului; în caz contrar este egal cu 50 %;</w:t>
            </w:r>
          </w:p>
          <w:p w14:paraId="5BA9E240"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18" w:tooltip="32019R0876: INSERTED" w:history="1">
              <w:r w:rsidR="00106FB1" w:rsidRPr="00C011B2">
                <w:rPr>
                  <w:rStyle w:val="Hyperlink"/>
                  <w:rFonts w:ascii="Times New Roman" w:hAnsi="Times New Roman" w:cs="Times New Roman"/>
                  <w:b/>
                  <w:bCs/>
                  <w:lang w:val="ro-MD"/>
                </w:rPr>
                <w:t>▼M8</w:t>
              </w:r>
            </w:hyperlink>
          </w:p>
          <w:p w14:paraId="1F59A98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(sector)</w:t>
            </w:r>
            <w:r w:rsidRPr="00C011B2">
              <w:rPr>
                <w:rFonts w:ascii="Times New Roman" w:hAnsi="Times New Roman" w:cs="Times New Roman"/>
                <w:color w:val="000000" w:themeColor="text1"/>
                <w:lang w:val="ro-MD"/>
              </w:rPr>
              <w:t> este egal cu 1 atunci când cele două benzi care fac parte din același sector, iar în caz contrar cu procentul corespunzător prevăzut în tabelul 5:</w:t>
            </w:r>
          </w:p>
          <w:p w14:paraId="2BA7AC8B" w14:textId="769DD363"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19" w:tooltip="32021R0424: REPLACED" w:history="1">
              <w:r w:rsidR="00106FB1" w:rsidRPr="00C011B2">
                <w:rPr>
                  <w:rStyle w:val="Hyperlink"/>
                  <w:rFonts w:ascii="Times New Roman" w:hAnsi="Times New Roman" w:cs="Times New Roman"/>
                  <w:b/>
                  <w:bCs/>
                  <w:lang w:val="ro-MD"/>
                </w:rPr>
                <w:t>▼M12</w:t>
              </w:r>
            </w:hyperlink>
          </w:p>
          <w:p w14:paraId="5A931D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p w14:paraId="58DAAD4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5</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85"/>
              <w:gridCol w:w="294"/>
              <w:gridCol w:w="299"/>
              <w:gridCol w:w="299"/>
              <w:gridCol w:w="299"/>
              <w:gridCol w:w="299"/>
              <w:gridCol w:w="299"/>
              <w:gridCol w:w="299"/>
              <w:gridCol w:w="299"/>
              <w:gridCol w:w="230"/>
              <w:gridCol w:w="299"/>
              <w:gridCol w:w="299"/>
            </w:tblGrid>
            <w:tr w:rsidR="00106FB1" w:rsidRPr="00C011B2" w14:paraId="3CF94629"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6B95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Banda</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700C3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 2 și 11</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0EE12"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3 și 12</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0A17C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4 și 13</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402FE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5 și 14</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B54C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6 și 15</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6FA99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7 și 16</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8C24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8 și 17</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28DF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9 și 10</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9C1018"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18</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2255B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19</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0188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20</w:t>
                  </w:r>
                </w:p>
              </w:tc>
            </w:tr>
            <w:tr w:rsidR="00106FB1" w:rsidRPr="00C011B2" w14:paraId="3CD463F0"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5744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2 și 11</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4B8CE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697F7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4ADF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76B08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EF4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5A01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6BA64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6479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5FB6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0A35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BBC07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02EF7E87"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0AB09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și 12</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24CEB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A4D9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F8C4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551AE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F679C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AA509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E2520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2821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F6274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E27C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59250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2484277D"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D5BF0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și 13</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D91E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A279F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EFEE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F4F66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C854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215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1D4D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AE9F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DA39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18D5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727F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5205D4E7"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EB9F3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 și 14</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781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51556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46B36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C4AF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5689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7AF1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0E9D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7D2E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A2635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A24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7B9F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711A6424"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C587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și 15</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DE7F7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DD19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DD53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946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A5B96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C5D5A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A2DEB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469A9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A4C48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155C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C1BF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0E57F311"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80B1D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și 16</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43DA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D3B3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615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440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C7CE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150F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9CB9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74EC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A04D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CBD6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E3EF1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417446E2"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147F0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și 17</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59538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660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0360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8D9E8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0858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47229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67C5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DD7AC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D49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B14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0171B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475CC74A"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017E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și 10</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2D8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A4EA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6AB6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9ED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0731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072F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C5588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31CC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496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9C998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BAFB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32BB4DC1"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564DB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FDAD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AB4BE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B1EE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C7F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1C4D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74ED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7766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F5218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14446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0459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CB3B9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r w:rsidR="00106FB1" w:rsidRPr="00C011B2" w14:paraId="798EB496"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A2BC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33EBE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EF098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4CD0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ED19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A9B8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5CE9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80399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D99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8148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77CB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972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r>
            <w:tr w:rsidR="00106FB1" w:rsidRPr="00C011B2" w14:paraId="695B19A2" w14:textId="77777777" w:rsidTr="00A65555">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B2E9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A8924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01994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61CB3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BE3DC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4965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18776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95E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8F6B5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15FE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C739E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477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r>
          </w:tbl>
          <w:p w14:paraId="1DB857E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78A760EB" w14:textId="19AAB4D2"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59" w:name="_Hlk223092463"/>
            <w:r w:rsidRPr="00C011B2">
              <w:rPr>
                <w:rFonts w:ascii="Times New Roman" w:hAnsi="Times New Roman" w:cs="Times New Roman"/>
                <w:color w:val="000000" w:themeColor="text1"/>
                <w:lang w:val="ro-MD"/>
              </w:rPr>
              <w:lastRenderedPageBreak/>
              <w:t>285. Parametrul de corelație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care se aplică la agregarea sensibilităților între benzi diferite se stabilește după cum urmează:</w:t>
            </w:r>
          </w:p>
          <w:p w14:paraId="483E00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(rating)</w:t>
            </w:r>
            <w:r w:rsidRPr="00C011B2">
              <w:rPr>
                <w:rFonts w:ascii="Times New Roman" w:hAnsi="Times New Roman" w:cs="Times New Roman"/>
                <w:color w:val="000000" w:themeColor="text1"/>
                <w:lang w:val="ro-MD"/>
              </w:rPr>
              <w:t> ·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(sector)</w:t>
            </w:r>
          </w:p>
          <w:p w14:paraId="0D9A5C8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7D3C341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(rating)</w:t>
            </w:r>
            <w:r w:rsidRPr="00C011B2">
              <w:rPr>
                <w:rFonts w:ascii="Times New Roman" w:hAnsi="Times New Roman" w:cs="Times New Roman"/>
                <w:color w:val="000000" w:themeColor="text1"/>
                <w:lang w:val="ro-MD"/>
              </w:rPr>
              <w:t> este egal cu:</w:t>
            </w:r>
          </w:p>
          <w:p w14:paraId="09A787DD" w14:textId="1B9429F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285.1. 1 atunci când benzile b și c sunt benzile 1-17 și ambele benzi intră în aceeași categorie de calitate a creditului (fie „nivelul 1-3 de calitate a creditului”, fie „nivelul 4-6 de calitate a creditului”); în caz contrar este egal cu 50 %; în scopul acestui calcul, se consideră că banda 1 intră în aceeași categorie de calitate a creditului ca și benzile care au nivelul 1-3 de calitate a creditului;</w:t>
            </w:r>
          </w:p>
          <w:p w14:paraId="7B13E899" w14:textId="1E1B3C5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285.2. 1 atunci când banda b sau c este banda 18;</w:t>
            </w:r>
          </w:p>
          <w:p w14:paraId="45CF2214" w14:textId="15E63A8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285.3. 1 atunci când banda b sau c este banda 19, iar cealaltă bandă are nivelul 1-3 de calitate a creditului; în caz contrar este egal cu 50 %;</w:t>
            </w:r>
          </w:p>
          <w:p w14:paraId="365B33B4" w14:textId="3C6143D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285.4. 1 atunci când banda b sau c este banda 20, iar cealaltă bandă are nivelul 4-6 de calitate a creditului; în caz contrar este egal cu 50 %;</w:t>
            </w:r>
          </w:p>
          <w:p w14:paraId="7282EB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(sector)</w:t>
            </w:r>
            <w:r w:rsidRPr="00C011B2">
              <w:rPr>
                <w:rFonts w:ascii="Times New Roman" w:hAnsi="Times New Roman" w:cs="Times New Roman"/>
                <w:color w:val="000000" w:themeColor="text1"/>
                <w:lang w:val="ro-MD"/>
              </w:rPr>
              <w:t> este egal cu 1 atunci când cele două benzi care fac parte din același sector, iar în caz contrar cu procentul corespunzător prevăzut în tabelul 5:</w:t>
            </w:r>
          </w:p>
          <w:bookmarkEnd w:id="259"/>
          <w:p w14:paraId="603F9F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p w14:paraId="03DE3042"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60" w:name="_Hlk223092489"/>
            <w:r w:rsidRPr="00C011B2">
              <w:rPr>
                <w:rFonts w:ascii="Times New Roman" w:hAnsi="Times New Roman" w:cs="Times New Roman"/>
                <w:b/>
                <w:bCs/>
                <w:i/>
                <w:iCs/>
                <w:color w:val="000000" w:themeColor="text1"/>
                <w:lang w:val="ro-MD"/>
              </w:rPr>
              <w:t>Tabelul 5</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85"/>
              <w:gridCol w:w="294"/>
              <w:gridCol w:w="299"/>
              <w:gridCol w:w="299"/>
              <w:gridCol w:w="299"/>
              <w:gridCol w:w="299"/>
              <w:gridCol w:w="299"/>
              <w:gridCol w:w="299"/>
              <w:gridCol w:w="299"/>
              <w:gridCol w:w="230"/>
              <w:gridCol w:w="299"/>
              <w:gridCol w:w="299"/>
            </w:tblGrid>
            <w:tr w:rsidR="00106FB1" w:rsidRPr="00C011B2" w14:paraId="48BCF497"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EDF71D"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Banda</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E1B02"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 2 și 11</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EDEC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3 și 12</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45B4A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4 și 13</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0A9F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5 și 14</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511C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6 și 15</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B860E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7 și 16</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A54B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8 și 17</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FA47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9 și 10</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4B8A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18</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7DAA13"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19</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F283F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20</w:t>
                  </w:r>
                </w:p>
              </w:tc>
            </w:tr>
            <w:tr w:rsidR="00106FB1" w:rsidRPr="00C011B2" w14:paraId="186E8679"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0339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2 și 11</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C8604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178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0A4DA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1B3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7202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E12B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81158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24B3F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18DA3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78D88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18B89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071D0085"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298E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și 12</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5EB7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265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0C3F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BD4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46665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D1A5D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D53CA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8552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AB6B2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3AFB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C2F42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5E8830FD"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A98FF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și 13</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499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7602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426C4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1D89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1F9E3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05204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5545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72293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3C3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9598A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D7D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2D6C4FCF"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CC4D9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și 14</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C9D1C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82A2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B0544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9F0C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9087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870B4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C8B6A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13008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7094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D219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FEB4D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04829D58"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3E78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și 15</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9E47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B22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8C0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8BD6D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CDE0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9D8A2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CADAE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3DBC9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78EEC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6D474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5503E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0586D1CB"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ADAD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7 și 16</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A217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B3281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54A2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B82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C076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C4C4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5540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358D2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74C74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D5B1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C3DA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668D4B1B"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2B183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și 17</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CA3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069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E212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AD34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D7F2C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AA28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9D8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E2B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F7F0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7EA1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B7F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35C19D40"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745F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și 10</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4EC6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EF28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EC0D1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E63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9180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C81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4FFC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654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239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AC9C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58B6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61E4245F"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A67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2F55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A4A6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4C4F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05A55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460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0B2C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6E8A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884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1F56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4FA1E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29A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r w:rsidR="00106FB1" w:rsidRPr="00C011B2" w14:paraId="4BD7A324"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4474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19</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F1E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FE95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74DA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D9D49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BE243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006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8C291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1D4F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4C2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84C1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D1CD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r>
            <w:tr w:rsidR="00106FB1" w:rsidRPr="00C011B2" w14:paraId="4641CD72" w14:textId="77777777" w:rsidTr="001E785F">
              <w:trPr>
                <w:jc w:val="center"/>
              </w:trPr>
              <w:tc>
                <w:tcPr>
                  <w:tcW w:w="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A89C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c>
                <w:tcPr>
                  <w:tcW w:w="5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A447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623E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0126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F115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88F5C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9652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95F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FD56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41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9EE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337C4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54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2BB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r>
            <w:bookmarkEnd w:id="260"/>
          </w:tbl>
          <w:p w14:paraId="44114B5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6683AC81" w14:textId="07F921A8"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47DCCA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56622B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DF0B504"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20" w:tooltip="32019R0876: INSERTED" w:history="1">
              <w:r w:rsidR="00106FB1" w:rsidRPr="00C011B2">
                <w:rPr>
                  <w:rStyle w:val="Hyperlink"/>
                  <w:rFonts w:ascii="Times New Roman" w:hAnsi="Times New Roman" w:cs="Times New Roman"/>
                  <w:b/>
                  <w:bCs/>
                  <w:lang w:val="ro-MD"/>
                </w:rPr>
                <w:t>▼M8</w:t>
              </w:r>
            </w:hyperlink>
          </w:p>
          <w:p w14:paraId="065D17C0"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325ak</w:t>
            </w:r>
          </w:p>
          <w:p w14:paraId="0206F9CC" w14:textId="1B034AB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securitizările riscului de marjă de credit incluse în ACTP</w:t>
            </w:r>
          </w:p>
        </w:tc>
        <w:tc>
          <w:tcPr>
            <w:tcW w:w="1692" w:type="pct"/>
            <w:shd w:val="clear" w:color="auto" w:fill="auto"/>
          </w:tcPr>
          <w:p w14:paraId="60A9B856" w14:textId="35ADD96D"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1" w:name="_Hlk195097884"/>
            <w:r w:rsidRPr="00C011B2">
              <w:rPr>
                <w:rFonts w:ascii="Times New Roman" w:hAnsi="Times New Roman" w:cs="Times New Roman"/>
                <w:i/>
                <w:iCs/>
                <w:color w:val="000000" w:themeColor="text1"/>
                <w:lang w:val="ro-MD"/>
              </w:rPr>
              <w:t>Paragraful 7.</w:t>
            </w:r>
            <w:r w:rsidRPr="00C011B2">
              <w:rPr>
                <w:rFonts w:ascii="Times New Roman" w:hAnsi="Times New Roman" w:cs="Times New Roman"/>
                <w:b/>
                <w:bCs/>
                <w:color w:val="000000" w:themeColor="text1"/>
                <w:lang w:val="ro-MD"/>
              </w:rPr>
              <w:t>Ponderile de risc pentru securitizările riscului de marjă de credit incluse în ACTP</w:t>
            </w:r>
            <w:bookmarkEnd w:id="261"/>
          </w:p>
        </w:tc>
        <w:tc>
          <w:tcPr>
            <w:tcW w:w="450" w:type="pct"/>
          </w:tcPr>
          <w:p w14:paraId="6A11A20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418278EE"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CC2F34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C571D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Ponderile de risc pentru sensibilitățile la factori de risc aferenți securitizărilor riscului de marjă de credit incluse în ACTP sunt aceleași pentru toate scadențele (0,5 ani, 1 an, 3 ani, 5 ani, 10 ani) din fiecare bandă și se specifică pentru fiecare bandă din tabelul 6 în temeiul actului delegat menționat la articolul 461a:</w:t>
            </w:r>
          </w:p>
          <w:p w14:paraId="6B782C07" w14:textId="3F6C1574"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1" w:tooltip="32021R0424: REPLACED" w:history="1">
              <w:r w:rsidR="00106FB1" w:rsidRPr="00C011B2">
                <w:rPr>
                  <w:rStyle w:val="Hyperlink"/>
                  <w:rFonts w:ascii="Times New Roman" w:hAnsi="Times New Roman" w:cs="Times New Roman"/>
                  <w:b/>
                  <w:bCs/>
                  <w:lang w:val="ro-MD"/>
                </w:rPr>
                <w:t>▼M12</w:t>
              </w:r>
            </w:hyperlink>
          </w:p>
          <w:p w14:paraId="7C3DEBE5"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6</w:t>
            </w:r>
          </w:p>
          <w:tbl>
            <w:tblPr>
              <w:tblW w:w="4915"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38"/>
              <w:gridCol w:w="1417"/>
              <w:gridCol w:w="1993"/>
              <w:gridCol w:w="567"/>
            </w:tblGrid>
            <w:tr w:rsidR="00106FB1" w:rsidRPr="00C011B2" w14:paraId="7F121BAD"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FAAFF" w14:textId="61E98A54"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14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FEDC1"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Calitatea creditului</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70B4F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DC50B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13FBE861"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BCC4D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4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D7614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B315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statelor membre, inclusiv băncile centrale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6197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6FC0FF91"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E7D4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41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99EF5"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2"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Nivelul 1-10 de calitate a creditului</w:t>
                  </w:r>
                  <w:r w:rsidR="00106FB1" w:rsidRPr="00C011B2">
                    <w:rPr>
                      <w:rFonts w:ascii="Times New Roman" w:hAnsi="Times New Roman" w:cs="Times New Roman"/>
                      <w:b/>
                      <w:bCs/>
                      <w:color w:val="000000" w:themeColor="text1"/>
                      <w:lang w:val="ro-MD"/>
                    </w:rPr>
                    <w:t> ◄</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83E86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unei țări terțe, inclusiv băncile centrale, băncile de dezvoltare multilaterală și organizațiile internaționale menționate la </w:t>
                  </w:r>
                  <w:r w:rsidRPr="00C011B2">
                    <w:rPr>
                      <w:rFonts w:ascii="Times New Roman" w:hAnsi="Times New Roman" w:cs="Times New Roman"/>
                      <w:color w:val="000000" w:themeColor="text1"/>
                      <w:lang w:val="ro-MD"/>
                    </w:rPr>
                    <w:lastRenderedPageBreak/>
                    <w:t>articolul 117 alineatul (2) sau la articolul 118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76C7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4,0 %</w:t>
                  </w:r>
                </w:p>
              </w:tc>
            </w:tr>
            <w:tr w:rsidR="00106FB1" w:rsidRPr="00C011B2" w14:paraId="2F6B072B"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956A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1F5E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8889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F2F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6C99FBB2"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EDA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17374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B1376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din sectorul financiar, inclusiv instituții de credit înregistrate sau înființate de o administrație centrală, o administrație regională sau o autoritate locală și creditori promoționali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A7274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8,0 %</w:t>
                  </w:r>
                </w:p>
              </w:tc>
            </w:tr>
            <w:tr w:rsidR="00106FB1" w:rsidRPr="00C011B2" w14:paraId="09227753"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59CB0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CDE29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9C28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produse industriale,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84D1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6A1F94B3"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86A5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2383F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8B3D3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Bunuri și servicii pentru consumatori, </w:t>
                  </w:r>
                  <w:r w:rsidRPr="00C011B2">
                    <w:rPr>
                      <w:rFonts w:ascii="Times New Roman" w:hAnsi="Times New Roman" w:cs="Times New Roman"/>
                      <w:color w:val="000000" w:themeColor="text1"/>
                      <w:lang w:val="ro-MD"/>
                    </w:rPr>
                    <w:lastRenderedPageBreak/>
                    <w:t>transport și depozitare, servicii administrative și activități de sprijin</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B8BC6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4,0 %</w:t>
                  </w:r>
                </w:p>
              </w:tc>
            </w:tr>
            <w:tr w:rsidR="00106FB1" w:rsidRPr="00C011B2" w14:paraId="683FBB73"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98917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12E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0FF9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B282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5017B3E1"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072AD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02F11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E8C7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D8A1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5374C048"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C8D9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AFAA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ACF2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instituții de credit stabilite în statele membre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9C8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08152B01"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017AC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CFD7F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E11D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instituții de credit din țări terțe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1FA5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r>
            <w:tr w:rsidR="00106FB1" w:rsidRPr="00C011B2" w14:paraId="307F3B25"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1F89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41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E9C511"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3"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Nivelul 11-17 de calitate a creditului</w:t>
                  </w:r>
                  <w:r w:rsidR="00106FB1" w:rsidRPr="00C011B2">
                    <w:rPr>
                      <w:rFonts w:ascii="Times New Roman" w:hAnsi="Times New Roman" w:cs="Times New Roman"/>
                      <w:b/>
                      <w:bCs/>
                      <w:color w:val="000000" w:themeColor="text1"/>
                      <w:lang w:val="ro-MD"/>
                    </w:rPr>
                    <w:t> ◄</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39FC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unei țări terțe, inclusiv băncile centrale, băncile de dezvoltare multilaterală și organizațiile internaționale </w:t>
                  </w:r>
                  <w:r w:rsidRPr="00C011B2">
                    <w:rPr>
                      <w:rFonts w:ascii="Times New Roman" w:hAnsi="Times New Roman" w:cs="Times New Roman"/>
                      <w:color w:val="000000" w:themeColor="text1"/>
                      <w:lang w:val="ro-MD"/>
                    </w:rPr>
                    <w:lastRenderedPageBreak/>
                    <w:t>menționate la articolul 117 alineatul (2) sau la articolul 118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951CD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13,0 %</w:t>
                  </w:r>
                </w:p>
              </w:tc>
            </w:tr>
            <w:tr w:rsidR="00106FB1" w:rsidRPr="00C011B2" w14:paraId="2A544F33"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0CBD4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C6278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764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1972C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13,0 %</w:t>
                  </w:r>
                </w:p>
              </w:tc>
            </w:tr>
            <w:tr w:rsidR="00106FB1" w:rsidRPr="00C011B2" w14:paraId="377B59AA"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F1F6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13D3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B37012"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4"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Entități din sectorul financiar, inclusiv instituții de credit înregistrate sau înființate de o administrație centrală, o administrație regională sau o autoritate locală, creditori promoționali și obligațiuni garantate</w:t>
                  </w:r>
                  <w:r w:rsidR="00106FB1" w:rsidRPr="00C011B2">
                    <w:rPr>
                      <w:rFonts w:ascii="Times New Roman" w:hAnsi="Times New Roman" w:cs="Times New Roman"/>
                      <w:b/>
                      <w:bCs/>
                      <w:color w:val="000000" w:themeColor="text1"/>
                      <w:lang w:val="ro-MD"/>
                    </w:rPr>
                    <w:t> ◄</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DF318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16,0 %</w:t>
                  </w:r>
                </w:p>
              </w:tc>
            </w:tr>
            <w:tr w:rsidR="00106FB1" w:rsidRPr="00C011B2" w14:paraId="7852E752"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B97E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6EC41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65A46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Materiale de bază, energie, produse industriale, agricultură, industria </w:t>
                  </w:r>
                  <w:r w:rsidRPr="00C011B2">
                    <w:rPr>
                      <w:rFonts w:ascii="Times New Roman" w:hAnsi="Times New Roman" w:cs="Times New Roman"/>
                      <w:color w:val="000000" w:themeColor="text1"/>
                      <w:lang w:val="ro-MD"/>
                    </w:rPr>
                    <w:lastRenderedPageBreak/>
                    <w:t>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0316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10,0 %</w:t>
                  </w:r>
                </w:p>
              </w:tc>
            </w:tr>
            <w:tr w:rsidR="00106FB1" w:rsidRPr="00C011B2" w14:paraId="02B2B193"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11E8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7C6CD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6776F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Bunuri și servicii pentru consumatori, transport și depozitare, servicii administrative și activități de sprijin</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4C21A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2C50484F"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52FB9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8AA99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A1A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6420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2C31BA0B"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F2D96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8B065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E34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C2E0A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4443D3C6" w14:textId="77777777" w:rsidTr="00A65555">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BAFB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341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412E9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5AF5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13,0 %</w:t>
                  </w:r>
                </w:p>
              </w:tc>
            </w:tr>
          </w:tbl>
          <w:p w14:paraId="79203DD9"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25" w:tooltip="32024R1623: INSERTED" w:history="1">
              <w:r w:rsidR="00106FB1" w:rsidRPr="00C011B2">
                <w:rPr>
                  <w:rStyle w:val="Hyperlink"/>
                  <w:rFonts w:ascii="Times New Roman" w:hAnsi="Times New Roman" w:cs="Times New Roman"/>
                  <w:b/>
                  <w:bCs/>
                  <w:lang w:val="ro-MD"/>
                </w:rPr>
                <w:t>▼M17</w:t>
              </w:r>
            </w:hyperlink>
          </w:p>
          <w:p w14:paraId="64F1B5C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sensul prezentului articol, unei expuneri i se atribuie categoria de calitate a creditului corespunzătoare categoriei de calitate a creditului pe care ar urma să o primească în conformitate cu abordarea standardizată pentru riscul de credit prevăzută în titlul II capitolul 2.</w:t>
            </w:r>
          </w:p>
          <w:p w14:paraId="23A39824" w14:textId="65C15A0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Prin derogare de la al doilea paragraf, instituțiile pot încadra în banda 4 o expunere la risc aferentă unei obligațiuni garantate care nu beneficiază de rating în </w:t>
            </w:r>
            <w:r w:rsidRPr="00C011B2">
              <w:rPr>
                <w:rFonts w:ascii="Times New Roman" w:hAnsi="Times New Roman" w:cs="Times New Roman"/>
                <w:color w:val="000000" w:themeColor="text1"/>
                <w:lang w:val="ro-MD"/>
              </w:rPr>
              <w:lastRenderedPageBreak/>
              <w:t>cazul în care instituția care emite obligațiunea garantată are nivelul 1-3 de calitate a creditului.</w:t>
            </w:r>
          </w:p>
        </w:tc>
        <w:tc>
          <w:tcPr>
            <w:tcW w:w="1692" w:type="pct"/>
            <w:shd w:val="clear" w:color="auto" w:fill="auto"/>
          </w:tcPr>
          <w:p w14:paraId="402408DF" w14:textId="2EB0F682"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2" w:name="_Hlk223092781"/>
            <w:r w:rsidRPr="00C011B2">
              <w:rPr>
                <w:rFonts w:ascii="Times New Roman" w:hAnsi="Times New Roman" w:cs="Times New Roman"/>
                <w:color w:val="000000" w:themeColor="text1"/>
                <w:lang w:val="ro-MD"/>
              </w:rPr>
              <w:lastRenderedPageBreak/>
              <w:t>286. Ponderile de risc pentru sensibilitățile la factori de risc aferenți securitizărilor riscului de marjă de credit incluse în ACTP sunt aceleași pentru toate scadențele (0,5 ani, 1 an, 3 ani, 5 ani, 10 ani) din fiecare bandă și se specifică pentru fiecare bandă din tabelul 6:</w:t>
            </w:r>
          </w:p>
          <w:p w14:paraId="459FEBE1"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63" w:name="_Hlk223092825"/>
            <w:bookmarkEnd w:id="262"/>
            <w:r w:rsidRPr="00C011B2">
              <w:rPr>
                <w:rFonts w:ascii="Times New Roman" w:hAnsi="Times New Roman" w:cs="Times New Roman"/>
                <w:b/>
                <w:bCs/>
                <w:i/>
                <w:iCs/>
                <w:color w:val="000000" w:themeColor="text1"/>
                <w:lang w:val="ro-MD"/>
              </w:rPr>
              <w:t>Tabelul 6</w:t>
            </w:r>
          </w:p>
          <w:tbl>
            <w:tblPr>
              <w:tblW w:w="4915"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38"/>
              <w:gridCol w:w="1417"/>
              <w:gridCol w:w="1993"/>
              <w:gridCol w:w="567"/>
            </w:tblGrid>
            <w:tr w:rsidR="00106FB1" w:rsidRPr="00C011B2" w14:paraId="1D0D32D5"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28E81D"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14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D5E0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Calitatea creditului</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DF76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A279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0D4D4B18"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3D59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4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05F5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9E413D" w14:textId="1994150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Republicii Moldova și Banca Națională a Moldovei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982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17CCF897"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4693B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41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E8018" w14:textId="7E76D99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Nivelul 1-10 de calitate a creditului</w:t>
                  </w:r>
                  <w:r w:rsidRPr="00C011B2">
                    <w:rPr>
                      <w:rFonts w:ascii="Times New Roman" w:hAnsi="Times New Roman" w:cs="Times New Roman"/>
                      <w:b/>
                      <w:bCs/>
                      <w:color w:val="000000" w:themeColor="text1"/>
                      <w:lang w:val="ro-MD"/>
                    </w:rPr>
                    <w:t> </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A4E8AC" w14:textId="2C404157" w:rsidR="00106FB1" w:rsidRPr="00C011B2" w:rsidRDefault="00106FB1" w:rsidP="00A70D2E">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w:t>
                  </w:r>
                  <w:r w:rsidR="000E001D" w:rsidRPr="00C011B2">
                    <w:rPr>
                      <w:rFonts w:ascii="Times New Roman" w:hAnsi="Times New Roman" w:cs="Times New Roman"/>
                      <w:color w:val="000000" w:themeColor="text1"/>
                      <w:lang w:val="ro-MD"/>
                    </w:rPr>
                    <w:t>unui alt stat</w:t>
                  </w:r>
                  <w:r w:rsidRPr="00C011B2">
                    <w:rPr>
                      <w:rFonts w:ascii="Times New Roman" w:hAnsi="Times New Roman" w:cs="Times New Roman"/>
                      <w:color w:val="000000" w:themeColor="text1"/>
                      <w:lang w:val="ro-MD"/>
                    </w:rPr>
                    <w:t xml:space="preserve">, inclusiv băncile centrale, băncile de dezvoltare multilaterală și organizațiile internaționale menționate la pct.46 sau 47 din  Regulamentul nr.111/2018 </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EBAB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55334FBC"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696C9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78EE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192E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7E453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47C6A72B"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6D4F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A3B5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7335CA" w14:textId="3817813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din sectorul financiar, inclusiv bănci înregistrate sau înființate de o administrație centrală, o administrație regională sau o autoritate locală și creditori promoționali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36C8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8,0 %</w:t>
                  </w:r>
                </w:p>
              </w:tc>
            </w:tr>
            <w:tr w:rsidR="00106FB1" w:rsidRPr="00C011B2" w14:paraId="086265C1"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804D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AEC5B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398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produse industriale,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F62E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106FB1" w:rsidRPr="00C011B2" w14:paraId="00D7D7BB"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6602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0467A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857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Bunuri și servicii pentru consumatori, transport și depozitare, servicii </w:t>
                  </w:r>
                  <w:r w:rsidRPr="00C011B2">
                    <w:rPr>
                      <w:rFonts w:ascii="Times New Roman" w:hAnsi="Times New Roman" w:cs="Times New Roman"/>
                      <w:color w:val="000000" w:themeColor="text1"/>
                      <w:lang w:val="ro-MD"/>
                    </w:rPr>
                    <w:lastRenderedPageBreak/>
                    <w:t>administrative și activități de sprijin</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8F0B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4,0 %</w:t>
                  </w:r>
                </w:p>
              </w:tc>
            </w:tr>
            <w:tr w:rsidR="00106FB1" w:rsidRPr="00C011B2" w14:paraId="09657638"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7BD15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AB7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FEE6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9A1D5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175517B1"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74F8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69069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DA90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ABF9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014B8074"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7AA3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D53A8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25935" w14:textId="78C425C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bănci din Republica Moldova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9500C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4B22335F"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8B91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56A75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5D8D83" w14:textId="19BD535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Obligațiuni garantate emise de bănci din </w:t>
                  </w:r>
                  <w:r w:rsidR="000E001D" w:rsidRPr="00C011B2">
                    <w:rPr>
                      <w:rFonts w:ascii="Times New Roman" w:hAnsi="Times New Roman" w:cs="Times New Roman"/>
                      <w:color w:val="000000" w:themeColor="text1"/>
                      <w:lang w:val="ro-MD"/>
                    </w:rPr>
                    <w:t>alte state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AD8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r>
            <w:tr w:rsidR="00106FB1" w:rsidRPr="00C011B2" w14:paraId="085C7E3D"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19AC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41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F81D5F" w14:textId="24BE7D5C"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6" w:tooltip="32024R1623: REPLACED" w:history="1">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Nivelul 11-17 de calitate a creditului</w:t>
                  </w:r>
                  <w:r w:rsidR="00106FB1" w:rsidRPr="00C011B2">
                    <w:rPr>
                      <w:rFonts w:ascii="Times New Roman" w:hAnsi="Times New Roman" w:cs="Times New Roman"/>
                      <w:b/>
                      <w:bCs/>
                      <w:color w:val="000000" w:themeColor="text1"/>
                      <w:lang w:val="ro-MD"/>
                    </w:rPr>
                    <w:t> </w:t>
                  </w: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BAEA3" w14:textId="41F45694" w:rsidR="00106FB1" w:rsidRPr="00C011B2" w:rsidRDefault="00106FB1" w:rsidP="00A70D2E">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w:t>
                  </w:r>
                  <w:r w:rsidR="000E001D" w:rsidRPr="00C011B2">
                    <w:rPr>
                      <w:rFonts w:ascii="Times New Roman" w:hAnsi="Times New Roman" w:cs="Times New Roman"/>
                      <w:color w:val="000000" w:themeColor="text1"/>
                      <w:lang w:val="ro-MD"/>
                    </w:rPr>
                    <w:t>unui alt stat</w:t>
                  </w:r>
                  <w:r w:rsidRPr="00C011B2">
                    <w:rPr>
                      <w:rFonts w:ascii="Times New Roman" w:hAnsi="Times New Roman" w:cs="Times New Roman"/>
                      <w:color w:val="000000" w:themeColor="text1"/>
                      <w:lang w:val="ro-MD"/>
                    </w:rPr>
                    <w:t>, inclusiv băncile centrale, băncile de dezvoltare multilaterală și organizațiile internaționale menționate la pct.46 sau 47</w:t>
                  </w:r>
                  <w:r w:rsidRPr="00C011B2">
                    <w:rPr>
                      <w:lang w:val="it-IT"/>
                    </w:rPr>
                    <w:t xml:space="preserve"> </w:t>
                  </w:r>
                  <w:r w:rsidRPr="00C011B2">
                    <w:rPr>
                      <w:rFonts w:ascii="Times New Roman" w:hAnsi="Times New Roman" w:cs="Times New Roman"/>
                      <w:color w:val="000000" w:themeColor="text1"/>
                      <w:lang w:val="ro-MD"/>
                    </w:rPr>
                    <w:t xml:space="preserve">din  Regulamentul nr.111/2018 </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B776F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13,0 %</w:t>
                  </w:r>
                </w:p>
              </w:tc>
            </w:tr>
            <w:tr w:rsidR="00106FB1" w:rsidRPr="00C011B2" w14:paraId="450ED21A"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391B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12</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A3C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4DE4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Administrații regionale sau locale și entități din sectorul public</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39D78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13,0 %</w:t>
                  </w:r>
                </w:p>
              </w:tc>
            </w:tr>
            <w:tr w:rsidR="00106FB1" w:rsidRPr="00C011B2" w14:paraId="6D1815AC"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F0A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6D849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50201" w14:textId="6840C318"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7" w:tooltip="32024R1623: REPLACED" w:history="1">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Entități din sectorul financiar, inclusiv bănci înregistrate sau înființate de o administrație centrală, o administrație regională sau o autoritate locală, creditori promoționali și obligațiuni garantate</w:t>
                  </w:r>
                  <w:r w:rsidR="00106FB1" w:rsidRPr="00C011B2">
                    <w:rPr>
                      <w:rFonts w:ascii="Times New Roman" w:hAnsi="Times New Roman" w:cs="Times New Roman"/>
                      <w:b/>
                      <w:bCs/>
                      <w:color w:val="000000" w:themeColor="text1"/>
                      <w:lang w:val="ro-MD"/>
                    </w:rPr>
                    <w:t> </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AB6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16,0 %</w:t>
                  </w:r>
                </w:p>
              </w:tc>
            </w:tr>
            <w:tr w:rsidR="00106FB1" w:rsidRPr="00C011B2" w14:paraId="2EF0CF3C"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463B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7243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98B99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produse industriale,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4FB1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106FB1" w:rsidRPr="00C011B2" w14:paraId="0A9DEC04"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4B07A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70E6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6B23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Bunuri și servicii pentru consumatori, </w:t>
                  </w:r>
                  <w:r w:rsidRPr="00C011B2">
                    <w:rPr>
                      <w:rFonts w:ascii="Times New Roman" w:hAnsi="Times New Roman" w:cs="Times New Roman"/>
                      <w:color w:val="000000" w:themeColor="text1"/>
                      <w:lang w:val="ro-MD"/>
                    </w:rPr>
                    <w:lastRenderedPageBreak/>
                    <w:t>transport și depozitare, servicii administrative și activități de sprijin</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040A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12,0 %</w:t>
                  </w:r>
                </w:p>
              </w:tc>
            </w:tr>
            <w:tr w:rsidR="00106FB1" w:rsidRPr="00C011B2" w14:paraId="4BFC5B40"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740D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C7BF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6D54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Tehnologie, telecomunicații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D150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7CE552D6"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578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w:t>
                  </w:r>
                </w:p>
              </w:tc>
              <w:tc>
                <w:tcPr>
                  <w:tcW w:w="141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2A913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1E91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Asistență medicală, utilități, activități profesionale și tehnice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27BF5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12,0 %</w:t>
                  </w:r>
                </w:p>
              </w:tc>
            </w:tr>
            <w:tr w:rsidR="00106FB1" w:rsidRPr="00C011B2" w14:paraId="64CF2B82" w14:textId="77777777" w:rsidTr="001E785F">
              <w:trPr>
                <w:jc w:val="center"/>
              </w:trPr>
              <w:tc>
                <w:tcPr>
                  <w:tcW w:w="9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A7C5D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341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DAAB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BE2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13,0 %</w:t>
                  </w:r>
                </w:p>
              </w:tc>
            </w:tr>
            <w:bookmarkEnd w:id="263"/>
          </w:tbl>
          <w:p w14:paraId="7AC50F69" w14:textId="17894E2B" w:rsidR="00106FB1" w:rsidRPr="00C011B2" w:rsidRDefault="00106FB1" w:rsidP="00106FB1">
            <w:pPr>
              <w:spacing w:after="0" w:line="276" w:lineRule="auto"/>
              <w:jc w:val="both"/>
              <w:rPr>
                <w:rFonts w:ascii="Times New Roman" w:hAnsi="Times New Roman" w:cs="Times New Roman"/>
                <w:b/>
                <w:bCs/>
                <w:color w:val="000000" w:themeColor="text1"/>
                <w:lang w:val="ro-MD"/>
              </w:rPr>
            </w:pPr>
          </w:p>
          <w:p w14:paraId="74ED32A4" w14:textId="568AC15C"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4" w:name="_Hlk223092966"/>
            <w:r w:rsidRPr="00C011B2">
              <w:rPr>
                <w:rFonts w:ascii="Times New Roman" w:hAnsi="Times New Roman" w:cs="Times New Roman"/>
                <w:color w:val="000000" w:themeColor="text1"/>
                <w:lang w:val="ro-MD"/>
              </w:rPr>
              <w:t>287. În sensul prezentului paragraf, unei expuneri i se atribuie categoria de calitate a creditului corespunzătoare categoriei de calitate a creditului pe care ar urma să o primească în conformitate cu abordarea standardizată pentru riscul de credit prevăzută în Regulamentul nr.111/2018 .</w:t>
            </w:r>
          </w:p>
          <w:p w14:paraId="5610503F" w14:textId="2F8D90D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288. Prin derogare de la pct.287, băncile pot încadra în banda 4 o expunere la risc aferentă unei obligațiuni garantate care nu beneficiază de rating în cazul în care banca care emite obligațiunea garantată are nivelul 1-3 de calitate a creditului.</w:t>
            </w:r>
            <w:bookmarkEnd w:id="264"/>
          </w:p>
        </w:tc>
        <w:tc>
          <w:tcPr>
            <w:tcW w:w="450" w:type="pct"/>
          </w:tcPr>
          <w:p w14:paraId="4AE37327" w14:textId="440D113D"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Parțial compatibil</w:t>
            </w:r>
          </w:p>
        </w:tc>
        <w:tc>
          <w:tcPr>
            <w:tcW w:w="1261" w:type="pct"/>
          </w:tcPr>
          <w:p w14:paraId="7223F3FD" w14:textId="77777777"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Trimiterea la actului delegat menționat la articolul 461a nu a fost transpusă, deoarece actul delegat privind aplicarea unor măsuri de ajutor operaţional specifice sau a unor multiplicatori specifici cel puţin egali cu 0 și mai mici decât 1 la calcularea cerinţelor de fonduri proprii ale instituţiilor pentru riscul de piaţă, pentru clase de risc specifice și pentru factori de risc specific încă nu a fost elaborat de ABE.</w:t>
            </w:r>
          </w:p>
          <w:p w14:paraId="466E5915" w14:textId="125C657B" w:rsidR="000E001D" w:rsidRPr="00C011B2" w:rsidRDefault="000E001D"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Sintagma „țări terțe” a fost modificată în „alte state”, deoarece Republica Moldova încă nu este parte a UE, iar „țările terțe” în sensul legislației UE sunt țările din afara UE.</w:t>
            </w:r>
          </w:p>
          <w:p w14:paraId="12C57916" w14:textId="7F8A484E" w:rsidR="000E001D" w:rsidRPr="00C011B2" w:rsidRDefault="000E001D" w:rsidP="00106FB1">
            <w:pPr>
              <w:spacing w:line="276" w:lineRule="auto"/>
              <w:jc w:val="both"/>
              <w:rPr>
                <w:rFonts w:ascii="Times New Roman" w:hAnsi="Times New Roman" w:cs="Times New Roman"/>
                <w:color w:val="000000" w:themeColor="text1"/>
                <w:lang w:val="ro-MD"/>
              </w:rPr>
            </w:pPr>
          </w:p>
        </w:tc>
      </w:tr>
      <w:tr w:rsidR="00106FB1" w:rsidRPr="00C011B2" w14:paraId="6FE22BA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0BAF111"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28" w:tooltip="32019R0876: INSERTED" w:history="1">
              <w:r w:rsidR="00106FB1" w:rsidRPr="00C011B2">
                <w:rPr>
                  <w:rStyle w:val="Hyperlink"/>
                  <w:rFonts w:ascii="Times New Roman" w:hAnsi="Times New Roman" w:cs="Times New Roman"/>
                  <w:b/>
                  <w:bCs/>
                  <w:lang w:val="ro-MD"/>
                </w:rPr>
                <w:t>▼M8</w:t>
              </w:r>
            </w:hyperlink>
          </w:p>
          <w:p w14:paraId="5EBEF09E"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325al</w:t>
            </w:r>
          </w:p>
          <w:p w14:paraId="648C3998" w14:textId="467D22A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pentru securitizările riscului de marjă de credit incluse în ACTP</w:t>
            </w:r>
          </w:p>
        </w:tc>
        <w:tc>
          <w:tcPr>
            <w:tcW w:w="1692" w:type="pct"/>
            <w:shd w:val="clear" w:color="auto" w:fill="auto"/>
          </w:tcPr>
          <w:p w14:paraId="728A657E" w14:textId="3502BA63"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5" w:name="_Hlk195097922"/>
            <w:r w:rsidRPr="00C011B2">
              <w:rPr>
                <w:rFonts w:ascii="Times New Roman" w:hAnsi="Times New Roman" w:cs="Times New Roman"/>
                <w:i/>
                <w:iCs/>
                <w:color w:val="000000" w:themeColor="text1"/>
                <w:lang w:val="ro-MD"/>
              </w:rPr>
              <w:t xml:space="preserve">Paragraful 8. </w:t>
            </w:r>
            <w:r w:rsidRPr="00C011B2">
              <w:rPr>
                <w:rFonts w:ascii="Times New Roman" w:hAnsi="Times New Roman" w:cs="Times New Roman"/>
                <w:b/>
                <w:bCs/>
                <w:color w:val="000000" w:themeColor="text1"/>
                <w:lang w:val="ro-MD"/>
              </w:rPr>
              <w:t>Corelațiile pentru securitizările riscului de marjă de credit incluse în ACTP</w:t>
            </w:r>
            <w:bookmarkEnd w:id="265"/>
          </w:p>
        </w:tc>
        <w:tc>
          <w:tcPr>
            <w:tcW w:w="450" w:type="pct"/>
          </w:tcPr>
          <w:p w14:paraId="4264747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22D56721"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0FF7B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9EBC67E" w14:textId="34037BD5"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6" w:name="_Hlk223093062"/>
            <w:r w:rsidRPr="00C011B2">
              <w:rPr>
                <w:rFonts w:ascii="Times New Roman" w:hAnsi="Times New Roman" w:cs="Times New Roman"/>
                <w:color w:val="000000" w:themeColor="text1"/>
                <w:lang w:val="ro-MD"/>
              </w:rPr>
              <w:t>(1)   Corelația pentru riscul delta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obține în conformitate cu articolul 325ai, cu excepția faptului că, în sensul prezentului alineat,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egală cu 1 atunci când cele două sensibilități corespund acelorași curbe, iar în caz contrar cu 99,00 %.</w:t>
            </w:r>
          </w:p>
        </w:tc>
        <w:tc>
          <w:tcPr>
            <w:tcW w:w="1692" w:type="pct"/>
            <w:shd w:val="clear" w:color="auto" w:fill="auto"/>
          </w:tcPr>
          <w:p w14:paraId="352A832D" w14:textId="44713789"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7" w:name="_Hlk223093093"/>
            <w:r w:rsidRPr="00C011B2">
              <w:rPr>
                <w:rFonts w:ascii="Times New Roman" w:hAnsi="Times New Roman" w:cs="Times New Roman"/>
                <w:color w:val="000000" w:themeColor="text1"/>
                <w:lang w:val="ro-MD"/>
              </w:rPr>
              <w:t>289.   Corelația pentru riscul delta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obține în conformitate cu paragraful 5, cu excepția faptului că, în sensul prezentului paragraf,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egală cu 1 atunci când cele două sensibilități corespund acelorași curbe, iar în caz contrar cu 99,00 %.</w:t>
            </w:r>
            <w:bookmarkEnd w:id="267"/>
          </w:p>
        </w:tc>
        <w:tc>
          <w:tcPr>
            <w:tcW w:w="450" w:type="pct"/>
          </w:tcPr>
          <w:p w14:paraId="3AF7200D" w14:textId="1823D686"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595703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34D8B3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56869E1" w14:textId="55C4299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Corelația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se obține în conformitate cu articolul 325aj.</w:t>
            </w:r>
          </w:p>
        </w:tc>
        <w:tc>
          <w:tcPr>
            <w:tcW w:w="1692" w:type="pct"/>
            <w:shd w:val="clear" w:color="auto" w:fill="auto"/>
          </w:tcPr>
          <w:p w14:paraId="11B29E74" w14:textId="440D36A8"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68" w:name="_Hlk223093116"/>
            <w:r w:rsidRPr="00C011B2">
              <w:rPr>
                <w:rFonts w:ascii="Times New Roman" w:hAnsi="Times New Roman" w:cs="Times New Roman"/>
                <w:color w:val="000000" w:themeColor="text1"/>
                <w:lang w:val="ro-MD"/>
              </w:rPr>
              <w:t>290.   Corelația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se obține în conformitate cu paragraful 6.</w:t>
            </w:r>
            <w:bookmarkEnd w:id="268"/>
          </w:p>
        </w:tc>
        <w:tc>
          <w:tcPr>
            <w:tcW w:w="450" w:type="pct"/>
          </w:tcPr>
          <w:p w14:paraId="0C758715" w14:textId="230649EF"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3CBFA4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bookmarkEnd w:id="266"/>
      <w:tr w:rsidR="00106FB1" w:rsidRPr="00C011B2" w14:paraId="153064B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AF6A99"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325am</w:t>
            </w:r>
          </w:p>
          <w:p w14:paraId="1A176C9B" w14:textId="3DABD0C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securitizările riscului de marjă de credit neincluse în ACTP</w:t>
            </w:r>
          </w:p>
        </w:tc>
        <w:tc>
          <w:tcPr>
            <w:tcW w:w="1692" w:type="pct"/>
            <w:shd w:val="clear" w:color="auto" w:fill="auto"/>
          </w:tcPr>
          <w:p w14:paraId="3AAE4262" w14:textId="069F1F05" w:rsidR="00106FB1" w:rsidRPr="00C011B2" w:rsidRDefault="00106FB1" w:rsidP="00106FB1">
            <w:pPr>
              <w:spacing w:after="0" w:line="276" w:lineRule="auto"/>
              <w:jc w:val="both"/>
              <w:rPr>
                <w:rFonts w:ascii="Times New Roman" w:hAnsi="Times New Roman" w:cs="Times New Roman"/>
                <w:i/>
                <w:iCs/>
                <w:color w:val="000000" w:themeColor="text1"/>
                <w:lang w:val="ro-MD"/>
              </w:rPr>
            </w:pPr>
            <w:bookmarkStart w:id="269" w:name="_Hlk195097950"/>
            <w:bookmarkStart w:id="270" w:name="_Hlk223093198"/>
            <w:r w:rsidRPr="00C011B2">
              <w:rPr>
                <w:rFonts w:ascii="Times New Roman" w:hAnsi="Times New Roman" w:cs="Times New Roman"/>
                <w:i/>
                <w:iCs/>
                <w:color w:val="000000" w:themeColor="text1"/>
                <w:lang w:val="ro-MD"/>
              </w:rPr>
              <w:t xml:space="preserve">Paragraful 9. </w:t>
            </w:r>
          </w:p>
          <w:p w14:paraId="0FAE29DD" w14:textId="4A358F9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securitizările riscului de marjă de credit neincluse în ACTP</w:t>
            </w:r>
            <w:bookmarkEnd w:id="269"/>
            <w:bookmarkEnd w:id="270"/>
          </w:p>
        </w:tc>
        <w:tc>
          <w:tcPr>
            <w:tcW w:w="450" w:type="pct"/>
          </w:tcPr>
          <w:p w14:paraId="2788B59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42AA2A9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AFF96A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058A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w:t>
            </w:r>
          </w:p>
          <w:p w14:paraId="23930E1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Ponderile de risc pentru sensibilitățile la factori de risc aferenți securitizărilor riscului de marjă de credit neincluse în ACTP sunt aceleași pentru toate scadențele (0,5 ani, 1 an, 3 ani, 5 ani, 10 ani) din fiecare bandă din tabelul 7 și se specifică pentru fiecare bandă din tabelul 7 în temeiul actului delegat menționat la articolul 461a:</w:t>
            </w:r>
          </w:p>
          <w:p w14:paraId="655D721A" w14:textId="3082413B"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29" w:tooltip="32021R0424: REPLACED" w:history="1">
              <w:r w:rsidR="00106FB1" w:rsidRPr="00C011B2">
                <w:rPr>
                  <w:rStyle w:val="Hyperlink"/>
                  <w:rFonts w:ascii="Times New Roman" w:hAnsi="Times New Roman" w:cs="Times New Roman"/>
                  <w:b/>
                  <w:bCs/>
                  <w:lang w:val="ro-MD"/>
                </w:rPr>
                <w:t>▼M12</w:t>
              </w:r>
            </w:hyperlink>
          </w:p>
          <w:p w14:paraId="4CEF41A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p w14:paraId="11B5DD2A"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7</w:t>
            </w:r>
          </w:p>
          <w:tbl>
            <w:tblPr>
              <w:tblW w:w="4164"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8"/>
              <w:gridCol w:w="1275"/>
              <w:gridCol w:w="1601"/>
              <w:gridCol w:w="720"/>
            </w:tblGrid>
            <w:tr w:rsidR="00106FB1" w:rsidRPr="00C011B2" w14:paraId="60FE5292"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24AA9"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26E3ED"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Calitatea creditului</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2CD38"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87BA2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1B932204"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29F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9A0FA1"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30"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Superioară și nivelul 1-10 de calitate a creditului</w:t>
                  </w:r>
                  <w:r w:rsidR="00106FB1" w:rsidRPr="00C011B2">
                    <w:rPr>
                      <w:rFonts w:ascii="Times New Roman" w:hAnsi="Times New Roman" w:cs="Times New Roman"/>
                      <w:b/>
                      <w:bCs/>
                      <w:color w:val="000000" w:themeColor="text1"/>
                      <w:lang w:val="ro-MD"/>
                    </w:rPr>
                    <w:t> ◄</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566BD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7383C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0,9 %</w:t>
                  </w:r>
                </w:p>
              </w:tc>
            </w:tr>
            <w:tr w:rsidR="00106FB1" w:rsidRPr="00C011B2" w14:paraId="3AD0F8BA"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CBA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CF88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C3A1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mid-prime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FD23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29A463C1"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E2C27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4C748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02D2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sub-prime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0E2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35021628"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3A71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7D54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0F446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CMBS</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BF112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0B393D00"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18C23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DF8EF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7CBBE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valoare garantate cu active (ABS) – împrumuturi pentru studenți</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405CE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0,8 %</w:t>
                  </w:r>
                </w:p>
              </w:tc>
            </w:tr>
            <w:tr w:rsidR="00106FB1" w:rsidRPr="00C011B2" w14:paraId="6BE68D2D"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E5E11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A3DF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85FE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cărți de credit</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3468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1,2 %</w:t>
                  </w:r>
                </w:p>
              </w:tc>
            </w:tr>
            <w:tr w:rsidR="00106FB1" w:rsidRPr="00C011B2" w14:paraId="4042B177"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2DE2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D139B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A0CAA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auto</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8B04C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1,2 %</w:t>
                  </w:r>
                </w:p>
              </w:tc>
            </w:tr>
            <w:tr w:rsidR="00106FB1" w:rsidRPr="00C011B2" w14:paraId="254CF2EA"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9EF4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182D3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C9EE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Obligațiuni garantate cu </w:t>
                  </w:r>
                  <w:r w:rsidRPr="00C011B2">
                    <w:rPr>
                      <w:rFonts w:ascii="Times New Roman" w:hAnsi="Times New Roman" w:cs="Times New Roman"/>
                      <w:color w:val="000000" w:themeColor="text1"/>
                      <w:lang w:val="ro-MD"/>
                    </w:rPr>
                    <w:lastRenderedPageBreak/>
                    <w:t>împrumuturi colateralizate (CLO) neincluse în ACTP</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9F08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1,4 %</w:t>
                  </w:r>
                </w:p>
              </w:tc>
            </w:tr>
            <w:tr w:rsidR="00106FB1" w:rsidRPr="00C011B2" w14:paraId="7314C695"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FB14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FF7EF"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31"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Inferioară și nivelul 1-10 de calitate a creditului</w:t>
                  </w:r>
                  <w:r w:rsidR="00106FB1" w:rsidRPr="00C011B2">
                    <w:rPr>
                      <w:rFonts w:ascii="Times New Roman" w:hAnsi="Times New Roman" w:cs="Times New Roman"/>
                      <w:b/>
                      <w:bCs/>
                      <w:color w:val="000000" w:themeColor="text1"/>
                      <w:lang w:val="ro-MD"/>
                    </w:rPr>
                    <w:t> ◄</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A766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81B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1,125 %</w:t>
                  </w:r>
                </w:p>
              </w:tc>
            </w:tr>
            <w:tr w:rsidR="00106FB1" w:rsidRPr="00C011B2" w14:paraId="620B6EE8"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3395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8B982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589FA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mid-prime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2A0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1,875 %</w:t>
                  </w:r>
                </w:p>
              </w:tc>
            </w:tr>
            <w:tr w:rsidR="00106FB1" w:rsidRPr="00C011B2" w14:paraId="32FA53BE"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AA947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0F9A4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ECDB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sub-prime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7C91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624ABB1C"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B787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F847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888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CMBS</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F851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08E2E08F"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91B6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9C3BE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289F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împrumuturi pentru studenți</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4D24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w:t>
                  </w:r>
                </w:p>
              </w:tc>
            </w:tr>
            <w:tr w:rsidR="00106FB1" w:rsidRPr="00C011B2" w14:paraId="0B180A30"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D727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AC1E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0CEA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cărți de credit</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659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0DE8EF63"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4B8A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FC4B3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F9C0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auto</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70D6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178436B7"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346D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7AF5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EF73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CLO neincluse în ACTP</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96FD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1,75 %</w:t>
                  </w:r>
                </w:p>
              </w:tc>
            </w:tr>
            <w:tr w:rsidR="00106FB1" w:rsidRPr="00C011B2" w14:paraId="6D13DFC4"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3D96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274258"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32"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xml:space="preserve">  Nivelul 11-17 de calitate </w:t>
                  </w:r>
                  <w:r w:rsidR="00106FB1" w:rsidRPr="00C011B2">
                    <w:rPr>
                      <w:rFonts w:ascii="Times New Roman" w:hAnsi="Times New Roman" w:cs="Times New Roman"/>
                      <w:color w:val="000000" w:themeColor="text1"/>
                      <w:lang w:val="ro-MD"/>
                    </w:rPr>
                    <w:lastRenderedPageBreak/>
                    <w:t>a creditului și fără rating</w:t>
                  </w:r>
                  <w:r w:rsidR="00106FB1" w:rsidRPr="00C011B2">
                    <w:rPr>
                      <w:rFonts w:ascii="Times New Roman" w:hAnsi="Times New Roman" w:cs="Times New Roman"/>
                      <w:b/>
                      <w:bCs/>
                      <w:color w:val="000000" w:themeColor="text1"/>
                      <w:lang w:val="ro-MD"/>
                    </w:rPr>
                    <w:t> ◄</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8F73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RMBS – cu profil de risc </w:t>
                  </w:r>
                  <w:r w:rsidRPr="00C011B2">
                    <w:rPr>
                      <w:rFonts w:ascii="Times New Roman" w:hAnsi="Times New Roman" w:cs="Times New Roman"/>
                      <w:i/>
                      <w:iCs/>
                      <w:color w:val="000000" w:themeColor="text1"/>
                      <w:lang w:val="ro-MD"/>
                    </w:rPr>
                    <w:t>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1039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1,575 %</w:t>
                  </w:r>
                </w:p>
              </w:tc>
            </w:tr>
            <w:tr w:rsidR="00106FB1" w:rsidRPr="00C011B2" w14:paraId="20B6A30C"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C649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2B5DB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6975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mid-prime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D97DA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2,625 %</w:t>
                  </w:r>
                </w:p>
              </w:tc>
            </w:tr>
            <w:tr w:rsidR="00106FB1" w:rsidRPr="00C011B2" w14:paraId="71CFCBB3"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9D75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19</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E789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A9D7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sub-prime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6F5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767377B6"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C68E4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4C5A1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9BFB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CMBS</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AD67C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743A49D3"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47E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2EFDB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7F48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împrumuturi pentru studenți</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FBB42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1,4 %</w:t>
                  </w:r>
                </w:p>
              </w:tc>
            </w:tr>
            <w:tr w:rsidR="00106FB1" w:rsidRPr="00C011B2" w14:paraId="1CA156E7"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2F1CC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71267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DD610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cărți de credit</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0DD9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2,1 %</w:t>
                  </w:r>
                </w:p>
              </w:tc>
            </w:tr>
            <w:tr w:rsidR="00106FB1" w:rsidRPr="00C011B2" w14:paraId="2A13C689"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8F911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BF046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1837B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auto</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F051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2,1 %</w:t>
                  </w:r>
                </w:p>
              </w:tc>
            </w:tr>
            <w:tr w:rsidR="00106FB1" w:rsidRPr="00C011B2" w14:paraId="11E23439"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B434A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5413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C51B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CLO neincluse în ACTP</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7E0A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2,45 %</w:t>
                  </w:r>
                </w:p>
              </w:tc>
            </w:tr>
            <w:tr w:rsidR="00106FB1" w:rsidRPr="00C011B2" w14:paraId="04354E52" w14:textId="77777777" w:rsidTr="00DE2CB1">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FA221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w:t>
                  </w:r>
                </w:p>
              </w:tc>
              <w:tc>
                <w:tcPr>
                  <w:tcW w:w="287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FB56D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0ACE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bl>
          <w:p w14:paraId="225901E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AC12FE3" w14:textId="5857E08A"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71" w:name="_Hlk223093236"/>
            <w:r w:rsidRPr="00C011B2">
              <w:rPr>
                <w:rFonts w:ascii="Times New Roman" w:hAnsi="Times New Roman" w:cs="Times New Roman"/>
                <w:color w:val="000000" w:themeColor="text1"/>
                <w:lang w:val="ro-MD"/>
              </w:rPr>
              <w:lastRenderedPageBreak/>
              <w:t>291. Ponderile de risc pentru sensibilitățile la factori de risc aferenți securitizărilor riscului de marjă de credit neincluse în ACTP sunt aceleași pentru toate scadențele (0,5 ani, 1 an, 3 ani, 5 ani, 10 ani) din fiecare bandă din tabelul 7 și se specifică pentru fiecare bandă din tabelul 7:</w:t>
            </w:r>
          </w:p>
          <w:bookmarkEnd w:id="271"/>
          <w:p w14:paraId="2E4F5E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p w14:paraId="35F1F77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72" w:name="_Hlk223093284"/>
            <w:r w:rsidRPr="00C011B2">
              <w:rPr>
                <w:rFonts w:ascii="Times New Roman" w:hAnsi="Times New Roman" w:cs="Times New Roman"/>
                <w:b/>
                <w:bCs/>
                <w:i/>
                <w:iCs/>
                <w:color w:val="000000" w:themeColor="text1"/>
                <w:lang w:val="ro-MD"/>
              </w:rPr>
              <w:t>Tabelul 7</w:t>
            </w:r>
          </w:p>
          <w:tbl>
            <w:tblPr>
              <w:tblW w:w="4164"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8"/>
              <w:gridCol w:w="1275"/>
              <w:gridCol w:w="1601"/>
              <w:gridCol w:w="720"/>
            </w:tblGrid>
            <w:tr w:rsidR="00106FB1" w:rsidRPr="00C011B2" w14:paraId="38F0CA2E"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F474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Numărul benzii</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F4238"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Calitatea creditului</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C31B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FCFFDE"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70A332DF"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91B1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0BC57" w14:textId="4BFB524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Superioară și nivelul 1-10 de calitate a creditului</w:t>
                  </w:r>
                  <w:r w:rsidRPr="00C011B2">
                    <w:rPr>
                      <w:rFonts w:ascii="Times New Roman" w:hAnsi="Times New Roman" w:cs="Times New Roman"/>
                      <w:b/>
                      <w:bCs/>
                      <w:color w:val="000000" w:themeColor="text1"/>
                      <w:lang w:val="ro-MD"/>
                    </w:rPr>
                    <w:t> </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A6029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D278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0,9 %</w:t>
                  </w:r>
                </w:p>
              </w:tc>
            </w:tr>
            <w:tr w:rsidR="00106FB1" w:rsidRPr="00C011B2" w14:paraId="42D4F305"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38F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FFFAD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45EC7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mid-prime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8D17B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3DDB511E"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BF19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F001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75741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sub-prime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F2ACC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2E58EA40"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3CB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5A6BC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E4F32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CMBS</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51EF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6B013833"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F71D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5E2D3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9DCC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valoare garantate cu active (ABS) – împrumuturi pentru studenți</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981F9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0,8 %</w:t>
                  </w:r>
                </w:p>
              </w:tc>
            </w:tr>
            <w:tr w:rsidR="00106FB1" w:rsidRPr="00C011B2" w14:paraId="01BFEB08"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5F3E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FA32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11B7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cărți de credit</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7B53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1,2 %</w:t>
                  </w:r>
                </w:p>
              </w:tc>
            </w:tr>
            <w:tr w:rsidR="00106FB1" w:rsidRPr="00C011B2" w14:paraId="07706632"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8428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0D57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6BFF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auto</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8FB71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1,2 %</w:t>
                  </w:r>
                </w:p>
              </w:tc>
            </w:tr>
            <w:tr w:rsidR="00106FB1" w:rsidRPr="00C011B2" w14:paraId="7A0917A6"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D486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9F99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C1FD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Obligațiuni garantate cu împrumuturi colateralizate </w:t>
                  </w:r>
                  <w:r w:rsidRPr="00C011B2">
                    <w:rPr>
                      <w:rFonts w:ascii="Times New Roman" w:hAnsi="Times New Roman" w:cs="Times New Roman"/>
                      <w:color w:val="000000" w:themeColor="text1"/>
                      <w:lang w:val="ro-MD"/>
                    </w:rPr>
                    <w:lastRenderedPageBreak/>
                    <w:t>(CLO) neincluse în ACTP</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7216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1,4 %</w:t>
                  </w:r>
                </w:p>
              </w:tc>
            </w:tr>
            <w:tr w:rsidR="00106FB1" w:rsidRPr="00C011B2" w14:paraId="41EFE860"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DD341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428B4" w14:textId="2A78A06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Inferioară și nivelul 1-10 de calitate a creditului</w:t>
                  </w:r>
                  <w:r w:rsidRPr="00C011B2">
                    <w:rPr>
                      <w:rFonts w:ascii="Times New Roman" w:hAnsi="Times New Roman" w:cs="Times New Roman"/>
                      <w:b/>
                      <w:bCs/>
                      <w:color w:val="000000" w:themeColor="text1"/>
                      <w:lang w:val="ro-MD"/>
                    </w:rPr>
                    <w:t> </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3A4CC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9FF11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1,125 %</w:t>
                  </w:r>
                </w:p>
              </w:tc>
            </w:tr>
            <w:tr w:rsidR="00106FB1" w:rsidRPr="00C011B2" w14:paraId="2D997A3C"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B2849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94726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F607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mid-prime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52AD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1,875 %</w:t>
                  </w:r>
                </w:p>
              </w:tc>
            </w:tr>
            <w:tr w:rsidR="00106FB1" w:rsidRPr="00C011B2" w14:paraId="328FF13C"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31A7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C7E0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8B06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sub-prime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961AD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3707D079"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669E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B8C9D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23DC3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CMBS</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3790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690DE9B2"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5894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FF27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8EDB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împrumuturi pentru studenți</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1AF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w:t>
                  </w:r>
                </w:p>
              </w:tc>
            </w:tr>
            <w:tr w:rsidR="00106FB1" w:rsidRPr="00C011B2" w14:paraId="21FD4EDD"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B4E0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DE9E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83A1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cărți de credit</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14AB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756AE222"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C7471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EBF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03A24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auto</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54F2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316A8D2F"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2378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C7FAC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ED410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CLO neincluse în ACTP</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E43FA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1,75 %</w:t>
                  </w:r>
                </w:p>
              </w:tc>
            </w:tr>
            <w:tr w:rsidR="00106FB1" w:rsidRPr="00C011B2" w14:paraId="5F86F12F"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721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32537" w14:textId="79E2F29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Nivelul 11-17 de calitate a creditului și fără rating</w:t>
                  </w:r>
                  <w:r w:rsidRPr="00C011B2">
                    <w:rPr>
                      <w:rFonts w:ascii="Times New Roman" w:hAnsi="Times New Roman" w:cs="Times New Roman"/>
                      <w:b/>
                      <w:bCs/>
                      <w:color w:val="000000" w:themeColor="text1"/>
                      <w:lang w:val="ro-MD"/>
                    </w:rPr>
                    <w:t> </w:t>
                  </w: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077A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E54B5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1,575 %</w:t>
                  </w:r>
                </w:p>
              </w:tc>
            </w:tr>
            <w:tr w:rsidR="00106FB1" w:rsidRPr="00C011B2" w14:paraId="77C6CFB3"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F8FF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18</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A29BD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09DC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mid-prime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F0E67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2,625 %</w:t>
                  </w:r>
                </w:p>
              </w:tc>
            </w:tr>
            <w:tr w:rsidR="00106FB1" w:rsidRPr="00C011B2" w14:paraId="62017ED9"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1B101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19</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46461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C79A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RMBS – cu profil de risc </w:t>
                  </w:r>
                  <w:r w:rsidRPr="00C011B2">
                    <w:rPr>
                      <w:rFonts w:ascii="Times New Roman" w:hAnsi="Times New Roman" w:cs="Times New Roman"/>
                      <w:i/>
                      <w:iCs/>
                      <w:color w:val="000000" w:themeColor="text1"/>
                      <w:lang w:val="ro-MD"/>
                    </w:rPr>
                    <w:t>sub-prime</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D3376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442B68D5"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C448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8D55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A1F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CMBS</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68590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020C7FA3"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19BA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9E360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8C9AB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împrumuturi pentru studenți</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934D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1,4 %</w:t>
                  </w:r>
                </w:p>
              </w:tc>
            </w:tr>
            <w:tr w:rsidR="00106FB1" w:rsidRPr="00C011B2" w14:paraId="1427AD36"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942C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D4308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56802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cărți de credit</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7F8BE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2,1 %</w:t>
                  </w:r>
                </w:p>
              </w:tc>
            </w:tr>
            <w:tr w:rsidR="00106FB1" w:rsidRPr="00C011B2" w14:paraId="412F43CA"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2CA7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8B8F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7C7B2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ABS – auto</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8C589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2,1 %</w:t>
                  </w:r>
                </w:p>
              </w:tc>
            </w:tr>
            <w:tr w:rsidR="00106FB1" w:rsidRPr="00C011B2" w14:paraId="2B76002E"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4879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w:t>
                  </w: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62151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F6A2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CLO neincluse în ACTP</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27EB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2,45 %</w:t>
                  </w:r>
                </w:p>
              </w:tc>
            </w:tr>
            <w:tr w:rsidR="00106FB1" w:rsidRPr="00C011B2" w14:paraId="2B7C612B" w14:textId="77777777" w:rsidTr="001E785F">
              <w:trPr>
                <w:jc w:val="center"/>
              </w:trPr>
              <w:tc>
                <w:tcPr>
                  <w:tcW w:w="5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1AE9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w:t>
                  </w:r>
                </w:p>
              </w:tc>
              <w:tc>
                <w:tcPr>
                  <w:tcW w:w="287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3B47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7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EE27D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bookmarkEnd w:id="272"/>
          </w:tbl>
          <w:p w14:paraId="4BAA5F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6226F227" w14:textId="4BDDC570"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Parțial compatibil</w:t>
            </w:r>
          </w:p>
        </w:tc>
        <w:tc>
          <w:tcPr>
            <w:tcW w:w="1261" w:type="pct"/>
          </w:tcPr>
          <w:p w14:paraId="0B24B9FB" w14:textId="15EC3AB9"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Trimiterea la actului delegat menționat la articolul 461a nu a fost transpusă, deoarece actul delegat privind aplicarea unor măsuri de ajutor operaţional specifice sau a unor multiplicatori specifici cel puţin egali cu 0 și mai mici decât 1 la calcularea cerinţelor de fonduri proprii ale instituţiilor pentru riscul de piaţă, pentru clase de risc </w:t>
            </w:r>
            <w:r w:rsidRPr="00C011B2">
              <w:rPr>
                <w:rFonts w:ascii="Times New Roman" w:hAnsi="Times New Roman" w:cs="Times New Roman"/>
                <w:color w:val="000000" w:themeColor="text1"/>
                <w:lang w:val="ro-MD"/>
              </w:rPr>
              <w:lastRenderedPageBreak/>
              <w:t>specifice și pentru factori de risc specific încă nu a fost elaborat de ABE.</w:t>
            </w:r>
          </w:p>
        </w:tc>
      </w:tr>
      <w:tr w:rsidR="00106FB1" w:rsidRPr="00C011B2" w14:paraId="1BB745D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DE1FCFE"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33" w:tooltip="32019R0876: INSERTED" w:history="1">
              <w:r w:rsidR="00106FB1" w:rsidRPr="00C011B2">
                <w:rPr>
                  <w:rStyle w:val="Hyperlink"/>
                  <w:rFonts w:ascii="Times New Roman" w:hAnsi="Times New Roman" w:cs="Times New Roman"/>
                  <w:b/>
                  <w:bCs/>
                  <w:lang w:val="ro-MD"/>
                </w:rPr>
                <w:t>▼M8</w:t>
              </w:r>
            </w:hyperlink>
          </w:p>
          <w:p w14:paraId="76A10218" w14:textId="5742BF2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Atunci când atribuie o expunere la risc unui sector, instituțiile se bazează pe o clasificare care este utilizată în mod curent pe piață pentru gruparea emitenților în funcție de sector. Instituțiile încadrează fiecare tranșă într-una din benzile sectoriale din tabelul 7. Expunerile la risc provenind din orice tranșă, pe care o instituție nu le poate atribui unui anumit sector în acest mod, sunt încadrate în banda 25.</w:t>
            </w:r>
          </w:p>
        </w:tc>
        <w:tc>
          <w:tcPr>
            <w:tcW w:w="1692" w:type="pct"/>
            <w:shd w:val="clear" w:color="auto" w:fill="auto"/>
          </w:tcPr>
          <w:p w14:paraId="5DA86937" w14:textId="12822FE7" w:rsidR="00106FB1" w:rsidRPr="00C011B2" w:rsidRDefault="00106FB1" w:rsidP="00106FB1">
            <w:pPr>
              <w:spacing w:after="0" w:line="276" w:lineRule="auto"/>
              <w:jc w:val="both"/>
              <w:rPr>
                <w:rFonts w:ascii="Times New Roman" w:hAnsi="Times New Roman" w:cs="Times New Roman"/>
                <w:b/>
                <w:bCs/>
                <w:color w:val="000000" w:themeColor="text1"/>
                <w:lang w:val="ro-MD"/>
              </w:rPr>
            </w:pPr>
          </w:p>
          <w:p w14:paraId="19DA3E2B" w14:textId="25F102F0"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73" w:name="_Hlk223093442"/>
            <w:r w:rsidRPr="00C011B2">
              <w:rPr>
                <w:rFonts w:ascii="Times New Roman" w:hAnsi="Times New Roman" w:cs="Times New Roman"/>
                <w:color w:val="000000" w:themeColor="text1"/>
                <w:lang w:val="ro-MD"/>
              </w:rPr>
              <w:t>292.   Atunci când atribuie o expunere la risc unui sector, băncile se bazează pe o clasificare care este utilizată în mod curent pe piață pentru gruparea emitenților în funcție de sector. Băncile încadrează fiecare tranșă într-una din benzile sectoriale din tabelul 7. Expunerile la risc provenind din orice tranșă, pe care o bancă nu le poate atribui unui anumit sector în acest mod, sunt încadrate în banda 25.</w:t>
            </w:r>
            <w:bookmarkEnd w:id="273"/>
          </w:p>
        </w:tc>
        <w:tc>
          <w:tcPr>
            <w:tcW w:w="450" w:type="pct"/>
          </w:tcPr>
          <w:p w14:paraId="648FBD61" w14:textId="097658D9"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9611032"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02D405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72D2AC"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34" w:tooltip="32024R1623: INSERTED" w:history="1">
              <w:r w:rsidR="00106FB1" w:rsidRPr="00C011B2">
                <w:rPr>
                  <w:rStyle w:val="Hyperlink"/>
                  <w:rFonts w:ascii="Times New Roman" w:hAnsi="Times New Roman" w:cs="Times New Roman"/>
                  <w:b/>
                  <w:bCs/>
                  <w:lang w:val="ro-MD"/>
                </w:rPr>
                <w:t>▼M17</w:t>
              </w:r>
            </w:hyperlink>
          </w:p>
          <w:p w14:paraId="0E979611" w14:textId="202AE23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În sensul prezentului articol, unei expuneri i se atribuie categoria de calitate a creditului corespunzătoare categoriei de calitate a creditului pe care ar urma să o primească în conformitate cu abordarea bazată pe modele externe de rating prevăzută în titlul II capitolul 5.</w:t>
            </w:r>
          </w:p>
        </w:tc>
        <w:tc>
          <w:tcPr>
            <w:tcW w:w="1692" w:type="pct"/>
            <w:shd w:val="clear" w:color="auto" w:fill="auto"/>
          </w:tcPr>
          <w:p w14:paraId="493E531E" w14:textId="2A0A876E" w:rsidR="00106FB1" w:rsidRPr="00C011B2" w:rsidRDefault="00106FB1" w:rsidP="00106FB1">
            <w:pPr>
              <w:spacing w:after="0" w:line="276" w:lineRule="auto"/>
              <w:jc w:val="both"/>
              <w:rPr>
                <w:rFonts w:ascii="Times New Roman" w:hAnsi="Times New Roman" w:cs="Times New Roman"/>
                <w:b/>
                <w:bCs/>
                <w:color w:val="000000" w:themeColor="text1"/>
                <w:lang w:val="ro-MD"/>
              </w:rPr>
            </w:pPr>
          </w:p>
          <w:p w14:paraId="6864C0B9" w14:textId="31756115"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74" w:name="_Hlk223093464"/>
            <w:r w:rsidRPr="00C011B2">
              <w:rPr>
                <w:rFonts w:ascii="Times New Roman" w:hAnsi="Times New Roman" w:cs="Times New Roman"/>
                <w:color w:val="000000" w:themeColor="text1"/>
                <w:lang w:val="ro-MD"/>
              </w:rPr>
              <w:lastRenderedPageBreak/>
              <w:t>293.   În sensul prezentului paragraf, unei expuneri i se atribuie categoria de calitate a creditului corespunzătoare categoriei de calitate a creditului pe care ar urma să o primească în conformitate cu abordarea bazată pe modele externe de rating prevăzută în Regulamentul nr.221/2025 privind tratamentul prudenţial al securitizărilor.</w:t>
            </w:r>
            <w:bookmarkEnd w:id="274"/>
          </w:p>
        </w:tc>
        <w:tc>
          <w:tcPr>
            <w:tcW w:w="450" w:type="pct"/>
          </w:tcPr>
          <w:p w14:paraId="7C425C09" w14:textId="0514358C"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8D1B584"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1F5AF1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C2AD78"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35" w:tooltip="32019R0876: INSERTED" w:history="1">
              <w:r w:rsidR="00106FB1" w:rsidRPr="00C011B2">
                <w:rPr>
                  <w:rStyle w:val="Hyperlink"/>
                  <w:rFonts w:ascii="Times New Roman" w:hAnsi="Times New Roman" w:cs="Times New Roman"/>
                  <w:b/>
                  <w:bCs/>
                  <w:lang w:val="ro-MD"/>
                </w:rPr>
                <w:t>▼M8</w:t>
              </w:r>
            </w:hyperlink>
          </w:p>
          <w:p w14:paraId="0E85D420"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325an</w:t>
            </w:r>
          </w:p>
          <w:p w14:paraId="352745FA" w14:textId="02AA276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din cadrul unei benzi pentru securitizările riscului de marjă de credit neincluse în ACTP</w:t>
            </w:r>
          </w:p>
        </w:tc>
        <w:tc>
          <w:tcPr>
            <w:tcW w:w="1692" w:type="pct"/>
            <w:shd w:val="clear" w:color="auto" w:fill="auto"/>
          </w:tcPr>
          <w:p w14:paraId="1E39F66A" w14:textId="2813ACDE" w:rsidR="00106FB1" w:rsidRPr="00C011B2" w:rsidRDefault="00106FB1" w:rsidP="00106FB1">
            <w:pPr>
              <w:spacing w:after="0" w:line="276" w:lineRule="auto"/>
              <w:jc w:val="both"/>
              <w:rPr>
                <w:rFonts w:ascii="Times New Roman" w:hAnsi="Times New Roman" w:cs="Times New Roman"/>
                <w:i/>
                <w:iCs/>
                <w:color w:val="000000" w:themeColor="text1"/>
                <w:lang w:val="ro-MD"/>
              </w:rPr>
            </w:pPr>
            <w:bookmarkStart w:id="275" w:name="_Hlk195098004"/>
            <w:bookmarkStart w:id="276" w:name="_Hlk223093508"/>
            <w:r w:rsidRPr="00C011B2">
              <w:rPr>
                <w:rFonts w:ascii="Times New Roman" w:hAnsi="Times New Roman" w:cs="Times New Roman"/>
                <w:i/>
                <w:iCs/>
                <w:color w:val="000000" w:themeColor="text1"/>
                <w:lang w:val="ro-MD"/>
              </w:rPr>
              <w:t xml:space="preserve">Paragraful 10. </w:t>
            </w:r>
          </w:p>
          <w:p w14:paraId="3EB45705" w14:textId="30AEFB2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din cadrul unei benzi pentru securitizările riscului de marjă de credit neincluse în ACTP</w:t>
            </w:r>
            <w:bookmarkEnd w:id="275"/>
            <w:bookmarkEnd w:id="276"/>
          </w:p>
        </w:tc>
        <w:tc>
          <w:tcPr>
            <w:tcW w:w="450" w:type="pct"/>
          </w:tcPr>
          <w:p w14:paraId="277B346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3C974317"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7348B6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4EF127B" w14:textId="0FAD924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cadrul aceleiași benzi,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stabilește după cum urmează:</w:t>
            </w:r>
          </w:p>
          <w:p w14:paraId="52A4BEB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(tranșă)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p>
          <w:p w14:paraId="1536527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600792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(tranșă)</w:t>
            </w:r>
            <w:r w:rsidRPr="00C011B2">
              <w:rPr>
                <w:rFonts w:ascii="Times New Roman" w:hAnsi="Times New Roman" w:cs="Times New Roman"/>
                <w:color w:val="000000" w:themeColor="text1"/>
                <w:lang w:val="ro-MD"/>
              </w:rPr>
              <w:t> este egal cu 1 atunci când cele două nume ale sensibilităților „k” și „l” sunt incluse în aceeași bandă și corespund aceleiași tranșe din securitizare (o suprapunere de peste 80 % în termeni noționali), iar în caz contrar cu 40 %;</w:t>
            </w:r>
          </w:p>
          <w:p w14:paraId="1D9D52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este egal cu 1 atunci când cele două puncte ale sensibilităților „k” și „l” sunt identice, iar în caz contrar cu 80 %; și</w:t>
            </w:r>
          </w:p>
          <w:p w14:paraId="771C677E" w14:textId="10D1F1E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 cu 1 atunci când cele două sensibilități corespund acelorași curbe, iar în caz contrar cu 99,90 %.</w:t>
            </w:r>
          </w:p>
        </w:tc>
        <w:tc>
          <w:tcPr>
            <w:tcW w:w="1692" w:type="pct"/>
            <w:shd w:val="clear" w:color="auto" w:fill="auto"/>
          </w:tcPr>
          <w:p w14:paraId="43E6CFCE" w14:textId="15DB94CC"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77" w:name="_Hlk223093556"/>
            <w:r w:rsidRPr="00C011B2">
              <w:rPr>
                <w:rFonts w:ascii="Times New Roman" w:hAnsi="Times New Roman" w:cs="Times New Roman"/>
                <w:color w:val="000000" w:themeColor="text1"/>
                <w:lang w:val="ro-MD"/>
              </w:rPr>
              <w:lastRenderedPageBreak/>
              <w:t>294.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cadrul aceleiași benzi,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stabilește după cum urmează:</w:t>
            </w:r>
          </w:p>
          <w:p w14:paraId="08BEDF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(tranșă)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p>
          <w:p w14:paraId="1D86F2F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5D24A6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(tranșă)</w:t>
            </w:r>
            <w:r w:rsidRPr="00C011B2">
              <w:rPr>
                <w:rFonts w:ascii="Times New Roman" w:hAnsi="Times New Roman" w:cs="Times New Roman"/>
                <w:color w:val="000000" w:themeColor="text1"/>
                <w:lang w:val="ro-MD"/>
              </w:rPr>
              <w:t> este egal cu 1 atunci când cele două nume ale sensibilităților „k” și „l” sunt incluse în aceeași bandă și corespund aceleiași tranșe din securitizare (o suprapunere de peste 80 % în termeni noționali), iar în caz contrar cu 40 %;</w:t>
            </w:r>
          </w:p>
          <w:p w14:paraId="6221FC5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este egal cu 1 atunci când cele două puncte ale sensibilităților „k” și „l” sunt identice, iar în caz contrar cu 80 %; și</w:t>
            </w:r>
          </w:p>
          <w:p w14:paraId="17BB48EF" w14:textId="4CD9AAA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 cu 1 atunci când cele două sensibilități corespund acelorași curbe, iar în caz contrar cu 99,90 %.</w:t>
            </w:r>
            <w:bookmarkEnd w:id="277"/>
          </w:p>
        </w:tc>
        <w:tc>
          <w:tcPr>
            <w:tcW w:w="450" w:type="pct"/>
          </w:tcPr>
          <w:p w14:paraId="06E9AB8E" w14:textId="0D8801F5"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D6718F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727F44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DF39BA" w14:textId="020A15E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Parametrii de corelație menționați la alineatul (1) nu se aplică benzii 25 din tabelul 7 din articolul 325am alineatul (1). Cerința de fonduri proprii pentru formula de agregare a riscului delta din cadrul benzii 25 este egală cu suma valorilor absolute ale sensibilităților nete ponderate atribuite benzii respective:</w:t>
            </w:r>
          </w:p>
          <w:p w14:paraId="142A517F" w14:textId="57F6D7A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EC1C6DD" wp14:editId="3D0CCA58">
                  <wp:extent cx="2317750" cy="584200"/>
                  <wp:effectExtent l="0" t="0" r="6350" b="6350"/>
                  <wp:docPr id="61" name="Picture 6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tc>
        <w:tc>
          <w:tcPr>
            <w:tcW w:w="1692" w:type="pct"/>
            <w:shd w:val="clear" w:color="auto" w:fill="auto"/>
          </w:tcPr>
          <w:p w14:paraId="5575CDB2" w14:textId="0A8818A3"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78" w:name="_Hlk223093591"/>
            <w:r w:rsidRPr="00C011B2">
              <w:rPr>
                <w:rFonts w:ascii="Times New Roman" w:hAnsi="Times New Roman" w:cs="Times New Roman"/>
                <w:color w:val="000000" w:themeColor="text1"/>
                <w:lang w:val="ro-MD"/>
              </w:rPr>
              <w:t>295.   Parametrii de corelație menționați la pct.294 nu se aplică benzii 25 din tabelul 7 dinpct.291. Cerința de fonduri proprii pentru formula de agregare a riscului delta din cadrul benzii 25 este egală cu suma valorilor absolute ale sensibilităților nete ponderate atribuite benzii respective:</w:t>
            </w:r>
          </w:p>
          <w:bookmarkEnd w:id="278"/>
          <w:p w14:paraId="36851EDF" w14:textId="2361028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BA9C45C" wp14:editId="1ADEF1CA">
                  <wp:extent cx="2317750" cy="584200"/>
                  <wp:effectExtent l="0" t="0" r="6350" b="6350"/>
                  <wp:docPr id="162" name="Picture 1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tc>
        <w:tc>
          <w:tcPr>
            <w:tcW w:w="450" w:type="pct"/>
          </w:tcPr>
          <w:p w14:paraId="2BFE3185" w14:textId="17D35CB0"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1BE935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653181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9585A37"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325ao</w:t>
            </w:r>
          </w:p>
          <w:p w14:paraId="54761572" w14:textId="43E368BA"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securitizările riscului de marjă de credit neincluse în ACTP</w:t>
            </w:r>
          </w:p>
        </w:tc>
        <w:tc>
          <w:tcPr>
            <w:tcW w:w="1692" w:type="pct"/>
            <w:shd w:val="clear" w:color="auto" w:fill="auto"/>
          </w:tcPr>
          <w:p w14:paraId="75EE893A" w14:textId="2225C9B5" w:rsidR="00106FB1" w:rsidRPr="00C011B2" w:rsidRDefault="00106FB1" w:rsidP="00106FB1">
            <w:pPr>
              <w:spacing w:after="0" w:line="276" w:lineRule="auto"/>
              <w:jc w:val="both"/>
              <w:rPr>
                <w:rFonts w:ascii="Times New Roman" w:hAnsi="Times New Roman" w:cs="Times New Roman"/>
                <w:i/>
                <w:iCs/>
                <w:color w:val="000000" w:themeColor="text1"/>
                <w:lang w:val="ro-MD"/>
              </w:rPr>
            </w:pPr>
            <w:bookmarkStart w:id="279" w:name="_Hlk195098034"/>
            <w:bookmarkStart w:id="280" w:name="_Hlk223093630"/>
            <w:r w:rsidRPr="00C011B2">
              <w:rPr>
                <w:rFonts w:ascii="Times New Roman" w:hAnsi="Times New Roman" w:cs="Times New Roman"/>
                <w:i/>
                <w:iCs/>
                <w:color w:val="000000" w:themeColor="text1"/>
                <w:lang w:val="ro-MD"/>
              </w:rPr>
              <w:t xml:space="preserve">Paragraful 11. </w:t>
            </w:r>
          </w:p>
          <w:p w14:paraId="51218B88" w14:textId="5B1374C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securitizările riscului de marjă de credit neincluse în ACTP</w:t>
            </w:r>
            <w:bookmarkEnd w:id="279"/>
            <w:bookmarkEnd w:id="280"/>
          </w:p>
        </w:tc>
        <w:tc>
          <w:tcPr>
            <w:tcW w:w="450" w:type="pct"/>
          </w:tcPr>
          <w:p w14:paraId="0EF2C77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12D9BDCD"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14173B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AE031EE" w14:textId="09419F5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Parametrul de corelație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se aplică agregării sensibilităților între diferite benzi și este stabilit la 0 %.</w:t>
            </w:r>
          </w:p>
        </w:tc>
        <w:tc>
          <w:tcPr>
            <w:tcW w:w="1692" w:type="pct"/>
            <w:shd w:val="clear" w:color="auto" w:fill="auto"/>
          </w:tcPr>
          <w:p w14:paraId="45E85ABE" w14:textId="1EB7E9D7"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81" w:name="_Hlk223093651"/>
            <w:r w:rsidRPr="00C011B2">
              <w:rPr>
                <w:rFonts w:ascii="Times New Roman" w:hAnsi="Times New Roman" w:cs="Times New Roman"/>
                <w:color w:val="000000" w:themeColor="text1"/>
                <w:lang w:val="ro-MD"/>
              </w:rPr>
              <w:t>296.   Parametrul de corelație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se aplică agregării sensibilităților între diferite benzi și este stabilit la 0 %.</w:t>
            </w:r>
            <w:bookmarkEnd w:id="281"/>
          </w:p>
        </w:tc>
        <w:tc>
          <w:tcPr>
            <w:tcW w:w="450" w:type="pct"/>
          </w:tcPr>
          <w:p w14:paraId="7DEDF859" w14:textId="23722DCA"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D5D598E"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A61E78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B8245BB" w14:textId="5246102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Cerința de fonduri proprii pentru banda 25 se adaugă la capitalul global calculat la nivelul clasei de risc, nefiind recunoscute efectele diversificării sau ale acoperirii cu nicio altă bandă.</w:t>
            </w:r>
          </w:p>
        </w:tc>
        <w:tc>
          <w:tcPr>
            <w:tcW w:w="1692" w:type="pct"/>
            <w:shd w:val="clear" w:color="auto" w:fill="auto"/>
          </w:tcPr>
          <w:p w14:paraId="0FB9E204" w14:textId="1092A2B8"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82" w:name="_Hlk223093668"/>
            <w:r w:rsidRPr="00C011B2">
              <w:rPr>
                <w:rFonts w:ascii="Times New Roman" w:hAnsi="Times New Roman" w:cs="Times New Roman"/>
                <w:color w:val="000000" w:themeColor="text1"/>
                <w:lang w:val="ro-MD"/>
              </w:rPr>
              <w:t>297.   Cerința de fonduri proprii pentru banda 25 se adaugă la capitalul global calculat la nivelul clasei de risc, nefiind recunoscute efectele diversificării sau ale acoperirii cu nicio altă bandă.</w:t>
            </w:r>
            <w:bookmarkEnd w:id="282"/>
          </w:p>
        </w:tc>
        <w:tc>
          <w:tcPr>
            <w:tcW w:w="450" w:type="pct"/>
          </w:tcPr>
          <w:p w14:paraId="69206714" w14:textId="3EF07715" w:rsidR="00106FB1" w:rsidRPr="00C011B2" w:rsidRDefault="009C2D8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B1F49E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83677C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5C07ADF"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325ap</w:t>
            </w:r>
          </w:p>
          <w:p w14:paraId="247B6ADA" w14:textId="36AF89F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riscul de devalorizare a titlurilor de capital</w:t>
            </w:r>
          </w:p>
        </w:tc>
        <w:tc>
          <w:tcPr>
            <w:tcW w:w="1692" w:type="pct"/>
            <w:shd w:val="clear" w:color="auto" w:fill="auto"/>
          </w:tcPr>
          <w:p w14:paraId="41F760CE" w14:textId="64791681" w:rsidR="00106FB1" w:rsidRPr="00C011B2" w:rsidRDefault="00106FB1" w:rsidP="00106FB1">
            <w:pPr>
              <w:spacing w:after="0" w:line="276" w:lineRule="auto"/>
              <w:jc w:val="both"/>
              <w:rPr>
                <w:rFonts w:ascii="Times New Roman" w:hAnsi="Times New Roman" w:cs="Times New Roman"/>
                <w:i/>
                <w:iCs/>
                <w:color w:val="000000" w:themeColor="text1"/>
                <w:lang w:val="ro-MD"/>
              </w:rPr>
            </w:pPr>
            <w:bookmarkStart w:id="283" w:name="_Hlk195098056"/>
            <w:bookmarkStart w:id="284" w:name="_Hlk223093687"/>
            <w:r w:rsidRPr="00C011B2">
              <w:rPr>
                <w:rFonts w:ascii="Times New Roman" w:hAnsi="Times New Roman" w:cs="Times New Roman"/>
                <w:i/>
                <w:iCs/>
                <w:color w:val="000000" w:themeColor="text1"/>
                <w:lang w:val="ro-MD"/>
              </w:rPr>
              <w:t xml:space="preserve">Paragraful 12. </w:t>
            </w:r>
          </w:p>
          <w:p w14:paraId="2DBEFB92" w14:textId="4A4984A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riscul de devalorizare a titlurilor de capital</w:t>
            </w:r>
            <w:bookmarkEnd w:id="283"/>
            <w:bookmarkEnd w:id="284"/>
          </w:p>
        </w:tc>
        <w:tc>
          <w:tcPr>
            <w:tcW w:w="450" w:type="pct"/>
          </w:tcPr>
          <w:p w14:paraId="12C5E9B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4DA46EA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128A213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E4ED8E6" w14:textId="6BED16B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Ponderile de risc pentru sensibilitățile la factori de risc de devalorizare a titlurilor de capital și de risc de rată repo a titlurilor de capital se specifică pentru fiecare bandă din tabelul 8 în temeiul actului delegat menționat la articolul 461a:</w:t>
            </w:r>
          </w:p>
          <w:p w14:paraId="12B67314" w14:textId="2842B8E8"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37" w:tooltip="32021R0424: REPLACED" w:history="1">
              <w:r w:rsidR="00106FB1" w:rsidRPr="00C011B2">
                <w:rPr>
                  <w:rStyle w:val="Hyperlink"/>
                  <w:rFonts w:ascii="Times New Roman" w:hAnsi="Times New Roman" w:cs="Times New Roman"/>
                  <w:b/>
                  <w:bCs/>
                  <w:lang w:val="ro-MD"/>
                </w:rPr>
                <w:t>▼M12</w:t>
              </w:r>
            </w:hyperlink>
          </w:p>
          <w:p w14:paraId="7C697F0F"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8</w:t>
            </w:r>
          </w:p>
          <w:tbl>
            <w:tblPr>
              <w:tblW w:w="483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24"/>
              <w:gridCol w:w="992"/>
              <w:gridCol w:w="993"/>
              <w:gridCol w:w="992"/>
              <w:gridCol w:w="567"/>
              <w:gridCol w:w="671"/>
            </w:tblGrid>
            <w:tr w:rsidR="00106FB1" w:rsidRPr="00C011B2" w14:paraId="0888DBD0"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C5683" w14:textId="484F4268"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CFC75F"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Capitalizarea de piață</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02AA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Economia</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129C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C7A5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 pentru prețul spot al titlurilor de capital</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6EBE5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 pentru rata repo a titlurilor de capital</w:t>
                  </w:r>
                </w:p>
              </w:tc>
            </w:tr>
            <w:tr w:rsidR="00106FB1" w:rsidRPr="00C011B2" w14:paraId="6B1091D3"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563A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ABB9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Ridicată</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FD5E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de piață emergentă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EA5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Bunuri și servicii pentru consumatori, </w:t>
                  </w:r>
                  <w:r w:rsidRPr="00C011B2">
                    <w:rPr>
                      <w:rFonts w:ascii="Times New Roman" w:hAnsi="Times New Roman" w:cs="Times New Roman"/>
                      <w:color w:val="000000" w:themeColor="text1"/>
                      <w:lang w:val="ro-MD"/>
                    </w:rPr>
                    <w:lastRenderedPageBreak/>
                    <w:t>transport și depozitare, servicii administrative și activități de sprijin, asistență medicală, utilități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543A9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7D84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0,55 %</w:t>
                  </w:r>
                </w:p>
              </w:tc>
            </w:tr>
            <w:tr w:rsidR="00106FB1" w:rsidRPr="00C011B2" w14:paraId="2B01D12D"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B745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FD0CD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E3098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022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Telecomunicații, produse industriale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93E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ED65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0,60 %</w:t>
                  </w:r>
                </w:p>
              </w:tc>
            </w:tr>
            <w:tr w:rsidR="00106FB1" w:rsidRPr="00C011B2" w14:paraId="302A7062"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C271B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90F5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30042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1BA08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B72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D2F4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0,45 %</w:t>
                  </w:r>
                </w:p>
              </w:tc>
            </w:tr>
            <w:tr w:rsidR="00106FB1" w:rsidRPr="00C011B2" w14:paraId="09985577"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263A0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D74B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C262B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52246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Societăți financiare, inclusiv societăți financiare susținute de guvern, activități imobiliare, tehnologie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C65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E35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0,55 %</w:t>
                  </w:r>
                </w:p>
              </w:tc>
            </w:tr>
            <w:tr w:rsidR="00106FB1" w:rsidRPr="00C011B2" w14:paraId="11AA7FEF"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373E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5204D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906E1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avansată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DD4FB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Bunuri și servicii pentru consumatori, transport și depozitare, servicii administrative și activități de sprijin, asistență </w:t>
                  </w:r>
                  <w:r w:rsidRPr="00C011B2">
                    <w:rPr>
                      <w:rFonts w:ascii="Times New Roman" w:hAnsi="Times New Roman" w:cs="Times New Roman"/>
                      <w:color w:val="000000" w:themeColor="text1"/>
                      <w:lang w:val="ro-MD"/>
                    </w:rPr>
                    <w:lastRenderedPageBreak/>
                    <w:t>medicală, utilități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7D8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4F48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0,30 %</w:t>
                  </w:r>
                </w:p>
              </w:tc>
            </w:tr>
            <w:tr w:rsidR="00106FB1" w:rsidRPr="00C011B2" w14:paraId="04DBF1DC"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FAA8C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2A84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19072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33EC2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Telecomunicații, produse industriale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F7B2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989D6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0,35 %</w:t>
                  </w:r>
                </w:p>
              </w:tc>
            </w:tr>
            <w:tr w:rsidR="00106FB1" w:rsidRPr="00C011B2" w14:paraId="29BD111B"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A2C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DDE7C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12B6C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AF4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8442D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479A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0,40 %</w:t>
                  </w:r>
                </w:p>
              </w:tc>
            </w:tr>
            <w:tr w:rsidR="00106FB1" w:rsidRPr="00C011B2" w14:paraId="4E2AAEEC"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460D2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7465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638D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C6A0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Societăți financiare, inclusiv societăți financiare susținute de guvern, activități </w:t>
                  </w:r>
                  <w:r w:rsidRPr="00C011B2">
                    <w:rPr>
                      <w:rFonts w:ascii="Times New Roman" w:hAnsi="Times New Roman" w:cs="Times New Roman"/>
                      <w:color w:val="000000" w:themeColor="text1"/>
                      <w:lang w:val="ro-MD"/>
                    </w:rPr>
                    <w:lastRenderedPageBreak/>
                    <w:t>imobiliare, tehnologie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ECE8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980CA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0,50 %</w:t>
                  </w:r>
                </w:p>
              </w:tc>
            </w:tr>
            <w:tr w:rsidR="00106FB1" w:rsidRPr="00C011B2" w14:paraId="0FBD4659"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85739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AF67B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Scăzută</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2B33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de piață emergentă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547B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 sectoarele descrise la benzile 1, 2, 3 și 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C363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9429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0,70 %</w:t>
                  </w:r>
                </w:p>
              </w:tc>
            </w:tr>
            <w:tr w:rsidR="00106FB1" w:rsidRPr="00C011B2" w14:paraId="6FEA5800"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0787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5AF0B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D12A7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avansată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57FC5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 sectoarele descrise la benzile 5, 6, 7 și 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7864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34DB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0,50 %</w:t>
                  </w:r>
                </w:p>
              </w:tc>
            </w:tr>
            <w:tr w:rsidR="00106FB1" w:rsidRPr="00C011B2" w14:paraId="06E6D373"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3EDA0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297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3E48A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71FC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A72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0,70 %</w:t>
                  </w:r>
                </w:p>
              </w:tc>
            </w:tr>
            <w:tr w:rsidR="00106FB1" w:rsidRPr="00C011B2" w14:paraId="7E758279"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A99D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297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FD07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 pentru capitalizare de piață ridicată, într-o economie avansată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55DA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E6FC9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0,15 %</w:t>
                  </w:r>
                </w:p>
              </w:tc>
            </w:tr>
            <w:tr w:rsidR="00106FB1" w:rsidRPr="00C011B2" w14:paraId="4BB532B2" w14:textId="77777777" w:rsidTr="00941C8E">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B56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297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DC6BF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indici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2645E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3CB9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0,25 %</w:t>
                  </w:r>
                </w:p>
              </w:tc>
            </w:tr>
          </w:tbl>
          <w:p w14:paraId="5AB9720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0173790E" w14:textId="6EF14794"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85" w:name="_Hlk223093761"/>
            <w:r w:rsidRPr="00C011B2">
              <w:rPr>
                <w:rFonts w:ascii="Times New Roman" w:hAnsi="Times New Roman" w:cs="Times New Roman"/>
                <w:color w:val="000000" w:themeColor="text1"/>
                <w:lang w:val="ro-MD"/>
              </w:rPr>
              <w:lastRenderedPageBreak/>
              <w:t>298.   Ponderile de risc pentru sensibilitățile la factori de risc de devalorizare a titlurilor de capital și de risc de rată repo a titlurilor de capital se specifică pentru fiecare bandă din tabelul 8</w:t>
            </w:r>
            <w:r w:rsidR="004F1FF3" w:rsidRPr="00C011B2">
              <w:rPr>
                <w:rFonts w:ascii="Times New Roman" w:hAnsi="Times New Roman" w:cs="Times New Roman"/>
                <w:color w:val="000000" w:themeColor="text1"/>
                <w:lang w:val="ro-MD"/>
              </w:rPr>
              <w:t xml:space="preserve"> </w:t>
            </w:r>
            <w:bookmarkStart w:id="286" w:name="_Hlk223623953"/>
            <w:r w:rsidR="004F1FF3" w:rsidRPr="00C011B2">
              <w:rPr>
                <w:rFonts w:ascii="Times New Roman" w:hAnsi="Times New Roman" w:cs="Times New Roman"/>
                <w:color w:val="000000" w:themeColor="text1"/>
                <w:lang w:val="ro-MD"/>
              </w:rPr>
              <w:t>și în conformitate cu anexa nr.</w:t>
            </w:r>
            <w:r w:rsidR="000C5E54" w:rsidRPr="00C011B2">
              <w:rPr>
                <w:rFonts w:ascii="Times New Roman" w:hAnsi="Times New Roman" w:cs="Times New Roman"/>
                <w:color w:val="000000" w:themeColor="text1"/>
                <w:lang w:val="ro-MD"/>
              </w:rPr>
              <w:t>3</w:t>
            </w:r>
            <w:bookmarkEnd w:id="286"/>
            <w:r w:rsidRPr="00C011B2">
              <w:rPr>
                <w:rFonts w:ascii="Times New Roman" w:hAnsi="Times New Roman" w:cs="Times New Roman"/>
                <w:color w:val="000000" w:themeColor="text1"/>
                <w:lang w:val="ro-MD"/>
              </w:rPr>
              <w:t>:</w:t>
            </w:r>
          </w:p>
          <w:p w14:paraId="4AE3B8D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8</w:t>
            </w:r>
          </w:p>
          <w:tbl>
            <w:tblPr>
              <w:tblW w:w="483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24"/>
              <w:gridCol w:w="992"/>
              <w:gridCol w:w="993"/>
              <w:gridCol w:w="992"/>
              <w:gridCol w:w="567"/>
              <w:gridCol w:w="671"/>
            </w:tblGrid>
            <w:tr w:rsidR="00106FB1" w:rsidRPr="00C011B2" w14:paraId="0BDCF792"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6FAE1"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87" w:name="_Hlk223093801"/>
                  <w:bookmarkEnd w:id="285"/>
                  <w:r w:rsidRPr="00C011B2">
                    <w:rPr>
                      <w:rFonts w:ascii="Times New Roman" w:hAnsi="Times New Roman" w:cs="Times New Roman"/>
                      <w:b/>
                      <w:bCs/>
                      <w:color w:val="000000" w:themeColor="text1"/>
                      <w:lang w:val="ro-MD"/>
                    </w:rPr>
                    <w:t>Numărul benzii</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435D5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Capitalizarea de piață</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1612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Economia</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D9AB2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Sectorul</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87CCCF"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 pentru prețul spot al titlurilor de capital</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C912A5"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 pentru rata repo a titlurilor de capital</w:t>
                  </w:r>
                </w:p>
              </w:tc>
            </w:tr>
            <w:tr w:rsidR="00106FB1" w:rsidRPr="00C011B2" w14:paraId="7209D807"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255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5EA2A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Ridicată</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3491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de piață emergentă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808C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Bunuri și servicii pentru consumatori, transport și depozitare, </w:t>
                  </w:r>
                  <w:r w:rsidRPr="00C011B2">
                    <w:rPr>
                      <w:rFonts w:ascii="Times New Roman" w:hAnsi="Times New Roman" w:cs="Times New Roman"/>
                      <w:color w:val="000000" w:themeColor="text1"/>
                      <w:lang w:val="ro-MD"/>
                    </w:rPr>
                    <w:lastRenderedPageBreak/>
                    <w:t>servicii administrative și activități de sprijin, asistență medicală, utilități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61CE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2EA20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0,55 %</w:t>
                  </w:r>
                </w:p>
              </w:tc>
            </w:tr>
            <w:tr w:rsidR="00106FB1" w:rsidRPr="00C011B2" w14:paraId="7EA1F373"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B1724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B44F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10E8A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B434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Telecomunicații, produse industriale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12CD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1644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0,60 %</w:t>
                  </w:r>
                </w:p>
              </w:tc>
            </w:tr>
            <w:tr w:rsidR="00106FB1" w:rsidRPr="00C011B2" w14:paraId="5277A612"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591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A3B04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AF73C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A8D0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008A8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E253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0,45 %</w:t>
                  </w:r>
                </w:p>
              </w:tc>
            </w:tr>
            <w:tr w:rsidR="00106FB1" w:rsidRPr="00C011B2" w14:paraId="712B2310"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AE5C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BD794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E17F6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E1E65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Societăți financiare, inclusiv </w:t>
                  </w:r>
                  <w:r w:rsidRPr="00C011B2">
                    <w:rPr>
                      <w:rFonts w:ascii="Times New Roman" w:hAnsi="Times New Roman" w:cs="Times New Roman"/>
                      <w:color w:val="000000" w:themeColor="text1"/>
                      <w:lang w:val="ro-MD"/>
                    </w:rPr>
                    <w:lastRenderedPageBreak/>
                    <w:t>societăți financiare susținute de guvern, activități imobiliare, tehnologie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D7EF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0D16A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0,55 %</w:t>
                  </w:r>
                </w:p>
              </w:tc>
            </w:tr>
            <w:tr w:rsidR="00106FB1" w:rsidRPr="00C011B2" w14:paraId="018BDF9F"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ED1C9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6DB4F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C4AD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avansată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42755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Bunuri și servicii pentru consumatori, transport și depozitare, servicii administrative și activități de sprijin, asistență medicală, utilități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9CDE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207A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0,30 %</w:t>
                  </w:r>
                </w:p>
              </w:tc>
            </w:tr>
            <w:tr w:rsidR="00106FB1" w:rsidRPr="00C011B2" w14:paraId="74146C54"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E7D5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EBAE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82061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15FF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Telecomunicații, </w:t>
                  </w:r>
                  <w:r w:rsidRPr="00C011B2">
                    <w:rPr>
                      <w:rFonts w:ascii="Times New Roman" w:hAnsi="Times New Roman" w:cs="Times New Roman"/>
                      <w:color w:val="000000" w:themeColor="text1"/>
                      <w:lang w:val="ro-MD"/>
                    </w:rPr>
                    <w:lastRenderedPageBreak/>
                    <w:t>produse industriale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3CB5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0006D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0,35 %</w:t>
                  </w:r>
                </w:p>
              </w:tc>
            </w:tr>
            <w:tr w:rsidR="00106FB1" w:rsidRPr="00C011B2" w14:paraId="4C215DE2"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8CD2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5AFA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0F681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1901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Materiale de bază, energie, agricultură, industria prelucrătoare, industria extractivă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59F4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F8E97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0,40 %</w:t>
                  </w:r>
                </w:p>
              </w:tc>
            </w:tr>
            <w:tr w:rsidR="00106FB1" w:rsidRPr="00C011B2" w14:paraId="35A31DCF"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B974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8708A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64FA8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B64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Societăți financiare, inclusiv societăți financiare susținute de guvern, activități imobiliare, tehnologie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43E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5B32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0,50 %</w:t>
                  </w:r>
                </w:p>
              </w:tc>
            </w:tr>
            <w:tr w:rsidR="00106FB1" w:rsidRPr="00C011B2" w14:paraId="395697DD"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B6B4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EB3B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Scăzută</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2680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de piață emergentă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D8C8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Toate sectoarele descrise la </w:t>
                  </w:r>
                  <w:r w:rsidRPr="00C011B2">
                    <w:rPr>
                      <w:rFonts w:ascii="Times New Roman" w:hAnsi="Times New Roman" w:cs="Times New Roman"/>
                      <w:color w:val="000000" w:themeColor="text1"/>
                      <w:lang w:val="ro-MD"/>
                    </w:rPr>
                    <w:lastRenderedPageBreak/>
                    <w:t>benzile 1, 2, 3 și 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471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70 %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BDB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0,70 %</w:t>
                  </w:r>
                </w:p>
              </w:tc>
            </w:tr>
            <w:tr w:rsidR="00106FB1" w:rsidRPr="00C011B2" w14:paraId="476DB041"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CD7E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C43C0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F6A0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Economie avansată</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2683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Toate sectoarele descrise la benzile 5, 6, 7 și 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4637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7A3A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0,50 %</w:t>
                  </w:r>
                </w:p>
              </w:tc>
            </w:tr>
            <w:tr w:rsidR="00106FB1" w:rsidRPr="00C011B2" w14:paraId="1D730B5C"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F9A1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297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97FE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 sector</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0F89B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70 %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3835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0,70 %</w:t>
                  </w:r>
                </w:p>
              </w:tc>
            </w:tr>
            <w:tr w:rsidR="00106FB1" w:rsidRPr="00C011B2" w14:paraId="58ED551E"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77F0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297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21B2C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Indici pentru capitalizare de piață ridicată, într-o economie avansată</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501D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57F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0,15 %</w:t>
                  </w:r>
                </w:p>
              </w:tc>
            </w:tr>
            <w:tr w:rsidR="00106FB1" w:rsidRPr="00C011B2" w14:paraId="271475C3" w14:textId="77777777" w:rsidTr="001E785F">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74AC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p>
              </w:tc>
              <w:tc>
                <w:tcPr>
                  <w:tcW w:w="297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2B5BF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Alți indici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4507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3F22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0,25 %</w:t>
                  </w:r>
                </w:p>
              </w:tc>
            </w:tr>
            <w:bookmarkEnd w:id="287"/>
          </w:tbl>
          <w:p w14:paraId="1757E75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22528697" w14:textId="41D12FC0"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302191C" w14:textId="629F24D6"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1D6BAE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6EF9093"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38" w:tooltip="32019R0876: INSERTED" w:history="1">
              <w:r w:rsidR="00106FB1" w:rsidRPr="00C011B2">
                <w:rPr>
                  <w:rStyle w:val="Hyperlink"/>
                  <w:rFonts w:ascii="Times New Roman" w:hAnsi="Times New Roman" w:cs="Times New Roman"/>
                  <w:b/>
                  <w:bCs/>
                  <w:lang w:val="ro-MD"/>
                </w:rPr>
                <w:t>▼M8</w:t>
              </w:r>
            </w:hyperlink>
          </w:p>
          <w:p w14:paraId="594FF091" w14:textId="7231306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Standardele tehnice de reglementare menționate la articolul 325bd alineatul (7) precizează ce reprezintă o capitalizare de piață scăzută și ce reprezintă o capitalizare de piață ridicată în sensul prezentului articol.</w:t>
            </w:r>
          </w:p>
        </w:tc>
        <w:tc>
          <w:tcPr>
            <w:tcW w:w="1692" w:type="pct"/>
            <w:shd w:val="clear" w:color="auto" w:fill="auto"/>
          </w:tcPr>
          <w:p w14:paraId="6ACCDF7D" w14:textId="5E1FF568"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88" w:name="_Hlk223093934"/>
            <w:r w:rsidRPr="00C011B2">
              <w:rPr>
                <w:rFonts w:ascii="Times New Roman" w:hAnsi="Times New Roman" w:cs="Times New Roman"/>
                <w:color w:val="000000" w:themeColor="text1"/>
                <w:lang w:val="ro-MD"/>
              </w:rPr>
              <w:t xml:space="preserve">299.   Standardele tehnice de reglementare menționate la </w:t>
            </w:r>
            <w:r w:rsidR="00D24F65" w:rsidRPr="00C011B2">
              <w:rPr>
                <w:rFonts w:ascii="Times New Roman" w:hAnsi="Times New Roman" w:cs="Times New Roman"/>
                <w:color w:val="000000" w:themeColor="text1"/>
                <w:lang w:val="ro-MD"/>
              </w:rPr>
              <w:t>pct.361</w:t>
            </w:r>
            <w:r w:rsidRPr="00C011B2">
              <w:rPr>
                <w:rFonts w:ascii="Times New Roman" w:hAnsi="Times New Roman" w:cs="Times New Roman"/>
                <w:color w:val="000000" w:themeColor="text1"/>
                <w:lang w:val="ro-MD"/>
              </w:rPr>
              <w:t xml:space="preserve"> precizează ce reprezintă o capitalizare de piață scăzută și ce reprezintă o capitalizare de piață ridicată în sensul prezentului paragraf.</w:t>
            </w:r>
            <w:bookmarkEnd w:id="288"/>
          </w:p>
        </w:tc>
        <w:tc>
          <w:tcPr>
            <w:tcW w:w="450" w:type="pct"/>
          </w:tcPr>
          <w:p w14:paraId="50A69F11" w14:textId="0AD85B97" w:rsidR="00106FB1" w:rsidRPr="00C011B2" w:rsidRDefault="00E11C4A"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331354E"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900EE7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61FA1C" w14:textId="46A28E5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ABE elaborează proiecte de standarde tehnice de reglementare care să precizeze ce reprezintă o piață emergentă și ce reprezintă o economie avansată în sensul prezentului articol.</w:t>
            </w:r>
          </w:p>
          <w:p w14:paraId="18C4B8E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28 iunie 2021.</w:t>
            </w:r>
          </w:p>
          <w:p w14:paraId="655262F7" w14:textId="653C5BF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24AB8E20" w14:textId="61A8660B"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647826C8" w14:textId="57F49546"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7074B998" w14:textId="55A5730C" w:rsidR="00106FB1" w:rsidRPr="00C011B2" w:rsidRDefault="00106FB1"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Alin.(3) stabilește obligații pentru autorități europene – Autoritatea Bancară Europeană.</w:t>
            </w:r>
          </w:p>
        </w:tc>
      </w:tr>
      <w:tr w:rsidR="00106FB1" w:rsidRPr="00C011B2" w14:paraId="29C80AC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6612FC3" w14:textId="3FB76BF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Atunci când atribuie o expunere la risc unui sector, instituțiile se bazează pe o clasificare care este utilizată în mod curent pe piață pentru gruparea emitenților în funcție de sector. Instituțiile încadrează fiecare emitent într-una din benzile sectoriale din tabelul 8 și încadrează toți emitenții dintr-un anumit subsector în același sector. Expunerile la risc provenind de la orice emitent pe care o instituție nu le poate atribui unui anumit sector în acest mod sunt încadrate în banda 11 din tabelul 8. Emitenții de titluri de capital multinaționali sau multisectoriali sunt încadrați într-o anumită bandă pe baza celei mai semnificative regiuni sau a celui mai semnificativ sector în care își desfășoară activitatea emitentul de titluri de capital.</w:t>
            </w:r>
          </w:p>
        </w:tc>
        <w:tc>
          <w:tcPr>
            <w:tcW w:w="1692" w:type="pct"/>
            <w:shd w:val="clear" w:color="auto" w:fill="auto"/>
          </w:tcPr>
          <w:p w14:paraId="297214F9" w14:textId="77C412D3" w:rsidR="00106FB1" w:rsidRPr="00C011B2" w:rsidRDefault="00106FB1" w:rsidP="00106FB1">
            <w:pPr>
              <w:spacing w:after="0" w:line="276" w:lineRule="auto"/>
              <w:jc w:val="both"/>
              <w:rPr>
                <w:rFonts w:ascii="Times New Roman" w:hAnsi="Times New Roman" w:cs="Times New Roman"/>
                <w:color w:val="000000" w:themeColor="text1"/>
                <w:lang w:val="ro-MD"/>
              </w:rPr>
            </w:pPr>
            <w:bookmarkStart w:id="289" w:name="_Hlk223094086"/>
            <w:r w:rsidRPr="00C011B2">
              <w:rPr>
                <w:rFonts w:ascii="Times New Roman" w:hAnsi="Times New Roman" w:cs="Times New Roman"/>
                <w:color w:val="000000" w:themeColor="text1"/>
                <w:lang w:val="ro-MD"/>
              </w:rPr>
              <w:t>300.  Atunci când atribuie o expunere la risc unui sector, băncile se bazează pe o clasificare care este utilizată în mod curent pe piață pentru gruparea emitenților în funcție de sector. Băncile încadrează fiecare emitent într-una din benzile sectoriale din tabelul 8 și încadrează toți emitenții dintr-un anumit subsector în același sector. Expunerile la risc provenind de la orice emitent pe care o bancă nu le poate atribui unui anumit sector în acest mod sunt încadrate în banda 11 din tabelul 8. Emitenții de titluri de capital multinaționali sau multisectoriali sunt încadrați într-o anumită bandă pe baza celei mai semnificative regiuni sau a celui mai semnificativ sector în care își desfășoară activitatea emitentul de titluri de capital.</w:t>
            </w:r>
            <w:bookmarkEnd w:id="289"/>
          </w:p>
        </w:tc>
        <w:tc>
          <w:tcPr>
            <w:tcW w:w="450" w:type="pct"/>
          </w:tcPr>
          <w:p w14:paraId="189B52BA" w14:textId="6B9CD61F" w:rsidR="00106FB1" w:rsidRPr="00C011B2" w:rsidRDefault="00E11C4A"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9C15AE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2EA327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0E37A36"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325aq</w:t>
            </w:r>
          </w:p>
          <w:p w14:paraId="2F7783FB" w14:textId="4C02E0C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din cadrul unei benzi pentru riscul de devalorizare a titlurilor de capital</w:t>
            </w:r>
          </w:p>
        </w:tc>
        <w:tc>
          <w:tcPr>
            <w:tcW w:w="1692" w:type="pct"/>
            <w:shd w:val="clear" w:color="auto" w:fill="auto"/>
          </w:tcPr>
          <w:p w14:paraId="170EFC91" w14:textId="4EFCAECB" w:rsidR="00106FB1" w:rsidRPr="00C011B2" w:rsidRDefault="00B33DBB" w:rsidP="00106FB1">
            <w:pPr>
              <w:spacing w:after="0" w:line="276" w:lineRule="auto"/>
              <w:jc w:val="both"/>
              <w:rPr>
                <w:rFonts w:ascii="Times New Roman" w:hAnsi="Times New Roman" w:cs="Times New Roman"/>
                <w:color w:val="000000" w:themeColor="text1"/>
                <w:lang w:val="ro-MD"/>
              </w:rPr>
            </w:pPr>
            <w:bookmarkStart w:id="290" w:name="_Hlk195098101"/>
            <w:r w:rsidRPr="00C011B2">
              <w:rPr>
                <w:rFonts w:ascii="Times New Roman" w:hAnsi="Times New Roman" w:cs="Times New Roman"/>
                <w:i/>
                <w:iCs/>
                <w:color w:val="000000" w:themeColor="text1"/>
                <w:lang w:val="ro-MD"/>
              </w:rPr>
              <w:t xml:space="preserve">Paragraful 13. </w:t>
            </w:r>
            <w:r w:rsidR="00106FB1" w:rsidRPr="00C011B2">
              <w:rPr>
                <w:rFonts w:ascii="Times New Roman" w:hAnsi="Times New Roman" w:cs="Times New Roman"/>
                <w:b/>
                <w:bCs/>
                <w:color w:val="000000" w:themeColor="text1"/>
                <w:lang w:val="ro-MD"/>
              </w:rPr>
              <w:t>Corelațiile din cadrul unei benzi pentru riscul de devalorizare a titlurilor de capital</w:t>
            </w:r>
            <w:bookmarkEnd w:id="290"/>
          </w:p>
        </w:tc>
        <w:tc>
          <w:tcPr>
            <w:tcW w:w="450" w:type="pct"/>
          </w:tcPr>
          <w:p w14:paraId="34FC0BF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44649D0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AEF897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1FD12B"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39" w:tooltip="32021R0424: REPLACED" w:history="1">
              <w:r w:rsidR="00106FB1" w:rsidRPr="00C011B2">
                <w:rPr>
                  <w:rStyle w:val="Hyperlink"/>
                  <w:rFonts w:ascii="Times New Roman" w:hAnsi="Times New Roman" w:cs="Times New Roman"/>
                  <w:b/>
                  <w:bCs/>
                  <w:lang w:val="ro-MD"/>
                </w:rPr>
                <w:t>▼M12</w:t>
              </w:r>
            </w:hyperlink>
          </w:p>
          <w:p w14:paraId="0FE07F4F" w14:textId="0F1D1D4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Parametrul de corelație a riscului delta ρ</w:t>
            </w:r>
            <w:r w:rsidRPr="00C011B2">
              <w:rPr>
                <w:rFonts w:ascii="Times New Roman" w:hAnsi="Times New Roman" w:cs="Times New Roman"/>
                <w:color w:val="000000" w:themeColor="text1"/>
                <w:vertAlign w:val="subscript"/>
                <w:lang w:val="ro-MD"/>
              </w:rPr>
              <w:t>κl</w:t>
            </w:r>
            <w:r w:rsidRPr="00C011B2">
              <w:rPr>
                <w:rFonts w:ascii="Times New Roman" w:hAnsi="Times New Roman" w:cs="Times New Roman"/>
                <w:color w:val="000000" w:themeColor="text1"/>
                <w:lang w:val="ro-MD"/>
              </w:rPr>
              <w:t>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aceeași bandă este de 99,90 % atunci când una dintre acestea este o sensibilitate la un preț spot al titlurilor de capital, iar cealaltă este o sensibilitate la o rată repo a titlurilor de capital, iar ambele sensibilități corespund aceluiași nume de emitent de titluri de capital.</w:t>
            </w:r>
          </w:p>
        </w:tc>
        <w:tc>
          <w:tcPr>
            <w:tcW w:w="1692" w:type="pct"/>
            <w:shd w:val="clear" w:color="auto" w:fill="auto"/>
          </w:tcPr>
          <w:p w14:paraId="3280A2D6" w14:textId="4BFEF81E"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301.</w:t>
            </w:r>
            <w:r w:rsidR="00106FB1" w:rsidRPr="00C011B2">
              <w:rPr>
                <w:rFonts w:ascii="Times New Roman" w:hAnsi="Times New Roman" w:cs="Times New Roman"/>
                <w:color w:val="000000" w:themeColor="text1"/>
                <w:lang w:val="ro-MD"/>
              </w:rPr>
              <w:t>  Parametrul de corelație a riscului delta ρ</w:t>
            </w:r>
            <w:r w:rsidR="00106FB1" w:rsidRPr="00C011B2">
              <w:rPr>
                <w:rFonts w:ascii="Times New Roman" w:hAnsi="Times New Roman" w:cs="Times New Roman"/>
                <w:color w:val="000000" w:themeColor="text1"/>
                <w:vertAlign w:val="subscript"/>
                <w:lang w:val="ro-MD"/>
              </w:rPr>
              <w:t>κl</w:t>
            </w:r>
            <w:r w:rsidR="00106FB1" w:rsidRPr="00C011B2">
              <w:rPr>
                <w:rFonts w:ascii="Times New Roman" w:hAnsi="Times New Roman" w:cs="Times New Roman"/>
                <w:color w:val="000000" w:themeColor="text1"/>
                <w:lang w:val="ro-MD"/>
              </w:rPr>
              <w:t> între două sensibilități WS</w:t>
            </w:r>
            <w:r w:rsidR="00106FB1" w:rsidRPr="00C011B2">
              <w:rPr>
                <w:rFonts w:ascii="Times New Roman" w:hAnsi="Times New Roman" w:cs="Times New Roman"/>
                <w:color w:val="000000" w:themeColor="text1"/>
                <w:vertAlign w:val="subscript"/>
                <w:lang w:val="ro-MD"/>
              </w:rPr>
              <w:t>k</w:t>
            </w:r>
            <w:r w:rsidR="00106FB1" w:rsidRPr="00C011B2">
              <w:rPr>
                <w:rFonts w:ascii="Times New Roman" w:hAnsi="Times New Roman" w:cs="Times New Roman"/>
                <w:color w:val="000000" w:themeColor="text1"/>
                <w:lang w:val="ro-MD"/>
              </w:rPr>
              <w:t> și WS</w:t>
            </w:r>
            <w:r w:rsidR="00106FB1" w:rsidRPr="00C011B2">
              <w:rPr>
                <w:rFonts w:ascii="Times New Roman" w:hAnsi="Times New Roman" w:cs="Times New Roman"/>
                <w:color w:val="000000" w:themeColor="text1"/>
                <w:vertAlign w:val="subscript"/>
                <w:lang w:val="ro-MD"/>
              </w:rPr>
              <w:t>l</w:t>
            </w:r>
            <w:r w:rsidR="00106FB1" w:rsidRPr="00C011B2">
              <w:rPr>
                <w:rFonts w:ascii="Times New Roman" w:hAnsi="Times New Roman" w:cs="Times New Roman"/>
                <w:color w:val="000000" w:themeColor="text1"/>
                <w:lang w:val="ro-MD"/>
              </w:rPr>
              <w:t> din aceeași bandă este de 99,90 % atunci când una dintre acestea este o sensibilitate la un preț spot al titlurilor de capital, iar cealaltă este o sensibilitate la o rată repo a titlurilor de capital, iar ambele sensibilități corespund aceluiași nume de emitent de titluri de capital.</w:t>
            </w:r>
          </w:p>
        </w:tc>
        <w:tc>
          <w:tcPr>
            <w:tcW w:w="450" w:type="pct"/>
          </w:tcPr>
          <w:p w14:paraId="0BF3BADF" w14:textId="235DC3C8"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054A94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D05E16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F9A6F6"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0" w:tooltip="32019R0876: INSERTED" w:history="1">
              <w:r w:rsidR="00106FB1" w:rsidRPr="00C011B2">
                <w:rPr>
                  <w:rStyle w:val="Hyperlink"/>
                  <w:rFonts w:ascii="Times New Roman" w:hAnsi="Times New Roman" w:cs="Times New Roman"/>
                  <w:b/>
                  <w:bCs/>
                  <w:lang w:val="ro-MD"/>
                </w:rPr>
                <w:t>▼M8</w:t>
              </w:r>
            </w:hyperlink>
          </w:p>
          <w:p w14:paraId="533AE1BF" w14:textId="38D4968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alte cazuri decât cele menționate la alineatul (1),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la prețul </w:t>
            </w:r>
            <w:r w:rsidRPr="00C011B2">
              <w:rPr>
                <w:rFonts w:ascii="Times New Roman" w:hAnsi="Times New Roman" w:cs="Times New Roman"/>
                <w:i/>
                <w:iCs/>
                <w:color w:val="000000" w:themeColor="text1"/>
                <w:lang w:val="ro-MD"/>
              </w:rPr>
              <w:t>spot</w:t>
            </w:r>
            <w:r w:rsidRPr="00C011B2">
              <w:rPr>
                <w:rFonts w:ascii="Times New Roman" w:hAnsi="Times New Roman" w:cs="Times New Roman"/>
                <w:color w:val="000000" w:themeColor="text1"/>
                <w:lang w:val="ro-MD"/>
              </w:rPr>
              <w:t> al titlurilor de capital din aceeași bandă se stabilește după cum urmează:</w:t>
            </w:r>
          </w:p>
          <w:p w14:paraId="533A4C4F" w14:textId="4E9F09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15 % între două sensibilități din aceeași bandă care se încadrează în categoria capitalizării de piață ridicate și a economiilor de piață emergente (banda 1, 2, 3 sau 4);</w:t>
            </w:r>
          </w:p>
          <w:p w14:paraId="34321AC5" w14:textId="463AE6F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25 % între două sensibilități din aceeași bandă care se încadrează în categoria capitalizării de piață ridicate și a economiilor avansate (banda 5, 6, 7 sau 8);</w:t>
            </w:r>
          </w:p>
          <w:p w14:paraId="22E6CBA9" w14:textId="5CBB1ED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 7,5 % între două sensibilități din aceeași bandă care se încadrează în categoria capitalizării de piață scăzute și a economiilor de piață emergente (banda 9);</w:t>
            </w:r>
          </w:p>
          <w:p w14:paraId="60E4EBEB" w14:textId="119B162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12,5 % între două sensibilități din aceeași bandă care se încadrează în categoria capitalizării de piață scăzute și a economiilor avansate (banda 10);</w:t>
            </w:r>
          </w:p>
          <w:p w14:paraId="493B8DD8"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1" w:tooltip="32021R0424: INSERTED" w:history="1">
              <w:r w:rsidR="00106FB1" w:rsidRPr="00C011B2">
                <w:rPr>
                  <w:rStyle w:val="Hyperlink"/>
                  <w:rFonts w:ascii="Times New Roman" w:hAnsi="Times New Roman" w:cs="Times New Roman"/>
                  <w:b/>
                  <w:bCs/>
                  <w:lang w:val="ro-MD"/>
                </w:rPr>
                <w:t>▼M12</w:t>
              </w:r>
            </w:hyperlink>
          </w:p>
          <w:p w14:paraId="1E250838" w14:textId="61F595D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80 % între două sensibilități din aceeași bandă care se încadrează în oricare dintre cele două benzi de indici (banda numărul 12 sau 13).</w:t>
            </w:r>
          </w:p>
        </w:tc>
        <w:tc>
          <w:tcPr>
            <w:tcW w:w="1692" w:type="pct"/>
            <w:shd w:val="clear" w:color="auto" w:fill="auto"/>
          </w:tcPr>
          <w:p w14:paraId="2EB980DE" w14:textId="38DC3810"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302.</w:t>
            </w:r>
            <w:r w:rsidR="00106FB1" w:rsidRPr="00C011B2">
              <w:rPr>
                <w:rFonts w:ascii="Times New Roman" w:hAnsi="Times New Roman" w:cs="Times New Roman"/>
                <w:color w:val="000000" w:themeColor="text1"/>
                <w:lang w:val="ro-MD"/>
              </w:rPr>
              <w:t> În alte cazuri decât cele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pct.301</w:t>
            </w:r>
            <w:r w:rsidR="00106FB1" w:rsidRPr="00C011B2">
              <w:rPr>
                <w:rFonts w:ascii="Times New Roman" w:hAnsi="Times New Roman" w:cs="Times New Roman"/>
                <w:color w:val="000000" w:themeColor="text1"/>
                <w:lang w:val="ro-MD"/>
              </w:rPr>
              <w:t>, parametrul de corelație ρ</w:t>
            </w:r>
            <w:r w:rsidR="00106FB1" w:rsidRPr="00C011B2">
              <w:rPr>
                <w:rFonts w:ascii="Times New Roman" w:hAnsi="Times New Roman" w:cs="Times New Roman"/>
                <w:color w:val="000000" w:themeColor="text1"/>
                <w:vertAlign w:val="subscript"/>
                <w:lang w:val="ro-MD"/>
              </w:rPr>
              <w:t>kl</w:t>
            </w:r>
            <w:r w:rsidR="00106FB1" w:rsidRPr="00C011B2">
              <w:rPr>
                <w:rFonts w:ascii="Times New Roman" w:hAnsi="Times New Roman" w:cs="Times New Roman"/>
                <w:color w:val="000000" w:themeColor="text1"/>
                <w:lang w:val="ro-MD"/>
              </w:rPr>
              <w:t> între două sensibilități WS</w:t>
            </w:r>
            <w:r w:rsidR="00106FB1" w:rsidRPr="00C011B2">
              <w:rPr>
                <w:rFonts w:ascii="Times New Roman" w:hAnsi="Times New Roman" w:cs="Times New Roman"/>
                <w:color w:val="000000" w:themeColor="text1"/>
                <w:vertAlign w:val="subscript"/>
                <w:lang w:val="ro-MD"/>
              </w:rPr>
              <w:t>k</w:t>
            </w:r>
            <w:r w:rsidR="00106FB1" w:rsidRPr="00C011B2">
              <w:rPr>
                <w:rFonts w:ascii="Times New Roman" w:hAnsi="Times New Roman" w:cs="Times New Roman"/>
                <w:color w:val="000000" w:themeColor="text1"/>
                <w:lang w:val="ro-MD"/>
              </w:rPr>
              <w:t> și WS</w:t>
            </w:r>
            <w:r w:rsidR="00106FB1" w:rsidRPr="00C011B2">
              <w:rPr>
                <w:rFonts w:ascii="Times New Roman" w:hAnsi="Times New Roman" w:cs="Times New Roman"/>
                <w:color w:val="000000" w:themeColor="text1"/>
                <w:vertAlign w:val="subscript"/>
                <w:lang w:val="ro-MD"/>
              </w:rPr>
              <w:t>l</w:t>
            </w:r>
            <w:r w:rsidR="00106FB1" w:rsidRPr="00C011B2">
              <w:rPr>
                <w:rFonts w:ascii="Times New Roman" w:hAnsi="Times New Roman" w:cs="Times New Roman"/>
                <w:color w:val="000000" w:themeColor="text1"/>
                <w:lang w:val="ro-MD"/>
              </w:rPr>
              <w:t> la prețul </w:t>
            </w:r>
            <w:r w:rsidR="00106FB1" w:rsidRPr="00C011B2">
              <w:rPr>
                <w:rFonts w:ascii="Times New Roman" w:hAnsi="Times New Roman" w:cs="Times New Roman"/>
                <w:i/>
                <w:iCs/>
                <w:color w:val="000000" w:themeColor="text1"/>
                <w:lang w:val="ro-MD"/>
              </w:rPr>
              <w:t>spot</w:t>
            </w:r>
            <w:r w:rsidR="00106FB1" w:rsidRPr="00C011B2">
              <w:rPr>
                <w:rFonts w:ascii="Times New Roman" w:hAnsi="Times New Roman" w:cs="Times New Roman"/>
                <w:color w:val="000000" w:themeColor="text1"/>
                <w:lang w:val="ro-MD"/>
              </w:rPr>
              <w:t> al titlurilor de capital din aceeași bandă se stabilește după cum urmează:</w:t>
            </w:r>
          </w:p>
          <w:p w14:paraId="1D91804B" w14:textId="3BC75AAB"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302.1.</w:t>
            </w:r>
            <w:r w:rsidR="00106FB1" w:rsidRPr="00C011B2">
              <w:rPr>
                <w:rFonts w:ascii="Times New Roman" w:hAnsi="Times New Roman" w:cs="Times New Roman"/>
                <w:color w:val="000000" w:themeColor="text1"/>
                <w:lang w:val="ro-MD"/>
              </w:rPr>
              <w:t> 15 % între două sensibilități din aceeași bandă care se încadrează în categoria capitalizării de piață ridicate și a economiilor de piață emergente (banda 1, 2, 3 sau 4);</w:t>
            </w:r>
          </w:p>
          <w:p w14:paraId="71F38733" w14:textId="69EE237E"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302.2.</w:t>
            </w:r>
            <w:r w:rsidR="00106FB1" w:rsidRPr="00C011B2">
              <w:rPr>
                <w:rFonts w:ascii="Times New Roman" w:hAnsi="Times New Roman" w:cs="Times New Roman"/>
                <w:color w:val="000000" w:themeColor="text1"/>
                <w:lang w:val="ro-MD"/>
              </w:rPr>
              <w:t> 25 % între două sensibilități din aceeași bandă care se încadrează în categoria capitalizării de piață ridicate și a economiilor avansate (banda 5, 6, 7 sau 8);</w:t>
            </w:r>
          </w:p>
          <w:p w14:paraId="26969415" w14:textId="6FD47CA6"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302.3.</w:t>
            </w:r>
            <w:r w:rsidR="00106FB1" w:rsidRPr="00C011B2">
              <w:rPr>
                <w:rFonts w:ascii="Times New Roman" w:hAnsi="Times New Roman" w:cs="Times New Roman"/>
                <w:color w:val="000000" w:themeColor="text1"/>
                <w:lang w:val="ro-MD"/>
              </w:rPr>
              <w:t> 7,5 % între două sensibilități din aceeași bandă care se încadrează în categoria capitalizării de piață scăzute și a economiilor de piață emergente (banda 9);</w:t>
            </w:r>
          </w:p>
          <w:p w14:paraId="79BBBA79" w14:textId="45BEF161"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302.4.</w:t>
            </w:r>
            <w:r w:rsidR="00106FB1" w:rsidRPr="00C011B2">
              <w:rPr>
                <w:rFonts w:ascii="Times New Roman" w:hAnsi="Times New Roman" w:cs="Times New Roman"/>
                <w:color w:val="000000" w:themeColor="text1"/>
                <w:lang w:val="ro-MD"/>
              </w:rPr>
              <w:t> 12,5 % între două sensibilități din aceeași bandă care se încadrează în categoria capitalizării de piață scăzute și a economiilor avansate (banda 10);</w:t>
            </w:r>
          </w:p>
          <w:p w14:paraId="0DB8FC60" w14:textId="0C371BD7"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302.5.</w:t>
            </w:r>
            <w:r w:rsidR="00106FB1" w:rsidRPr="00C011B2">
              <w:rPr>
                <w:rFonts w:ascii="Times New Roman" w:hAnsi="Times New Roman" w:cs="Times New Roman"/>
                <w:color w:val="000000" w:themeColor="text1"/>
                <w:lang w:val="ro-MD"/>
              </w:rPr>
              <w:t> 80 % între două sensibilități din aceeași bandă care se încadrează în oricare dintre cele două benzi de indici (banda numărul 12 sau 13).</w:t>
            </w:r>
          </w:p>
        </w:tc>
        <w:tc>
          <w:tcPr>
            <w:tcW w:w="450" w:type="pct"/>
          </w:tcPr>
          <w:p w14:paraId="0CB6B2EA" w14:textId="5F2C9D48"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7FA6BC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7E13001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F3958F"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2" w:tooltip="32021R0424: REPLACED" w:history="1">
              <w:r w:rsidR="00106FB1" w:rsidRPr="00C011B2">
                <w:rPr>
                  <w:rStyle w:val="Hyperlink"/>
                  <w:rFonts w:ascii="Times New Roman" w:hAnsi="Times New Roman" w:cs="Times New Roman"/>
                  <w:b/>
                  <w:bCs/>
                  <w:lang w:val="ro-MD"/>
                </w:rPr>
                <w:t>▼M12</w:t>
              </w:r>
            </w:hyperlink>
          </w:p>
          <w:p w14:paraId="3AF9C83E" w14:textId="135B392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între două sensibilități </w:t>
            </w:r>
            <w:r w:rsidRPr="00C011B2">
              <w:rPr>
                <w:rFonts w:ascii="Times New Roman" w:hAnsi="Times New Roman" w:cs="Times New Roman"/>
                <w:i/>
                <w:iCs/>
                <w:color w:val="000000" w:themeColor="text1"/>
                <w:lang w:val="ro-MD"/>
              </w:rPr>
              <w:t>W</w:t>
            </w:r>
            <w:r w:rsidRPr="00C011B2">
              <w:rPr>
                <w:rFonts w:ascii="Times New Roman" w:hAnsi="Times New Roman" w:cs="Times New Roman"/>
                <w:color w:val="000000" w:themeColor="text1"/>
                <w:lang w:val="ro-MD"/>
              </w:rPr>
              <w:t>S</w:t>
            </w:r>
            <w:r w:rsidRPr="00C011B2">
              <w:rPr>
                <w:rFonts w:ascii="Times New Roman" w:hAnsi="Times New Roman" w:cs="Times New Roman"/>
                <w:i/>
                <w:iCs/>
                <w:color w:val="000000" w:themeColor="text1"/>
                <w:lang w:val="ro-MD"/>
              </w:rPr>
              <w:t> </w:t>
            </w:r>
            <w:r w:rsidRPr="00C011B2">
              <w:rPr>
                <w:rFonts w:ascii="Times New Roman" w:hAnsi="Times New Roman" w:cs="Times New Roman"/>
                <w:i/>
                <w:iCs/>
                <w:color w:val="000000" w:themeColor="text1"/>
                <w:vertAlign w:val="subscript"/>
                <w:lang w:val="ro-MD"/>
              </w:rPr>
              <w:t>k</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și </w:t>
            </w:r>
            <w:r w:rsidRPr="00C011B2">
              <w:rPr>
                <w:rFonts w:ascii="Times New Roman" w:hAnsi="Times New Roman" w:cs="Times New Roman"/>
                <w:i/>
                <w:iCs/>
                <w:color w:val="000000" w:themeColor="text1"/>
                <w:lang w:val="ro-MD"/>
              </w:rPr>
              <w:t>W</w:t>
            </w:r>
            <w:r w:rsidRPr="00C011B2">
              <w:rPr>
                <w:rFonts w:ascii="Times New Roman" w:hAnsi="Times New Roman" w:cs="Times New Roman"/>
                <w:color w:val="000000" w:themeColor="text1"/>
                <w:lang w:val="ro-MD"/>
              </w:rPr>
              <w:t>S</w:t>
            </w:r>
            <w:r w:rsidRPr="00C011B2">
              <w:rPr>
                <w:rFonts w:ascii="Times New Roman" w:hAnsi="Times New Roman" w:cs="Times New Roman"/>
                <w:i/>
                <w:iCs/>
                <w:color w:val="000000" w:themeColor="text1"/>
                <w:lang w:val="ro-MD"/>
              </w:rPr>
              <w:t> </w:t>
            </w:r>
            <w:r w:rsidRPr="00C011B2">
              <w:rPr>
                <w:rFonts w:ascii="Times New Roman" w:hAnsi="Times New Roman" w:cs="Times New Roman"/>
                <w:i/>
                <w:iCs/>
                <w:color w:val="000000" w:themeColor="text1"/>
                <w:vertAlign w:val="subscript"/>
                <w:lang w:val="ro-MD"/>
              </w:rPr>
              <w:t>l</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la ratele repo ale titlurilor de capital din aceeași bandă se stabilește în conformitate cu alineatul (2) literele (a)-(d).</w:t>
            </w:r>
          </w:p>
        </w:tc>
        <w:tc>
          <w:tcPr>
            <w:tcW w:w="1692" w:type="pct"/>
            <w:shd w:val="clear" w:color="auto" w:fill="auto"/>
          </w:tcPr>
          <w:p w14:paraId="1B83B43D" w14:textId="491F5E46"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303.</w:t>
            </w:r>
            <w:r w:rsidR="00106FB1" w:rsidRPr="00C011B2">
              <w:rPr>
                <w:rFonts w:ascii="Times New Roman" w:hAnsi="Times New Roman" w:cs="Times New Roman"/>
                <w:color w:val="000000" w:themeColor="text1"/>
                <w:lang w:val="ro-MD"/>
              </w:rPr>
              <w:t>   Parametrul de corelație ρ</w:t>
            </w:r>
            <w:r w:rsidR="00106FB1" w:rsidRPr="00C011B2">
              <w:rPr>
                <w:rFonts w:ascii="Times New Roman" w:hAnsi="Times New Roman" w:cs="Times New Roman"/>
                <w:color w:val="000000" w:themeColor="text1"/>
                <w:vertAlign w:val="subscript"/>
                <w:lang w:val="ro-MD"/>
              </w:rPr>
              <w:t>kl</w:t>
            </w:r>
            <w:r w:rsidR="00106FB1" w:rsidRPr="00C011B2">
              <w:rPr>
                <w:rFonts w:ascii="Times New Roman" w:hAnsi="Times New Roman" w:cs="Times New Roman"/>
                <w:color w:val="000000" w:themeColor="text1"/>
                <w:lang w:val="ro-MD"/>
              </w:rPr>
              <w:t> între două sensibilități </w:t>
            </w:r>
            <w:r w:rsidR="00106FB1" w:rsidRPr="00C011B2">
              <w:rPr>
                <w:rFonts w:ascii="Times New Roman" w:hAnsi="Times New Roman" w:cs="Times New Roman"/>
                <w:i/>
                <w:iCs/>
                <w:color w:val="000000" w:themeColor="text1"/>
                <w:lang w:val="ro-MD"/>
              </w:rPr>
              <w:t>W</w:t>
            </w:r>
            <w:r w:rsidR="00106FB1" w:rsidRPr="00C011B2">
              <w:rPr>
                <w:rFonts w:ascii="Times New Roman" w:hAnsi="Times New Roman" w:cs="Times New Roman"/>
                <w:color w:val="000000" w:themeColor="text1"/>
                <w:lang w:val="ro-MD"/>
              </w:rPr>
              <w:t>S</w:t>
            </w:r>
            <w:r w:rsidR="00106FB1" w:rsidRPr="00C011B2">
              <w:rPr>
                <w:rFonts w:ascii="Times New Roman" w:hAnsi="Times New Roman" w:cs="Times New Roman"/>
                <w:i/>
                <w:iCs/>
                <w:color w:val="000000" w:themeColor="text1"/>
                <w:lang w:val="ro-MD"/>
              </w:rPr>
              <w:t> </w:t>
            </w:r>
            <w:r w:rsidR="00106FB1" w:rsidRPr="00C011B2">
              <w:rPr>
                <w:rFonts w:ascii="Times New Roman" w:hAnsi="Times New Roman" w:cs="Times New Roman"/>
                <w:i/>
                <w:iCs/>
                <w:color w:val="000000" w:themeColor="text1"/>
                <w:vertAlign w:val="subscript"/>
                <w:lang w:val="ro-MD"/>
              </w:rPr>
              <w:t>k</w:t>
            </w:r>
            <w:r w:rsidR="00106FB1" w:rsidRPr="00C011B2">
              <w:rPr>
                <w:rFonts w:ascii="Times New Roman" w:hAnsi="Times New Roman" w:cs="Times New Roman"/>
                <w:i/>
                <w:iCs/>
                <w:color w:val="000000" w:themeColor="text1"/>
                <w:lang w:val="ro-MD"/>
              </w:rPr>
              <w:t> </w:t>
            </w:r>
            <w:r w:rsidR="00106FB1" w:rsidRPr="00C011B2">
              <w:rPr>
                <w:rFonts w:ascii="Times New Roman" w:hAnsi="Times New Roman" w:cs="Times New Roman"/>
                <w:color w:val="000000" w:themeColor="text1"/>
                <w:lang w:val="ro-MD"/>
              </w:rPr>
              <w:t>și </w:t>
            </w:r>
            <w:r w:rsidR="00106FB1" w:rsidRPr="00C011B2">
              <w:rPr>
                <w:rFonts w:ascii="Times New Roman" w:hAnsi="Times New Roman" w:cs="Times New Roman"/>
                <w:i/>
                <w:iCs/>
                <w:color w:val="000000" w:themeColor="text1"/>
                <w:lang w:val="ro-MD"/>
              </w:rPr>
              <w:t>W</w:t>
            </w:r>
            <w:r w:rsidR="00106FB1" w:rsidRPr="00C011B2">
              <w:rPr>
                <w:rFonts w:ascii="Times New Roman" w:hAnsi="Times New Roman" w:cs="Times New Roman"/>
                <w:color w:val="000000" w:themeColor="text1"/>
                <w:lang w:val="ro-MD"/>
              </w:rPr>
              <w:t>S</w:t>
            </w:r>
            <w:r w:rsidR="00106FB1" w:rsidRPr="00C011B2">
              <w:rPr>
                <w:rFonts w:ascii="Times New Roman" w:hAnsi="Times New Roman" w:cs="Times New Roman"/>
                <w:i/>
                <w:iCs/>
                <w:color w:val="000000" w:themeColor="text1"/>
                <w:lang w:val="ro-MD"/>
              </w:rPr>
              <w:t> </w:t>
            </w:r>
            <w:r w:rsidR="00106FB1" w:rsidRPr="00C011B2">
              <w:rPr>
                <w:rFonts w:ascii="Times New Roman" w:hAnsi="Times New Roman" w:cs="Times New Roman"/>
                <w:i/>
                <w:iCs/>
                <w:color w:val="000000" w:themeColor="text1"/>
                <w:vertAlign w:val="subscript"/>
                <w:lang w:val="ro-MD"/>
              </w:rPr>
              <w:t>l</w:t>
            </w:r>
            <w:r w:rsidR="00106FB1" w:rsidRPr="00C011B2">
              <w:rPr>
                <w:rFonts w:ascii="Times New Roman" w:hAnsi="Times New Roman" w:cs="Times New Roman"/>
                <w:i/>
                <w:iCs/>
                <w:color w:val="000000" w:themeColor="text1"/>
                <w:lang w:val="ro-MD"/>
              </w:rPr>
              <w:t> </w:t>
            </w:r>
            <w:r w:rsidR="00106FB1" w:rsidRPr="00C011B2">
              <w:rPr>
                <w:rFonts w:ascii="Times New Roman" w:hAnsi="Times New Roman" w:cs="Times New Roman"/>
                <w:color w:val="000000" w:themeColor="text1"/>
                <w:lang w:val="ro-MD"/>
              </w:rPr>
              <w:t>la ratele repo ale titlurilor de capital din aceeași bandă se stabilește în conformitate cu</w:t>
            </w:r>
            <w:r w:rsidR="0036697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subpct.302.1-302.4</w:t>
            </w:r>
            <w:r w:rsidR="00106FB1" w:rsidRPr="00C011B2">
              <w:rPr>
                <w:rFonts w:ascii="Times New Roman" w:hAnsi="Times New Roman" w:cs="Times New Roman"/>
                <w:color w:val="000000" w:themeColor="text1"/>
                <w:lang w:val="ro-MD"/>
              </w:rPr>
              <w:t>.</w:t>
            </w:r>
          </w:p>
        </w:tc>
        <w:tc>
          <w:tcPr>
            <w:tcW w:w="450" w:type="pct"/>
          </w:tcPr>
          <w:p w14:paraId="26A6471A" w14:textId="3C700B3B"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4027A19"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6FBC3F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5C65FCA"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3" w:tooltip="32019R0876: INSERTED" w:history="1">
              <w:r w:rsidR="00106FB1" w:rsidRPr="00C011B2">
                <w:rPr>
                  <w:rStyle w:val="Hyperlink"/>
                  <w:rFonts w:ascii="Times New Roman" w:hAnsi="Times New Roman" w:cs="Times New Roman"/>
                  <w:b/>
                  <w:bCs/>
                  <w:lang w:val="ro-MD"/>
                </w:rPr>
                <w:t>▼M8</w:t>
              </w:r>
            </w:hyperlink>
          </w:p>
          <w:p w14:paraId="2EB83B24" w14:textId="6FF0B4DD"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aceeași bandă, atunci când una dintre acestea este o sensibilitate la un preț spot al titlurilor de capital, iar cealaltă este o sensibilitate la o rată repo a titlurilor de capital, iar fiecare corespunde unui alt nume de emitent de titluri de capital,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este stabilit la parametrii de corelație specificați la alineatul (2), înmulțită cu 99,90 %.</w:t>
            </w:r>
          </w:p>
        </w:tc>
        <w:tc>
          <w:tcPr>
            <w:tcW w:w="1692" w:type="pct"/>
            <w:shd w:val="clear" w:color="auto" w:fill="auto"/>
          </w:tcPr>
          <w:p w14:paraId="6CC1A034" w14:textId="09738B0B" w:rsidR="00106FB1" w:rsidRPr="00C011B2" w:rsidRDefault="00B33DBB"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304.</w:t>
            </w:r>
            <w:r w:rsidR="00106FB1" w:rsidRPr="00C011B2">
              <w:rPr>
                <w:rFonts w:ascii="Times New Roman" w:hAnsi="Times New Roman" w:cs="Times New Roman"/>
                <w:color w:val="000000" w:themeColor="text1"/>
                <w:lang w:val="ro-MD"/>
              </w:rPr>
              <w:t>   Între două sensibilități WS</w:t>
            </w:r>
            <w:r w:rsidR="00106FB1" w:rsidRPr="00C011B2">
              <w:rPr>
                <w:rFonts w:ascii="Times New Roman" w:hAnsi="Times New Roman" w:cs="Times New Roman"/>
                <w:color w:val="000000" w:themeColor="text1"/>
                <w:vertAlign w:val="subscript"/>
                <w:lang w:val="ro-MD"/>
              </w:rPr>
              <w:t>k</w:t>
            </w:r>
            <w:r w:rsidR="00106FB1" w:rsidRPr="00C011B2">
              <w:rPr>
                <w:rFonts w:ascii="Times New Roman" w:hAnsi="Times New Roman" w:cs="Times New Roman"/>
                <w:color w:val="000000" w:themeColor="text1"/>
                <w:lang w:val="ro-MD"/>
              </w:rPr>
              <w:t> și WS</w:t>
            </w:r>
            <w:r w:rsidR="00106FB1" w:rsidRPr="00C011B2">
              <w:rPr>
                <w:rFonts w:ascii="Times New Roman" w:hAnsi="Times New Roman" w:cs="Times New Roman"/>
                <w:color w:val="000000" w:themeColor="text1"/>
                <w:vertAlign w:val="subscript"/>
                <w:lang w:val="ro-MD"/>
              </w:rPr>
              <w:t>l</w:t>
            </w:r>
            <w:r w:rsidR="00106FB1" w:rsidRPr="00C011B2">
              <w:rPr>
                <w:rFonts w:ascii="Times New Roman" w:hAnsi="Times New Roman" w:cs="Times New Roman"/>
                <w:color w:val="000000" w:themeColor="text1"/>
                <w:lang w:val="ro-MD"/>
              </w:rPr>
              <w:t> din aceeași bandă, atunci când una dintre acestea este o sensibilitate la un preț spot al titlurilor de capital, iar cealaltă este o sensibilitate la o rată repo a titlurilor de capital, iar fiecare corespunde unui alt nume de emitent de titluri de capital, parametrul de corelație ρ</w:t>
            </w:r>
            <w:r w:rsidR="00106FB1" w:rsidRPr="00C011B2">
              <w:rPr>
                <w:rFonts w:ascii="Times New Roman" w:hAnsi="Times New Roman" w:cs="Times New Roman"/>
                <w:color w:val="000000" w:themeColor="text1"/>
                <w:vertAlign w:val="subscript"/>
                <w:lang w:val="ro-MD"/>
              </w:rPr>
              <w:t>kl</w:t>
            </w:r>
            <w:r w:rsidR="00106FB1" w:rsidRPr="00C011B2">
              <w:rPr>
                <w:rFonts w:ascii="Times New Roman" w:hAnsi="Times New Roman" w:cs="Times New Roman"/>
                <w:color w:val="000000" w:themeColor="text1"/>
                <w:lang w:val="ro-MD"/>
              </w:rPr>
              <w:t> este stabilit la parametrii de corelație specificați la</w:t>
            </w:r>
            <w:r w:rsidR="0036697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pct.302</w:t>
            </w:r>
            <w:r w:rsidR="00106FB1" w:rsidRPr="00C011B2">
              <w:rPr>
                <w:rFonts w:ascii="Times New Roman" w:hAnsi="Times New Roman" w:cs="Times New Roman"/>
                <w:color w:val="000000" w:themeColor="text1"/>
                <w:lang w:val="ro-MD"/>
              </w:rPr>
              <w:t>, înmulțită cu 99,90 %.</w:t>
            </w:r>
          </w:p>
        </w:tc>
        <w:tc>
          <w:tcPr>
            <w:tcW w:w="450" w:type="pct"/>
          </w:tcPr>
          <w:p w14:paraId="5B2BD9B5" w14:textId="015079B5"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C4BE77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18E432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EC4E58" w14:textId="42BC44D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  Parametrii de corelație specificați la alineatele (1)-(4) nu se aplică benzii 11. Cerința de capital pentru formula de agregare a riscului delta din cadrul benzii 11 este egală cu suma valorilor absolute ale sensibilităților nete ponderate atribuite benzii respective:</w:t>
            </w:r>
          </w:p>
          <w:p w14:paraId="01C1244A" w14:textId="4BAABE4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F35AEC5" wp14:editId="11D052E9">
                  <wp:extent cx="2317750" cy="584200"/>
                  <wp:effectExtent l="0" t="0" r="6350" b="6350"/>
                  <wp:docPr id="62" name="Picture 6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tc>
        <w:tc>
          <w:tcPr>
            <w:tcW w:w="1692" w:type="pct"/>
            <w:shd w:val="clear" w:color="auto" w:fill="auto"/>
          </w:tcPr>
          <w:p w14:paraId="1D1CB54B" w14:textId="01AB4B8F" w:rsidR="00106FB1" w:rsidRPr="00C011B2" w:rsidRDefault="00B33DBB" w:rsidP="00106FB1">
            <w:pPr>
              <w:spacing w:after="0" w:line="276" w:lineRule="auto"/>
              <w:jc w:val="both"/>
              <w:rPr>
                <w:rFonts w:ascii="Times New Roman" w:hAnsi="Times New Roman" w:cs="Times New Roman"/>
                <w:color w:val="000000" w:themeColor="text1"/>
                <w:lang w:val="ro-MD"/>
              </w:rPr>
            </w:pPr>
            <w:bookmarkStart w:id="291" w:name="_Hlk223513417"/>
            <w:r w:rsidRPr="00C011B2">
              <w:rPr>
                <w:rFonts w:ascii="Times New Roman" w:hAnsi="Times New Roman" w:cs="Times New Roman"/>
                <w:color w:val="000000" w:themeColor="text1"/>
                <w:lang w:val="ro-MD"/>
              </w:rPr>
              <w:t>305.</w:t>
            </w:r>
            <w:r w:rsidR="00106FB1" w:rsidRPr="00C011B2">
              <w:rPr>
                <w:rFonts w:ascii="Times New Roman" w:hAnsi="Times New Roman" w:cs="Times New Roman"/>
                <w:color w:val="000000" w:themeColor="text1"/>
                <w:lang w:val="ro-MD"/>
              </w:rPr>
              <w:t xml:space="preserve">  Parametrii de corelație specificați la </w:t>
            </w:r>
            <w:r w:rsidRPr="00C011B2">
              <w:rPr>
                <w:rFonts w:ascii="Times New Roman" w:hAnsi="Times New Roman" w:cs="Times New Roman"/>
                <w:color w:val="000000" w:themeColor="text1"/>
                <w:lang w:val="ro-MD"/>
              </w:rPr>
              <w:t>pct.301-304</w:t>
            </w:r>
            <w:r w:rsidR="00106FB1" w:rsidRPr="00C011B2">
              <w:rPr>
                <w:rFonts w:ascii="Times New Roman" w:hAnsi="Times New Roman" w:cs="Times New Roman"/>
                <w:color w:val="000000" w:themeColor="text1"/>
                <w:lang w:val="ro-MD"/>
              </w:rPr>
              <w:t xml:space="preserve"> nu se aplică benzii 11. Cerința de capital pentru formula de agregare a riscului delta din cadrul benzii 11 este egală cu suma valorilor absolute ale sensibilităților nete ponderate atribuite benzii respective:</w:t>
            </w:r>
          </w:p>
          <w:bookmarkEnd w:id="291"/>
          <w:p w14:paraId="6999CF5F" w14:textId="7163BB7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A1B8712" wp14:editId="2D1971EA">
                  <wp:extent cx="2317750" cy="584200"/>
                  <wp:effectExtent l="0" t="0" r="6350" b="6350"/>
                  <wp:docPr id="163" name="Picture 1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17750" cy="584200"/>
                          </a:xfrm>
                          <a:prstGeom prst="rect">
                            <a:avLst/>
                          </a:prstGeom>
                          <a:noFill/>
                          <a:ln>
                            <a:noFill/>
                          </a:ln>
                        </pic:spPr>
                      </pic:pic>
                    </a:graphicData>
                  </a:graphic>
                </wp:inline>
              </w:drawing>
            </w:r>
          </w:p>
        </w:tc>
        <w:tc>
          <w:tcPr>
            <w:tcW w:w="450" w:type="pct"/>
          </w:tcPr>
          <w:p w14:paraId="4CB55AF6" w14:textId="33D62480"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46F6BF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C6A9A0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0FEFB29"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5" w:tooltip="32021R0424: REPLACED" w:history="1">
              <w:r w:rsidR="00106FB1" w:rsidRPr="00C011B2">
                <w:rPr>
                  <w:rStyle w:val="Hyperlink"/>
                  <w:rFonts w:ascii="Times New Roman" w:hAnsi="Times New Roman" w:cs="Times New Roman"/>
                  <w:b/>
                  <w:bCs/>
                  <w:lang w:val="ro-MD"/>
                </w:rPr>
                <w:t>▼M12</w:t>
              </w:r>
            </w:hyperlink>
          </w:p>
          <w:p w14:paraId="10F63C7F"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325ar</w:t>
            </w:r>
          </w:p>
          <w:p w14:paraId="35C6FC57" w14:textId="4CB031B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riscul de devalorizare a titlurilor de capital</w:t>
            </w:r>
          </w:p>
        </w:tc>
        <w:tc>
          <w:tcPr>
            <w:tcW w:w="1692" w:type="pct"/>
            <w:shd w:val="clear" w:color="auto" w:fill="auto"/>
          </w:tcPr>
          <w:p w14:paraId="2DCB69FA" w14:textId="408772FF" w:rsidR="00106FB1" w:rsidRPr="00C011B2" w:rsidRDefault="00B33DBB" w:rsidP="00106FB1">
            <w:pPr>
              <w:spacing w:after="0" w:line="276" w:lineRule="auto"/>
              <w:jc w:val="both"/>
              <w:rPr>
                <w:rFonts w:ascii="Times New Roman" w:hAnsi="Times New Roman" w:cs="Times New Roman"/>
                <w:color w:val="000000" w:themeColor="text1"/>
                <w:lang w:val="ro-MD"/>
              </w:rPr>
            </w:pPr>
            <w:bookmarkStart w:id="292" w:name="_Hlk199515434"/>
            <w:bookmarkStart w:id="293" w:name="_Hlk195098127"/>
            <w:r w:rsidRPr="00C011B2">
              <w:rPr>
                <w:rFonts w:ascii="Times New Roman" w:hAnsi="Times New Roman" w:cs="Times New Roman"/>
                <w:i/>
                <w:iCs/>
                <w:color w:val="000000" w:themeColor="text1"/>
                <w:lang w:val="ro-MD"/>
              </w:rPr>
              <w:t xml:space="preserve">Paragraful </w:t>
            </w:r>
            <w:bookmarkEnd w:id="292"/>
            <w:r w:rsidRPr="00C011B2">
              <w:rPr>
                <w:rFonts w:ascii="Times New Roman" w:hAnsi="Times New Roman" w:cs="Times New Roman"/>
                <w:i/>
                <w:iCs/>
                <w:color w:val="000000" w:themeColor="text1"/>
                <w:lang w:val="ro-MD"/>
              </w:rPr>
              <w:t xml:space="preserve">14. </w:t>
            </w:r>
            <w:r w:rsidR="00106FB1" w:rsidRPr="00C011B2">
              <w:rPr>
                <w:rFonts w:ascii="Times New Roman" w:hAnsi="Times New Roman" w:cs="Times New Roman"/>
                <w:b/>
                <w:bCs/>
                <w:color w:val="000000" w:themeColor="text1"/>
                <w:lang w:val="ro-MD"/>
              </w:rPr>
              <w:t>Corelațiile între benzi pentru riscul de devalorizare a titlurilor de capital</w:t>
            </w:r>
            <w:bookmarkEnd w:id="293"/>
          </w:p>
        </w:tc>
        <w:tc>
          <w:tcPr>
            <w:tcW w:w="450" w:type="pct"/>
          </w:tcPr>
          <w:p w14:paraId="6FAD638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69D0055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D29D62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6230DF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Parametrul de corelație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se aplică agregării sensibilităților între benzi diferite.</w:t>
            </w:r>
          </w:p>
          <w:p w14:paraId="19DB84D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Acesta se stabilește în raport cu benzile din tabelul 8 de la articolul 325ap, după cum urmează:</w:t>
            </w:r>
          </w:p>
          <w:p w14:paraId="5B25876B" w14:textId="5A31270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15 % atunci când cele două benzi au numere de la 1 la 10;</w:t>
            </w:r>
          </w:p>
          <w:p w14:paraId="3E879771" w14:textId="2AB2642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0 % atunci când una dintre cele două benzi are numărul 11;</w:t>
            </w:r>
          </w:p>
          <w:p w14:paraId="3C3F77E6" w14:textId="18B8D94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75 % atunci când cele două benzi au numerele 12 și 13;</w:t>
            </w:r>
          </w:p>
          <w:p w14:paraId="4856ACDF" w14:textId="33D2CDB8"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45 % în toate celelalte cazuri.</w:t>
            </w:r>
          </w:p>
        </w:tc>
        <w:tc>
          <w:tcPr>
            <w:tcW w:w="1692" w:type="pct"/>
            <w:shd w:val="clear" w:color="auto" w:fill="auto"/>
          </w:tcPr>
          <w:p w14:paraId="009C4765" w14:textId="49EE996A" w:rsidR="00106FB1" w:rsidRPr="00C011B2" w:rsidRDefault="00B33DBB" w:rsidP="00106FB1">
            <w:pPr>
              <w:spacing w:after="0" w:line="276" w:lineRule="auto"/>
              <w:jc w:val="both"/>
              <w:rPr>
                <w:rFonts w:ascii="Times New Roman" w:hAnsi="Times New Roman" w:cs="Times New Roman"/>
                <w:color w:val="000000" w:themeColor="text1"/>
                <w:lang w:val="ro-MD"/>
              </w:rPr>
            </w:pPr>
            <w:bookmarkStart w:id="294" w:name="_Hlk223513480"/>
            <w:r w:rsidRPr="00C011B2">
              <w:rPr>
                <w:rFonts w:ascii="Times New Roman" w:hAnsi="Times New Roman" w:cs="Times New Roman"/>
                <w:color w:val="000000" w:themeColor="text1"/>
                <w:lang w:val="ro-MD"/>
              </w:rPr>
              <w:t xml:space="preserve">306. </w:t>
            </w:r>
            <w:r w:rsidR="00106FB1" w:rsidRPr="00C011B2">
              <w:rPr>
                <w:rFonts w:ascii="Times New Roman" w:hAnsi="Times New Roman" w:cs="Times New Roman"/>
                <w:color w:val="000000" w:themeColor="text1"/>
                <w:lang w:val="ro-MD"/>
              </w:rPr>
              <w:t>Parametrul de corelație γ</w:t>
            </w:r>
            <w:r w:rsidR="00106FB1" w:rsidRPr="00C011B2">
              <w:rPr>
                <w:rFonts w:ascii="Times New Roman" w:hAnsi="Times New Roman" w:cs="Times New Roman"/>
                <w:color w:val="000000" w:themeColor="text1"/>
                <w:vertAlign w:val="subscript"/>
                <w:lang w:val="ro-MD"/>
              </w:rPr>
              <w:t>bc</w:t>
            </w:r>
            <w:r w:rsidR="00106FB1" w:rsidRPr="00C011B2">
              <w:rPr>
                <w:rFonts w:ascii="Times New Roman" w:hAnsi="Times New Roman" w:cs="Times New Roman"/>
                <w:color w:val="000000" w:themeColor="text1"/>
                <w:lang w:val="ro-MD"/>
              </w:rPr>
              <w:t> se aplică agregării sensibilităților între benzi diferite.</w:t>
            </w:r>
          </w:p>
          <w:p w14:paraId="066BA897" w14:textId="2753821F" w:rsidR="00106FB1" w:rsidRPr="00C011B2" w:rsidRDefault="00F02156"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307. </w:t>
            </w:r>
            <w:r w:rsidR="00106FB1" w:rsidRPr="00C011B2">
              <w:rPr>
                <w:rFonts w:ascii="Times New Roman" w:hAnsi="Times New Roman" w:cs="Times New Roman"/>
                <w:color w:val="000000" w:themeColor="text1"/>
                <w:lang w:val="ro-MD"/>
              </w:rPr>
              <w:t xml:space="preserve">Acesta se stabilește în raport cu benzile din tabelul 8 de la </w:t>
            </w:r>
            <w:r w:rsidR="00B33DBB" w:rsidRPr="00C011B2">
              <w:rPr>
                <w:rFonts w:ascii="Times New Roman" w:hAnsi="Times New Roman" w:cs="Times New Roman"/>
                <w:color w:val="000000" w:themeColor="text1"/>
                <w:lang w:val="ro-MD"/>
              </w:rPr>
              <w:t>paragraful 12</w:t>
            </w:r>
            <w:r w:rsidR="00106FB1" w:rsidRPr="00C011B2">
              <w:rPr>
                <w:rFonts w:ascii="Times New Roman" w:hAnsi="Times New Roman" w:cs="Times New Roman"/>
                <w:color w:val="000000" w:themeColor="text1"/>
                <w:lang w:val="ro-MD"/>
              </w:rPr>
              <w:t>, după cum urmează:</w:t>
            </w:r>
          </w:p>
          <w:p w14:paraId="6B2F537D" w14:textId="0ADFF984" w:rsidR="00106FB1" w:rsidRPr="00C011B2" w:rsidRDefault="00F02156"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307.1.</w:t>
            </w:r>
            <w:r w:rsidR="00106FB1" w:rsidRPr="00C011B2">
              <w:rPr>
                <w:rFonts w:ascii="Times New Roman" w:hAnsi="Times New Roman" w:cs="Times New Roman"/>
                <w:color w:val="000000" w:themeColor="text1"/>
                <w:lang w:val="ro-MD"/>
              </w:rPr>
              <w:t> 15 % atunci când cele două benzi au numere de la 1 la 10;</w:t>
            </w:r>
          </w:p>
          <w:p w14:paraId="11A2D550" w14:textId="4D73E4AA" w:rsidR="00106FB1" w:rsidRPr="00C011B2" w:rsidRDefault="00F02156"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307.2.</w:t>
            </w:r>
            <w:r w:rsidR="00106FB1" w:rsidRPr="00C011B2">
              <w:rPr>
                <w:rFonts w:ascii="Times New Roman" w:hAnsi="Times New Roman" w:cs="Times New Roman"/>
                <w:color w:val="000000" w:themeColor="text1"/>
                <w:lang w:val="ro-MD"/>
              </w:rPr>
              <w:t> 0 % atunci când una dintre cele două benzi are numărul 11;</w:t>
            </w:r>
          </w:p>
          <w:p w14:paraId="2EDE0BB2" w14:textId="721831EF" w:rsidR="00106FB1" w:rsidRPr="00C011B2" w:rsidRDefault="00F02156"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307.3.</w:t>
            </w:r>
            <w:r w:rsidR="00106FB1" w:rsidRPr="00C011B2">
              <w:rPr>
                <w:rFonts w:ascii="Times New Roman" w:hAnsi="Times New Roman" w:cs="Times New Roman"/>
                <w:color w:val="000000" w:themeColor="text1"/>
                <w:lang w:val="ro-MD"/>
              </w:rPr>
              <w:t> 75 % atunci când cele două benzi au numerele 12 și 13;</w:t>
            </w:r>
          </w:p>
          <w:p w14:paraId="4032B89C" w14:textId="25409869" w:rsidR="00106FB1" w:rsidRPr="00C011B2" w:rsidRDefault="00F02156"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307.4.</w:t>
            </w:r>
            <w:r w:rsidR="00106FB1" w:rsidRPr="00C011B2">
              <w:rPr>
                <w:rFonts w:ascii="Times New Roman" w:hAnsi="Times New Roman" w:cs="Times New Roman"/>
                <w:color w:val="000000" w:themeColor="text1"/>
                <w:lang w:val="ro-MD"/>
              </w:rPr>
              <w:t> 45 % în toate celelalte cazuri.</w:t>
            </w:r>
            <w:bookmarkEnd w:id="294"/>
          </w:p>
        </w:tc>
        <w:tc>
          <w:tcPr>
            <w:tcW w:w="450" w:type="pct"/>
          </w:tcPr>
          <w:p w14:paraId="74E12218" w14:textId="3943072C"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BE5E25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AF47A5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A75020"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325as</w:t>
            </w:r>
          </w:p>
          <w:p w14:paraId="74BF4A8F" w14:textId="4BFAB11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riscul de marfă</w:t>
            </w:r>
          </w:p>
        </w:tc>
        <w:tc>
          <w:tcPr>
            <w:tcW w:w="1692" w:type="pct"/>
            <w:shd w:val="clear" w:color="auto" w:fill="auto"/>
          </w:tcPr>
          <w:p w14:paraId="699C3CF8" w14:textId="05D3C593" w:rsidR="00106FB1" w:rsidRPr="00C011B2" w:rsidRDefault="00F02156" w:rsidP="00106FB1">
            <w:pPr>
              <w:spacing w:after="0" w:line="276" w:lineRule="auto"/>
              <w:jc w:val="both"/>
              <w:rPr>
                <w:rFonts w:ascii="Times New Roman" w:hAnsi="Times New Roman" w:cs="Times New Roman"/>
                <w:color w:val="000000" w:themeColor="text1"/>
                <w:lang w:val="ro-MD"/>
              </w:rPr>
            </w:pPr>
            <w:bookmarkStart w:id="295" w:name="_Hlk195098149"/>
            <w:r w:rsidRPr="00C011B2">
              <w:rPr>
                <w:rFonts w:ascii="Times New Roman" w:hAnsi="Times New Roman" w:cs="Times New Roman"/>
                <w:i/>
                <w:iCs/>
                <w:color w:val="000000" w:themeColor="text1"/>
                <w:lang w:val="ro-MD"/>
              </w:rPr>
              <w:t xml:space="preserve">Paragraful 15. </w:t>
            </w:r>
            <w:r w:rsidR="00106FB1" w:rsidRPr="00C011B2">
              <w:rPr>
                <w:rFonts w:ascii="Times New Roman" w:hAnsi="Times New Roman" w:cs="Times New Roman"/>
                <w:b/>
                <w:bCs/>
                <w:color w:val="000000" w:themeColor="text1"/>
                <w:lang w:val="ro-MD"/>
              </w:rPr>
              <w:t>Ponderile de risc pentru riscul de marfă</w:t>
            </w:r>
            <w:bookmarkEnd w:id="295"/>
          </w:p>
        </w:tc>
        <w:tc>
          <w:tcPr>
            <w:tcW w:w="450" w:type="pct"/>
          </w:tcPr>
          <w:p w14:paraId="29DBDB0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726E425A"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25C184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D76D49" w14:textId="5A19DB0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Ponderile de risc pentru sensibilitățile la factorii de risc de marfă sunt următoarele:</w:t>
            </w:r>
          </w:p>
          <w:p w14:paraId="1E887066"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9</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7"/>
              <w:gridCol w:w="1663"/>
              <w:gridCol w:w="1010"/>
            </w:tblGrid>
            <w:tr w:rsidR="00106FB1" w:rsidRPr="00C011B2" w14:paraId="2BC62337"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4CBBAA"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854F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Denumirea benzii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6FF991"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3ED6BF08"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1D24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C5A0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solizi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600B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7CFA0517"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B59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6AB1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lichizi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F61D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5D84B430"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2513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11BF28" w14:textId="77777777" w:rsidR="00106FB1" w:rsidRPr="00C011B2" w:rsidRDefault="00FA7D23" w:rsidP="00106FB1">
                  <w:pPr>
                    <w:spacing w:after="0" w:line="276" w:lineRule="auto"/>
                    <w:jc w:val="both"/>
                    <w:rPr>
                      <w:rFonts w:ascii="Times New Roman" w:hAnsi="Times New Roman" w:cs="Times New Roman"/>
                      <w:color w:val="000000" w:themeColor="text1"/>
                      <w:lang w:val="ro-MD"/>
                    </w:rPr>
                  </w:pPr>
                  <w:hyperlink r:id="rId146" w:tooltip="32024R1623: REPLACED" w:history="1">
                    <w:r w:rsidR="00106FB1" w:rsidRPr="00C011B2">
                      <w:rPr>
                        <w:rStyle w:val="Hyperlink"/>
                        <w:rFonts w:ascii="Times New Roman" w:hAnsi="Times New Roman" w:cs="Times New Roman"/>
                        <w:b/>
                        <w:bCs/>
                        <w:lang w:val="ro-MD"/>
                      </w:rPr>
                      <w:t>►M17</w:t>
                    </w:r>
                    <w:r w:rsidR="00106FB1" w:rsidRPr="00C011B2">
                      <w:rPr>
                        <w:rStyle w:val="Hyperlink"/>
                        <w:rFonts w:ascii="Times New Roman" w:hAnsi="Times New Roman" w:cs="Times New Roman"/>
                        <w:lang w:val="ro-MD"/>
                      </w:rPr>
                      <w:t> </w:t>
                    </w:r>
                  </w:hyperlink>
                  <w:r w:rsidR="00106FB1" w:rsidRPr="00C011B2">
                    <w:rPr>
                      <w:rFonts w:ascii="Times New Roman" w:hAnsi="Times New Roman" w:cs="Times New Roman"/>
                      <w:color w:val="000000" w:themeColor="text1"/>
                      <w:lang w:val="ro-MD"/>
                    </w:rPr>
                    <w:t>  Energie – energie electrică</w:t>
                  </w:r>
                  <w:r w:rsidR="00106FB1" w:rsidRPr="00C011B2">
                    <w:rPr>
                      <w:rFonts w:ascii="Times New Roman" w:hAnsi="Times New Roman" w:cs="Times New Roman"/>
                      <w:b/>
                      <w:bCs/>
                      <w:color w:val="000000" w:themeColor="text1"/>
                      <w:lang w:val="ro-MD"/>
                    </w:rPr>
                    <w:t> ◄</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DF531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r>
            <w:tr w:rsidR="00106FB1" w:rsidRPr="00C011B2" w14:paraId="1CB7ECBC" w14:textId="77777777" w:rsidTr="004B0466">
              <w:trPr>
                <w:jc w:val="center"/>
              </w:trPr>
              <w:tc>
                <w:tcPr>
                  <w:tcW w:w="385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016CCE"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7" w:tooltip="32024R1623: INSERTED" w:history="1">
                    <w:r w:rsidR="00106FB1" w:rsidRPr="00C011B2">
                      <w:rPr>
                        <w:rStyle w:val="Hyperlink"/>
                        <w:rFonts w:ascii="Times New Roman" w:hAnsi="Times New Roman" w:cs="Times New Roman"/>
                        <w:b/>
                        <w:bCs/>
                        <w:lang w:val="ro-MD"/>
                      </w:rPr>
                      <w:t>▼M17</w:t>
                    </w:r>
                  </w:hyperlink>
                </w:p>
              </w:tc>
            </w:tr>
            <w:tr w:rsidR="00106FB1" w:rsidRPr="00C011B2" w14:paraId="7B7B7DF8"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01B03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3a</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2894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comercializarea certificatelor de emisii de dioxid de carbon în cadrul EU ETS</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E9F57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0AA9F92E"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9C90D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3b</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CC0B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Energie – comercializarea certificatelor de </w:t>
                  </w:r>
                  <w:r w:rsidRPr="00C011B2">
                    <w:rPr>
                      <w:rFonts w:ascii="Times New Roman" w:hAnsi="Times New Roman" w:cs="Times New Roman"/>
                      <w:color w:val="000000" w:themeColor="text1"/>
                      <w:lang w:val="ro-MD"/>
                    </w:rPr>
                    <w:lastRenderedPageBreak/>
                    <w:t>emisii de dioxid de carbon în afara EU ETS</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2968E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60 %</w:t>
                  </w:r>
                </w:p>
              </w:tc>
            </w:tr>
            <w:tr w:rsidR="00106FB1" w:rsidRPr="00C011B2" w14:paraId="7B3A110F" w14:textId="77777777" w:rsidTr="004B0466">
              <w:trPr>
                <w:jc w:val="center"/>
              </w:trPr>
              <w:tc>
                <w:tcPr>
                  <w:tcW w:w="385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C9010D"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8" w:tooltip="32021R0424: REPLACED" w:history="1">
                    <w:r w:rsidR="00106FB1" w:rsidRPr="00C011B2">
                      <w:rPr>
                        <w:rStyle w:val="Hyperlink"/>
                        <w:rFonts w:ascii="Times New Roman" w:hAnsi="Times New Roman" w:cs="Times New Roman"/>
                        <w:b/>
                        <w:bCs/>
                        <w:lang w:val="ro-MD"/>
                      </w:rPr>
                      <w:t>▼M12</w:t>
                    </w:r>
                  </w:hyperlink>
                </w:p>
              </w:tc>
            </w:tr>
            <w:tr w:rsidR="00106FB1" w:rsidRPr="00C011B2" w14:paraId="125F5D70"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AD554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AD3C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Transport</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00F90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80 %</w:t>
                  </w:r>
                </w:p>
              </w:tc>
            </w:tr>
            <w:tr w:rsidR="00106FB1" w:rsidRPr="00C011B2" w14:paraId="1284CA79"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052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B16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 neprețioase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CF8E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592E9F84"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584BA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5B8C1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Combustibili gazoși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9B48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2A505BC0"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A5EF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095B8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prețioase (inclusiv aurul)</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84BC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62BE670E"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DCA6A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F1F63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Cereale și oleaginoase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0440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5EED7EF1"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846BD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AC6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Șeptel și produse lactate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6349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33ABA88C"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BD2D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43920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Produse agricole perisabile și alte mărfuri agricole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45611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267BC29E"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6DC4D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679D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mărfuri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1C732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bl>
          <w:p w14:paraId="37CDAC3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1DED8795" w14:textId="097FD37F" w:rsidR="00106FB1" w:rsidRPr="00C011B2" w:rsidRDefault="00F02156" w:rsidP="00106FB1">
            <w:pPr>
              <w:spacing w:after="0" w:line="276" w:lineRule="auto"/>
              <w:jc w:val="both"/>
              <w:rPr>
                <w:rFonts w:ascii="Times New Roman" w:hAnsi="Times New Roman" w:cs="Times New Roman"/>
                <w:color w:val="000000" w:themeColor="text1"/>
                <w:lang w:val="ro-MD"/>
              </w:rPr>
            </w:pPr>
            <w:bookmarkStart w:id="296" w:name="_Hlk223513523"/>
            <w:r w:rsidRPr="00C011B2">
              <w:rPr>
                <w:rFonts w:ascii="Times New Roman" w:hAnsi="Times New Roman" w:cs="Times New Roman"/>
                <w:color w:val="000000" w:themeColor="text1"/>
                <w:lang w:val="ro-MD"/>
              </w:rPr>
              <w:lastRenderedPageBreak/>
              <w:t xml:space="preserve">308. </w:t>
            </w:r>
            <w:r w:rsidR="00106FB1" w:rsidRPr="00C011B2">
              <w:rPr>
                <w:rFonts w:ascii="Times New Roman" w:hAnsi="Times New Roman" w:cs="Times New Roman"/>
                <w:color w:val="000000" w:themeColor="text1"/>
                <w:lang w:val="ro-MD"/>
              </w:rPr>
              <w:t>Ponderile de risc pentru sensibilitățile la factorii de risc de marfă sunt următoarele:</w:t>
            </w:r>
          </w:p>
          <w:p w14:paraId="3C772710"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9</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7"/>
              <w:gridCol w:w="1663"/>
              <w:gridCol w:w="1010"/>
            </w:tblGrid>
            <w:tr w:rsidR="00106FB1" w:rsidRPr="00C011B2" w14:paraId="206C87FB"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252AD"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297" w:name="_Hlk223513553"/>
                  <w:bookmarkEnd w:id="296"/>
                  <w:r w:rsidRPr="00C011B2">
                    <w:rPr>
                      <w:rFonts w:ascii="Times New Roman" w:hAnsi="Times New Roman" w:cs="Times New Roman"/>
                      <w:b/>
                      <w:bCs/>
                      <w:color w:val="000000" w:themeColor="text1"/>
                      <w:lang w:val="ro-MD"/>
                    </w:rPr>
                    <w:t>Numărul benzii</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CA83BA"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Denumirea benzii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C37F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Ponderea de risc</w:t>
                  </w:r>
                </w:p>
              </w:tc>
            </w:tr>
            <w:tr w:rsidR="00106FB1" w:rsidRPr="00C011B2" w14:paraId="249A0E75"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A95BF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9B38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solizi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9F14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30 %</w:t>
                  </w:r>
                </w:p>
              </w:tc>
            </w:tr>
            <w:tr w:rsidR="00106FB1" w:rsidRPr="00C011B2" w14:paraId="23A912C7"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2953E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85987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lichizi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7FB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16B7EC00"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2193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DF9F2" w14:textId="04EB0AB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Energie – energie electrică</w:t>
                  </w:r>
                  <w:r w:rsidRPr="00C011B2">
                    <w:rPr>
                      <w:rFonts w:ascii="Times New Roman" w:hAnsi="Times New Roman" w:cs="Times New Roman"/>
                      <w:b/>
                      <w:bCs/>
                      <w:color w:val="000000" w:themeColor="text1"/>
                      <w:lang w:val="ro-MD"/>
                    </w:rPr>
                    <w:t> </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A7D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r>
            <w:tr w:rsidR="00106FB1" w:rsidRPr="00C011B2" w14:paraId="05542899" w14:textId="77777777" w:rsidTr="001E785F">
              <w:trPr>
                <w:jc w:val="center"/>
              </w:trPr>
              <w:tc>
                <w:tcPr>
                  <w:tcW w:w="385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E57206" w14:textId="4807CB80" w:rsidR="00106FB1" w:rsidRPr="00C011B2" w:rsidRDefault="00106FB1" w:rsidP="00106FB1">
                  <w:pPr>
                    <w:spacing w:after="0" w:line="276" w:lineRule="auto"/>
                    <w:jc w:val="both"/>
                    <w:rPr>
                      <w:rFonts w:ascii="Times New Roman" w:hAnsi="Times New Roman" w:cs="Times New Roman"/>
                      <w:b/>
                      <w:bCs/>
                      <w:color w:val="000000" w:themeColor="text1"/>
                      <w:lang w:val="ro-MD"/>
                    </w:rPr>
                  </w:pPr>
                </w:p>
              </w:tc>
            </w:tr>
            <w:tr w:rsidR="00106FB1" w:rsidRPr="00C011B2" w14:paraId="1422A3D9"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A635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3a</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705FE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comercializarea certificatelor de emisii de dioxid de carbon în cadrul EU ETS</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B01D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39E632C8"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F470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3b</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8459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Energie – comercializarea certificatelor de emisii de dioxid de </w:t>
                  </w:r>
                  <w:r w:rsidRPr="00C011B2">
                    <w:rPr>
                      <w:rFonts w:ascii="Times New Roman" w:hAnsi="Times New Roman" w:cs="Times New Roman"/>
                      <w:color w:val="000000" w:themeColor="text1"/>
                      <w:lang w:val="ro-MD"/>
                    </w:rPr>
                    <w:lastRenderedPageBreak/>
                    <w:t>carbon în afara EU ETS</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1A57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60 %</w:t>
                  </w:r>
                </w:p>
              </w:tc>
            </w:tr>
            <w:tr w:rsidR="00106FB1" w:rsidRPr="00C011B2" w14:paraId="08486AEE" w14:textId="77777777" w:rsidTr="001E785F">
              <w:trPr>
                <w:jc w:val="center"/>
              </w:trPr>
              <w:tc>
                <w:tcPr>
                  <w:tcW w:w="385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36E6FE" w14:textId="6E16DB58" w:rsidR="00106FB1" w:rsidRPr="00C011B2" w:rsidRDefault="00106FB1" w:rsidP="00106FB1">
                  <w:pPr>
                    <w:spacing w:after="0" w:line="276" w:lineRule="auto"/>
                    <w:jc w:val="both"/>
                    <w:rPr>
                      <w:rFonts w:ascii="Times New Roman" w:hAnsi="Times New Roman" w:cs="Times New Roman"/>
                      <w:b/>
                      <w:bCs/>
                      <w:color w:val="000000" w:themeColor="text1"/>
                      <w:lang w:val="ro-MD"/>
                    </w:rPr>
                  </w:pPr>
                </w:p>
              </w:tc>
            </w:tr>
            <w:tr w:rsidR="00106FB1" w:rsidRPr="00C011B2" w14:paraId="475DF86E"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3AD8F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A277E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Transport</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E187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80 %</w:t>
                  </w:r>
                </w:p>
              </w:tc>
            </w:tr>
            <w:tr w:rsidR="00106FB1" w:rsidRPr="00C011B2" w14:paraId="4E30AA1D"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10745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B37E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 neprețioase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AC186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0A657971"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FB090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9734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Combustibili gazoși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3761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33DC07CD"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F0A2E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6D4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prețioase (inclusiv aurul)</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22106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20 %</w:t>
                  </w:r>
                </w:p>
              </w:tc>
            </w:tr>
            <w:tr w:rsidR="00106FB1" w:rsidRPr="00C011B2" w14:paraId="760A769A"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408C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1BB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Cereale și oleaginoase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64AA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487199EE"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4E9E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E3BC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Șeptel și produse lactate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881A9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106FB1" w:rsidRPr="00C011B2" w14:paraId="2F9A3723"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2B0F5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F821D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Produse agricole perisabile și alte mărfuri agricole</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373FE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35 %</w:t>
                  </w:r>
                </w:p>
              </w:tc>
            </w:tr>
            <w:tr w:rsidR="00106FB1" w:rsidRPr="00C011B2" w14:paraId="23A32CF4"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420D7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7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C2AB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mărfuri</w:t>
                  </w:r>
                </w:p>
              </w:tc>
              <w:tc>
                <w:tcPr>
                  <w:tcW w:w="10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D03C3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bookmarkEnd w:id="297"/>
          </w:tbl>
          <w:p w14:paraId="6853EB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768DF2C7" w14:textId="5B76FBCF"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EA7B1C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06D39B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1D96F0"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49" w:tooltip="32019R0876: INSERTED" w:history="1">
              <w:r w:rsidR="00106FB1" w:rsidRPr="00C011B2">
                <w:rPr>
                  <w:rStyle w:val="Hyperlink"/>
                  <w:rFonts w:ascii="Times New Roman" w:hAnsi="Times New Roman" w:cs="Times New Roman"/>
                  <w:b/>
                  <w:bCs/>
                  <w:lang w:val="ro-MD"/>
                </w:rPr>
                <w:t>▼M8</w:t>
              </w:r>
            </w:hyperlink>
          </w:p>
          <w:p w14:paraId="5E346880"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325at</w:t>
            </w:r>
          </w:p>
          <w:p w14:paraId="237EFB3D" w14:textId="06BDB70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din cadrul unei benzi pentru riscul de marfă</w:t>
            </w:r>
          </w:p>
        </w:tc>
        <w:tc>
          <w:tcPr>
            <w:tcW w:w="1692" w:type="pct"/>
            <w:shd w:val="clear" w:color="auto" w:fill="auto"/>
          </w:tcPr>
          <w:p w14:paraId="5979201C" w14:textId="19AA9E63"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298" w:name="_Hlk195098176"/>
            <w:r w:rsidRPr="00C011B2">
              <w:rPr>
                <w:rFonts w:ascii="Times New Roman" w:hAnsi="Times New Roman" w:cs="Times New Roman"/>
                <w:i/>
                <w:iCs/>
                <w:color w:val="000000" w:themeColor="text1"/>
                <w:lang w:val="ro-MD"/>
              </w:rPr>
              <w:t>Paragraful 16</w:t>
            </w:r>
            <w:r w:rsidR="00366978" w:rsidRPr="00C011B2">
              <w:rPr>
                <w:rFonts w:ascii="Times New Roman" w:hAnsi="Times New Roman" w:cs="Times New Roman"/>
                <w:i/>
                <w:iCs/>
                <w:color w:val="000000" w:themeColor="text1"/>
                <w:lang w:val="ro-MD"/>
              </w:rPr>
              <w:t xml:space="preserve">. </w:t>
            </w:r>
            <w:r w:rsidR="00106FB1" w:rsidRPr="00C011B2">
              <w:rPr>
                <w:rFonts w:ascii="Times New Roman" w:hAnsi="Times New Roman" w:cs="Times New Roman"/>
                <w:b/>
                <w:bCs/>
                <w:color w:val="000000" w:themeColor="text1"/>
                <w:lang w:val="ro-MD"/>
              </w:rPr>
              <w:t>Corelațiile din cadrul unei benzi pentru riscul de marfă</w:t>
            </w:r>
            <w:bookmarkEnd w:id="298"/>
          </w:p>
        </w:tc>
        <w:tc>
          <w:tcPr>
            <w:tcW w:w="450" w:type="pct"/>
          </w:tcPr>
          <w:p w14:paraId="16D1C0E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07E2BCA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695EBBD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B365D9" w14:textId="3452C305"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În scopul prezentului articol, oricare două mărfuri sunt considerate mărfuri distincte dacă pe piață există două contracte care sunt diferențiate numai prin marfa-suport care trebuie livrată conform fiecărui contract.</w:t>
            </w:r>
          </w:p>
        </w:tc>
        <w:tc>
          <w:tcPr>
            <w:tcW w:w="1692" w:type="pct"/>
            <w:shd w:val="clear" w:color="auto" w:fill="auto"/>
          </w:tcPr>
          <w:p w14:paraId="1B56F8AC" w14:textId="0B32E6AA"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299" w:name="_Hlk223513677"/>
            <w:r w:rsidRPr="00C011B2">
              <w:rPr>
                <w:rFonts w:ascii="Times New Roman" w:hAnsi="Times New Roman" w:cs="Times New Roman"/>
                <w:color w:val="000000" w:themeColor="text1"/>
                <w:lang w:val="ro-MD"/>
              </w:rPr>
              <w:t>309.</w:t>
            </w:r>
            <w:r w:rsidR="00106FB1" w:rsidRPr="00C011B2">
              <w:rPr>
                <w:rFonts w:ascii="Times New Roman" w:hAnsi="Times New Roman" w:cs="Times New Roman"/>
                <w:color w:val="000000" w:themeColor="text1"/>
                <w:lang w:val="ro-MD"/>
              </w:rPr>
              <w:t xml:space="preserve">   În scopul prezentului </w:t>
            </w:r>
            <w:r w:rsidRPr="00C011B2">
              <w:rPr>
                <w:rFonts w:ascii="Times New Roman" w:hAnsi="Times New Roman" w:cs="Times New Roman"/>
                <w:color w:val="000000" w:themeColor="text1"/>
                <w:lang w:val="ro-MD"/>
              </w:rPr>
              <w:t>paragraf</w:t>
            </w:r>
            <w:r w:rsidR="00106FB1" w:rsidRPr="00C011B2">
              <w:rPr>
                <w:rFonts w:ascii="Times New Roman" w:hAnsi="Times New Roman" w:cs="Times New Roman"/>
                <w:color w:val="000000" w:themeColor="text1"/>
                <w:lang w:val="ro-MD"/>
              </w:rPr>
              <w:t>, oricare două mărfuri sunt considerate mărfuri distincte dacă pe piață există două contracte care sunt diferențiate numai prin marfa-suport care trebuie livrată conform fiecărui contract.</w:t>
            </w:r>
            <w:bookmarkEnd w:id="299"/>
          </w:p>
        </w:tc>
        <w:tc>
          <w:tcPr>
            <w:tcW w:w="450" w:type="pct"/>
          </w:tcPr>
          <w:p w14:paraId="728E92DB" w14:textId="7EA72E07"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A4DA7C"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2835E0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D25F84" w14:textId="3C5A5ED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între două sensibilități WS</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WS</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din cadrul aceleiași benzi se stabilește după cum urmează:</w:t>
            </w:r>
          </w:p>
          <w:p w14:paraId="0EA73C6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(marfă)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p>
          <w:p w14:paraId="40C4C8A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58539AD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(marfă)</w:t>
            </w:r>
            <w:r w:rsidRPr="00C011B2">
              <w:rPr>
                <w:rFonts w:ascii="Times New Roman" w:hAnsi="Times New Roman" w:cs="Times New Roman"/>
                <w:color w:val="000000" w:themeColor="text1"/>
                <w:lang w:val="ro-MD"/>
              </w:rPr>
              <w:t> este egal cu 1 atunci când cele două mărfuri cu sensibilitate „k” și „l” sunt identice, iar în caz contrar cu corelațiile din cadrul benzii care figurează în tabelul 10;</w:t>
            </w:r>
          </w:p>
          <w:p w14:paraId="1A673B7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este egal cu 1 atunci când cele două puncte ale sensibilităților „k” și „l” sunt identice, iar în caz contrar cu 99 %; și</w:t>
            </w:r>
          </w:p>
          <w:p w14:paraId="6E713FF3" w14:textId="71F44D1E"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 cu 1 atunci când cele două sensibilități sunt identice în ceea ce privește locul de livrare a mărfii, iar în caz contrar cu 99,90 %.</w:t>
            </w:r>
          </w:p>
        </w:tc>
        <w:tc>
          <w:tcPr>
            <w:tcW w:w="1692" w:type="pct"/>
            <w:shd w:val="clear" w:color="auto" w:fill="auto"/>
          </w:tcPr>
          <w:p w14:paraId="2B122B2E" w14:textId="3AC7C08E"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0" w:name="_Hlk223513695"/>
            <w:r w:rsidRPr="00C011B2">
              <w:rPr>
                <w:rFonts w:ascii="Times New Roman" w:hAnsi="Times New Roman" w:cs="Times New Roman"/>
                <w:color w:val="000000" w:themeColor="text1"/>
                <w:lang w:val="ro-MD"/>
              </w:rPr>
              <w:t>310.</w:t>
            </w:r>
            <w:r w:rsidR="00106FB1" w:rsidRPr="00C011B2">
              <w:rPr>
                <w:rFonts w:ascii="Times New Roman" w:hAnsi="Times New Roman" w:cs="Times New Roman"/>
                <w:color w:val="000000" w:themeColor="text1"/>
                <w:lang w:val="ro-MD"/>
              </w:rPr>
              <w:t>   Parametrul de corelație ρ</w:t>
            </w:r>
            <w:r w:rsidR="00106FB1" w:rsidRPr="00C011B2">
              <w:rPr>
                <w:rFonts w:ascii="Times New Roman" w:hAnsi="Times New Roman" w:cs="Times New Roman"/>
                <w:color w:val="000000" w:themeColor="text1"/>
                <w:vertAlign w:val="subscript"/>
                <w:lang w:val="ro-MD"/>
              </w:rPr>
              <w:t>kl</w:t>
            </w:r>
            <w:r w:rsidR="00106FB1" w:rsidRPr="00C011B2">
              <w:rPr>
                <w:rFonts w:ascii="Times New Roman" w:hAnsi="Times New Roman" w:cs="Times New Roman"/>
                <w:color w:val="000000" w:themeColor="text1"/>
                <w:lang w:val="ro-MD"/>
              </w:rPr>
              <w:t> între două sensibilități WS</w:t>
            </w:r>
            <w:r w:rsidR="00106FB1" w:rsidRPr="00C011B2">
              <w:rPr>
                <w:rFonts w:ascii="Times New Roman" w:hAnsi="Times New Roman" w:cs="Times New Roman"/>
                <w:color w:val="000000" w:themeColor="text1"/>
                <w:vertAlign w:val="subscript"/>
                <w:lang w:val="ro-MD"/>
              </w:rPr>
              <w:t>k</w:t>
            </w:r>
            <w:r w:rsidR="00106FB1" w:rsidRPr="00C011B2">
              <w:rPr>
                <w:rFonts w:ascii="Times New Roman" w:hAnsi="Times New Roman" w:cs="Times New Roman"/>
                <w:color w:val="000000" w:themeColor="text1"/>
                <w:lang w:val="ro-MD"/>
              </w:rPr>
              <w:t> și WS</w:t>
            </w:r>
            <w:r w:rsidR="00106FB1" w:rsidRPr="00C011B2">
              <w:rPr>
                <w:rFonts w:ascii="Times New Roman" w:hAnsi="Times New Roman" w:cs="Times New Roman"/>
                <w:color w:val="000000" w:themeColor="text1"/>
                <w:vertAlign w:val="subscript"/>
                <w:lang w:val="ro-MD"/>
              </w:rPr>
              <w:t>l</w:t>
            </w:r>
            <w:r w:rsidR="00106FB1" w:rsidRPr="00C011B2">
              <w:rPr>
                <w:rFonts w:ascii="Times New Roman" w:hAnsi="Times New Roman" w:cs="Times New Roman"/>
                <w:color w:val="000000" w:themeColor="text1"/>
                <w:lang w:val="ro-MD"/>
              </w:rPr>
              <w:t> din cadrul aceleiași benzi se stabilește după cum urmează:</w:t>
            </w:r>
          </w:p>
          <w:p w14:paraId="730F5E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(marfă)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p>
          <w:p w14:paraId="2FA45A7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4F2FA6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(marfă)</w:t>
            </w:r>
            <w:r w:rsidRPr="00C011B2">
              <w:rPr>
                <w:rFonts w:ascii="Times New Roman" w:hAnsi="Times New Roman" w:cs="Times New Roman"/>
                <w:color w:val="000000" w:themeColor="text1"/>
                <w:lang w:val="ro-MD"/>
              </w:rPr>
              <w:t> este egal cu 1 atunci când cele două mărfuri cu sensibilitate „k” și „l” sunt identice, iar în caz contrar cu corelațiile din cadrul benzii care figurează în tabelul 10;</w:t>
            </w:r>
          </w:p>
          <w:p w14:paraId="7211897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(scadență)</w:t>
            </w:r>
            <w:r w:rsidRPr="00C011B2">
              <w:rPr>
                <w:rFonts w:ascii="Times New Roman" w:hAnsi="Times New Roman" w:cs="Times New Roman"/>
                <w:color w:val="000000" w:themeColor="text1"/>
                <w:lang w:val="ro-MD"/>
              </w:rPr>
              <w:t> este egal cu 1 atunci când cele două puncte ale sensibilităților „k” și „l” sunt identice, iar în caz contrar cu 99 %; și</w:t>
            </w:r>
          </w:p>
          <w:p w14:paraId="09AF4098" w14:textId="25D314C3"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(bază)</w:t>
            </w:r>
            <w:r w:rsidRPr="00C011B2">
              <w:rPr>
                <w:rFonts w:ascii="Times New Roman" w:hAnsi="Times New Roman" w:cs="Times New Roman"/>
                <w:color w:val="000000" w:themeColor="text1"/>
                <w:lang w:val="ro-MD"/>
              </w:rPr>
              <w:t> este egal cu 1 atunci când cele două sensibilități sunt identice în ceea ce privește locul de livrare a mărfii, iar în caz contrar cu 99,90 %.</w:t>
            </w:r>
            <w:bookmarkEnd w:id="300"/>
          </w:p>
        </w:tc>
        <w:tc>
          <w:tcPr>
            <w:tcW w:w="450" w:type="pct"/>
          </w:tcPr>
          <w:p w14:paraId="234DCFAD" w14:textId="6E9DD014"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B24EC1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272AE1E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20B726F" w14:textId="0A3B5B90"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Corelațiile din cadrul benzii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vertAlign w:val="superscript"/>
                <w:lang w:val="ro-MD"/>
              </w:rPr>
              <w:t>(marfă)</w:t>
            </w:r>
            <w:r w:rsidRPr="00C011B2">
              <w:rPr>
                <w:rFonts w:ascii="Times New Roman" w:hAnsi="Times New Roman" w:cs="Times New Roman"/>
                <w:color w:val="000000" w:themeColor="text1"/>
                <w:lang w:val="ro-MD"/>
              </w:rPr>
              <w:t> sunt:</w:t>
            </w:r>
          </w:p>
          <w:p w14:paraId="7969D74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10</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76"/>
              <w:gridCol w:w="1619"/>
              <w:gridCol w:w="1005"/>
            </w:tblGrid>
            <w:tr w:rsidR="00106FB1" w:rsidRPr="00C011B2" w14:paraId="5F41DAC2"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755E3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Numărul benzii</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C5B7D"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Numele benzii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3EBFD4"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Corelație</w:t>
                  </w:r>
                </w:p>
                <w:p w14:paraId="6A51CD67"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ρ</w:t>
                  </w:r>
                  <w:r w:rsidRPr="00C011B2">
                    <w:rPr>
                      <w:rFonts w:ascii="Times New Roman" w:hAnsi="Times New Roman" w:cs="Times New Roman"/>
                      <w:b/>
                      <w:bCs/>
                      <w:color w:val="000000" w:themeColor="text1"/>
                      <w:vertAlign w:val="subscript"/>
                      <w:lang w:val="ro-MD"/>
                    </w:rPr>
                    <w:t>kl</w:t>
                  </w:r>
                  <w:r w:rsidRPr="00C011B2">
                    <w:rPr>
                      <w:rFonts w:ascii="Times New Roman" w:hAnsi="Times New Roman" w:cs="Times New Roman"/>
                      <w:b/>
                      <w:bCs/>
                      <w:color w:val="000000" w:themeColor="text1"/>
                      <w:lang w:val="ro-MD"/>
                    </w:rPr>
                    <w:t> </w:t>
                  </w:r>
                  <w:r w:rsidRPr="00C011B2">
                    <w:rPr>
                      <w:rFonts w:ascii="Times New Roman" w:hAnsi="Times New Roman" w:cs="Times New Roman"/>
                      <w:b/>
                      <w:bCs/>
                      <w:color w:val="000000" w:themeColor="text1"/>
                      <w:vertAlign w:val="superscript"/>
                      <w:lang w:val="ro-MD"/>
                    </w:rPr>
                    <w:t>(marfă)</w:t>
                  </w:r>
                </w:p>
              </w:tc>
            </w:tr>
            <w:tr w:rsidR="00106FB1" w:rsidRPr="00C011B2" w14:paraId="6ADF8E3D"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72255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00EF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solizi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A093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r>
            <w:tr w:rsidR="00106FB1" w:rsidRPr="00C011B2" w14:paraId="6CC8321E"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0BAA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E5D30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lichizi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DD10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95 %</w:t>
                  </w:r>
                </w:p>
              </w:tc>
            </w:tr>
            <w:tr w:rsidR="00106FB1" w:rsidRPr="00C011B2" w14:paraId="57359DE1"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78D4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4AC1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energie electrică și comercializarea certificatelor de emisii de dioxid de carbon</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BB0ED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1DF87812"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F6B50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8BA3C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Transport</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327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80 %</w:t>
                  </w:r>
                </w:p>
              </w:tc>
            </w:tr>
            <w:tr w:rsidR="00106FB1" w:rsidRPr="00C011B2" w14:paraId="1C7BF968"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306C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801F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 neprețioase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1573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r>
            <w:tr w:rsidR="00106FB1" w:rsidRPr="00C011B2" w14:paraId="7D5C47BC"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1BBA2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C0A2C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Combustibili gazoși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0E8B5"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65 %</w:t>
                  </w:r>
                </w:p>
              </w:tc>
            </w:tr>
            <w:tr w:rsidR="00106FB1" w:rsidRPr="00C011B2" w14:paraId="758F000C"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8EB4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7304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prețioase (inclusiv aurul)</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2F43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r>
            <w:tr w:rsidR="00106FB1" w:rsidRPr="00C011B2" w14:paraId="2001E098"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01BD0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BE7CC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Cereale și oleaginoase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4DA9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6DCB57E0"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1DAA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CD07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Șeptel și produse lactate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642B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0DFD0F43"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F718F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10</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84DD6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Produse agricole perisabile și alte produse agricole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E519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780247D8" w14:textId="77777777" w:rsidTr="004B0466">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3F250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D47E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mărfuri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C3D2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bl>
          <w:p w14:paraId="477287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DD04CCA" w14:textId="1C32D54A"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1" w:name="_Hlk223513724"/>
            <w:r w:rsidRPr="00C011B2">
              <w:rPr>
                <w:rFonts w:ascii="Times New Roman" w:hAnsi="Times New Roman" w:cs="Times New Roman"/>
                <w:color w:val="000000" w:themeColor="text1"/>
                <w:lang w:val="ro-MD"/>
              </w:rPr>
              <w:lastRenderedPageBreak/>
              <w:t>311.</w:t>
            </w:r>
            <w:r w:rsidR="00106FB1" w:rsidRPr="00C011B2">
              <w:rPr>
                <w:rFonts w:ascii="Times New Roman" w:hAnsi="Times New Roman" w:cs="Times New Roman"/>
                <w:color w:val="000000" w:themeColor="text1"/>
                <w:lang w:val="ro-MD"/>
              </w:rPr>
              <w:t>  Corelațiile din cadrul benzii ρ</w:t>
            </w:r>
            <w:r w:rsidR="00106FB1" w:rsidRPr="00C011B2">
              <w:rPr>
                <w:rFonts w:ascii="Times New Roman" w:hAnsi="Times New Roman" w:cs="Times New Roman"/>
                <w:color w:val="000000" w:themeColor="text1"/>
                <w:vertAlign w:val="subscript"/>
                <w:lang w:val="ro-MD"/>
              </w:rPr>
              <w:t>kl</w:t>
            </w:r>
            <w:r w:rsidR="00106FB1" w:rsidRPr="00C011B2">
              <w:rPr>
                <w:rFonts w:ascii="Times New Roman" w:hAnsi="Times New Roman" w:cs="Times New Roman"/>
                <w:color w:val="000000" w:themeColor="text1"/>
                <w:lang w:val="ro-MD"/>
              </w:rPr>
              <w:t> </w:t>
            </w:r>
            <w:r w:rsidR="00106FB1" w:rsidRPr="00C011B2">
              <w:rPr>
                <w:rFonts w:ascii="Times New Roman" w:hAnsi="Times New Roman" w:cs="Times New Roman"/>
                <w:color w:val="000000" w:themeColor="text1"/>
                <w:vertAlign w:val="superscript"/>
                <w:lang w:val="ro-MD"/>
              </w:rPr>
              <w:t>(marfă)</w:t>
            </w:r>
            <w:r w:rsidR="00106FB1" w:rsidRPr="00C011B2">
              <w:rPr>
                <w:rFonts w:ascii="Times New Roman" w:hAnsi="Times New Roman" w:cs="Times New Roman"/>
                <w:color w:val="000000" w:themeColor="text1"/>
                <w:lang w:val="ro-MD"/>
              </w:rPr>
              <w:t> sunt:</w:t>
            </w:r>
          </w:p>
          <w:p w14:paraId="2B1EB3F5"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10</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76"/>
              <w:gridCol w:w="1619"/>
              <w:gridCol w:w="1005"/>
            </w:tblGrid>
            <w:tr w:rsidR="00106FB1" w:rsidRPr="00C011B2" w14:paraId="254BCB00"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EA77EC"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bookmarkStart w:id="302" w:name="_Hlk223513738"/>
                  <w:bookmarkEnd w:id="301"/>
                  <w:r w:rsidRPr="00C011B2">
                    <w:rPr>
                      <w:rFonts w:ascii="Times New Roman" w:hAnsi="Times New Roman" w:cs="Times New Roman"/>
                      <w:b/>
                      <w:bCs/>
                      <w:color w:val="000000" w:themeColor="text1"/>
                      <w:lang w:val="ro-MD"/>
                    </w:rPr>
                    <w:t>Numărul benzii</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7823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Numele benzii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1C080B"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Corelație</w:t>
                  </w:r>
                </w:p>
                <w:p w14:paraId="0A6D7C72" w14:textId="77777777" w:rsidR="00106FB1" w:rsidRPr="00C011B2" w:rsidRDefault="00106FB1" w:rsidP="00106FB1">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ρ</w:t>
                  </w:r>
                  <w:r w:rsidRPr="00C011B2">
                    <w:rPr>
                      <w:rFonts w:ascii="Times New Roman" w:hAnsi="Times New Roman" w:cs="Times New Roman"/>
                      <w:b/>
                      <w:bCs/>
                      <w:color w:val="000000" w:themeColor="text1"/>
                      <w:vertAlign w:val="subscript"/>
                      <w:lang w:val="ro-MD"/>
                    </w:rPr>
                    <w:t>kl</w:t>
                  </w:r>
                  <w:r w:rsidRPr="00C011B2">
                    <w:rPr>
                      <w:rFonts w:ascii="Times New Roman" w:hAnsi="Times New Roman" w:cs="Times New Roman"/>
                      <w:b/>
                      <w:bCs/>
                      <w:color w:val="000000" w:themeColor="text1"/>
                      <w:lang w:val="ro-MD"/>
                    </w:rPr>
                    <w:t> </w:t>
                  </w:r>
                  <w:r w:rsidRPr="00C011B2">
                    <w:rPr>
                      <w:rFonts w:ascii="Times New Roman" w:hAnsi="Times New Roman" w:cs="Times New Roman"/>
                      <w:b/>
                      <w:bCs/>
                      <w:color w:val="000000" w:themeColor="text1"/>
                      <w:vertAlign w:val="superscript"/>
                      <w:lang w:val="ro-MD"/>
                    </w:rPr>
                    <w:t>(marfă)</w:t>
                  </w:r>
                </w:p>
              </w:tc>
            </w:tr>
            <w:tr w:rsidR="00106FB1" w:rsidRPr="00C011B2" w14:paraId="1975CC22"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7919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86E5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solizi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D294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r>
            <w:tr w:rsidR="00106FB1" w:rsidRPr="00C011B2" w14:paraId="6DB98A80"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4FC6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4FE2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combustibili lichizi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5D643"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95 %</w:t>
                  </w:r>
                </w:p>
              </w:tc>
            </w:tr>
            <w:tr w:rsidR="00106FB1" w:rsidRPr="00C011B2" w14:paraId="3FE54A6F"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3394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823B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Energie – energie electrică și comercializarea certificatelor de emisii de dioxid de carbon</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3E162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5AFEB1E8"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563D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B4B91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Transport</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2DED8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80 %</w:t>
                  </w:r>
                </w:p>
              </w:tc>
            </w:tr>
            <w:tr w:rsidR="00106FB1" w:rsidRPr="00C011B2" w14:paraId="2DE45A95"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FBE4F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8C208B"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 neprețioase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C9202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60 %</w:t>
                  </w:r>
                </w:p>
              </w:tc>
            </w:tr>
            <w:tr w:rsidR="00106FB1" w:rsidRPr="00C011B2" w14:paraId="6AA3A454"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3BFC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8FF66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Combustibili gazoși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BA19D"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65 %</w:t>
                  </w:r>
                </w:p>
              </w:tc>
            </w:tr>
            <w:tr w:rsidR="00106FB1" w:rsidRPr="00C011B2" w14:paraId="4FF0C074"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E40F5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2E8130"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Metale prețioase (inclusiv aurul)</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1EC17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55 %</w:t>
                  </w:r>
                </w:p>
              </w:tc>
            </w:tr>
            <w:tr w:rsidR="00106FB1" w:rsidRPr="00C011B2" w14:paraId="7DE3C132"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41441"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59F3F4"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Cereale și oleaginoase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F0B88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45 %</w:t>
                  </w:r>
                </w:p>
              </w:tc>
            </w:tr>
            <w:tr w:rsidR="00106FB1" w:rsidRPr="00C011B2" w14:paraId="2EF3931F"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77972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EF3E22"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Șeptel și produse lactate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FA5AC"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tr w:rsidR="00106FB1" w:rsidRPr="00C011B2" w14:paraId="2F9A8951"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5FEBB8"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10</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E2DB6A"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Produse agricole perisabile și alte produse agricole</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86F17"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40 %</w:t>
                  </w:r>
                </w:p>
              </w:tc>
            </w:tr>
            <w:tr w:rsidR="00106FB1" w:rsidRPr="00C011B2" w14:paraId="5367BCC5" w14:textId="77777777" w:rsidTr="001E785F">
              <w:trPr>
                <w:jc w:val="center"/>
              </w:trPr>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2B89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p>
              </w:tc>
              <w:tc>
                <w:tcPr>
                  <w:tcW w:w="16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0AD0F"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mărfuri</w:t>
                  </w:r>
                </w:p>
              </w:tc>
              <w:tc>
                <w:tcPr>
                  <w:tcW w:w="10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BEC5E"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15 %</w:t>
                  </w:r>
                </w:p>
              </w:tc>
            </w:tr>
            <w:bookmarkEnd w:id="302"/>
          </w:tbl>
          <w:p w14:paraId="0FC1D6B6"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p>
        </w:tc>
        <w:tc>
          <w:tcPr>
            <w:tcW w:w="450" w:type="pct"/>
          </w:tcPr>
          <w:p w14:paraId="1A56B87F" w14:textId="7521C156"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BF09258"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5AF6659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7D140F1" w14:textId="128B6CBF"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   În pofida alineatului (1), se aplică următoarele dispoziții:</w:t>
            </w:r>
          </w:p>
          <w:p w14:paraId="3C801284" w14:textId="09D79576"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doi factori de risc care sunt alocați benzii 3 din tabelul 10 și care se referă la electricitatea care este generată în diferite regiuni sau este furnizată în diferite perioade în baza contractului sunt considerați factori de risc de marfă distincți;</w:t>
            </w:r>
          </w:p>
          <w:p w14:paraId="45D55F5D" w14:textId="04A447C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doi factori de risc care sunt alocați benzii 4 din tabelul 10 și care se referă la transport în cazul cărora rutele de transport sau săptămânile de livrare diferă sunt considerați factori de risc de marfă distincți.</w:t>
            </w:r>
          </w:p>
        </w:tc>
        <w:tc>
          <w:tcPr>
            <w:tcW w:w="1692" w:type="pct"/>
            <w:shd w:val="clear" w:color="auto" w:fill="auto"/>
          </w:tcPr>
          <w:p w14:paraId="4DC1BD9D" w14:textId="12F9022C"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3" w:name="_Hlk223513811"/>
            <w:r w:rsidRPr="00C011B2">
              <w:rPr>
                <w:rFonts w:ascii="Times New Roman" w:hAnsi="Times New Roman" w:cs="Times New Roman"/>
                <w:color w:val="000000" w:themeColor="text1"/>
                <w:lang w:val="ro-MD"/>
              </w:rPr>
              <w:t>312.</w:t>
            </w:r>
            <w:r w:rsidR="00106FB1" w:rsidRPr="00C011B2">
              <w:rPr>
                <w:rFonts w:ascii="Times New Roman" w:hAnsi="Times New Roman" w:cs="Times New Roman"/>
                <w:color w:val="000000" w:themeColor="text1"/>
                <w:lang w:val="ro-MD"/>
              </w:rPr>
              <w:t>   În pofida</w:t>
            </w:r>
            <w:r w:rsidR="00366978"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pct.309</w:t>
            </w:r>
            <w:r w:rsidR="00106FB1" w:rsidRPr="00C011B2">
              <w:rPr>
                <w:rFonts w:ascii="Times New Roman" w:hAnsi="Times New Roman" w:cs="Times New Roman"/>
                <w:color w:val="000000" w:themeColor="text1"/>
                <w:lang w:val="ro-MD"/>
              </w:rPr>
              <w:t>, se aplică următoarele dispoziții:</w:t>
            </w:r>
          </w:p>
          <w:p w14:paraId="1C940708" w14:textId="75D509E1" w:rsidR="00106FB1" w:rsidRPr="00C011B2" w:rsidRDefault="00D058AA"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312.1.</w:t>
            </w:r>
            <w:r w:rsidR="00106FB1" w:rsidRPr="00C011B2">
              <w:rPr>
                <w:rFonts w:ascii="Times New Roman" w:hAnsi="Times New Roman" w:cs="Times New Roman"/>
                <w:color w:val="000000" w:themeColor="text1"/>
                <w:lang w:val="ro-MD"/>
              </w:rPr>
              <w:t> doi factori de risc care sunt alocați benzii 3 din tabelul 10 și care se referă la electricitatea care este generată în diferite regiuni sau este furnizată în diferite perioade în baza contractului sunt considerați factori de risc de marfă distincți;</w:t>
            </w:r>
          </w:p>
          <w:p w14:paraId="25B83EEA" w14:textId="08E8E9EA" w:rsidR="00106FB1" w:rsidRPr="00C011B2" w:rsidRDefault="00D058AA"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312.2.</w:t>
            </w:r>
            <w:r w:rsidR="00106FB1" w:rsidRPr="00C011B2">
              <w:rPr>
                <w:rFonts w:ascii="Times New Roman" w:hAnsi="Times New Roman" w:cs="Times New Roman"/>
                <w:color w:val="000000" w:themeColor="text1"/>
                <w:lang w:val="ro-MD"/>
              </w:rPr>
              <w:t> doi factori de risc care sunt alocați benzii 4 din tabelul 10 și care se referă la transport în cazul cărora rutele de transport sau săptămânile de livrare diferă sunt considerați factori de risc de marfă distincți.</w:t>
            </w:r>
            <w:bookmarkEnd w:id="303"/>
          </w:p>
        </w:tc>
        <w:tc>
          <w:tcPr>
            <w:tcW w:w="450" w:type="pct"/>
          </w:tcPr>
          <w:p w14:paraId="28525F77" w14:textId="6EE54BF6"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B252481"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6E10C6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6017163"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325au</w:t>
            </w:r>
          </w:p>
          <w:p w14:paraId="375017C7" w14:textId="0E2DBFE2"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riscul de marfă</w:t>
            </w:r>
          </w:p>
        </w:tc>
        <w:tc>
          <w:tcPr>
            <w:tcW w:w="1692" w:type="pct"/>
            <w:shd w:val="clear" w:color="auto" w:fill="auto"/>
          </w:tcPr>
          <w:p w14:paraId="7106F5E7" w14:textId="6A625C25" w:rsidR="00106FB1" w:rsidRPr="00C011B2" w:rsidRDefault="00D058AA" w:rsidP="00106FB1">
            <w:pPr>
              <w:spacing w:after="0" w:line="276" w:lineRule="auto"/>
              <w:jc w:val="both"/>
              <w:rPr>
                <w:rFonts w:ascii="Times New Roman" w:hAnsi="Times New Roman" w:cs="Times New Roman"/>
                <w:i/>
                <w:iCs/>
                <w:color w:val="000000" w:themeColor="text1"/>
                <w:lang w:val="ro-MD"/>
              </w:rPr>
            </w:pPr>
            <w:bookmarkStart w:id="304" w:name="_Hlk195098209"/>
            <w:r w:rsidRPr="00C011B2">
              <w:rPr>
                <w:rFonts w:ascii="Times New Roman" w:hAnsi="Times New Roman" w:cs="Times New Roman"/>
                <w:i/>
                <w:iCs/>
                <w:color w:val="000000" w:themeColor="text1"/>
                <w:lang w:val="ro-MD"/>
              </w:rPr>
              <w:t>Paragraful 17</w:t>
            </w:r>
            <w:r w:rsidR="00366978" w:rsidRPr="00C011B2">
              <w:rPr>
                <w:rFonts w:ascii="Times New Roman" w:hAnsi="Times New Roman" w:cs="Times New Roman"/>
                <w:i/>
                <w:iCs/>
                <w:color w:val="000000" w:themeColor="text1"/>
                <w:lang w:val="ro-MD"/>
              </w:rPr>
              <w:t xml:space="preserve">. </w:t>
            </w:r>
          </w:p>
          <w:p w14:paraId="16ACFA3F" w14:textId="3314855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între benzi pentru riscul de marfă</w:t>
            </w:r>
            <w:bookmarkEnd w:id="304"/>
          </w:p>
        </w:tc>
        <w:tc>
          <w:tcPr>
            <w:tcW w:w="450" w:type="pct"/>
          </w:tcPr>
          <w:p w14:paraId="05090B45"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47021B6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4A7C9C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98AB19" w14:textId="7777777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Parametrul de corelație </w:t>
            </w:r>
            <w:r w:rsidRPr="00C011B2">
              <w:rPr>
                <w:rFonts w:ascii="Times New Roman" w:hAnsi="Times New Roman" w:cs="Times New Roman"/>
                <w:i/>
                <w:iCs/>
                <w:color w:val="000000" w:themeColor="text1"/>
                <w:lang w:val="ro-MD"/>
              </w:rPr>
              <w:t>γ</w:t>
            </w:r>
            <w:r w:rsidRPr="00C011B2">
              <w:rPr>
                <w:rFonts w:ascii="Times New Roman" w:hAnsi="Times New Roman" w:cs="Times New Roman"/>
                <w:i/>
                <w:iCs/>
                <w:color w:val="000000" w:themeColor="text1"/>
                <w:vertAlign w:val="subscript"/>
                <w:lang w:val="ro-MD"/>
              </w:rPr>
              <w:t>bc</w:t>
            </w:r>
            <w:r w:rsidRPr="00C011B2">
              <w:rPr>
                <w:rFonts w:ascii="Times New Roman" w:hAnsi="Times New Roman" w:cs="Times New Roman"/>
                <w:i/>
                <w:iCs/>
                <w:color w:val="000000" w:themeColor="text1"/>
                <w:lang w:val="ro-MD"/>
              </w:rPr>
              <w:t> </w:t>
            </w:r>
            <w:r w:rsidRPr="00C011B2">
              <w:rPr>
                <w:rFonts w:ascii="Times New Roman" w:hAnsi="Times New Roman" w:cs="Times New Roman"/>
                <w:color w:val="000000" w:themeColor="text1"/>
                <w:lang w:val="ro-MD"/>
              </w:rPr>
              <w:t>care se aplică agregării sensibilităților între diferite benzi este stabilit la:</w:t>
            </w:r>
          </w:p>
          <w:p w14:paraId="31CCFD67" w14:textId="6ABDC4D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20 % atunci când cele două benzi au numere de la 1 la 10;</w:t>
            </w:r>
          </w:p>
          <w:p w14:paraId="3782BD59" w14:textId="69771ED1"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0 % atunci când oricare dintre cele două benzi are numărul 11.</w:t>
            </w:r>
          </w:p>
        </w:tc>
        <w:tc>
          <w:tcPr>
            <w:tcW w:w="1692" w:type="pct"/>
            <w:shd w:val="clear" w:color="auto" w:fill="auto"/>
          </w:tcPr>
          <w:p w14:paraId="354C667F" w14:textId="734E16E7"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5" w:name="_Hlk223513906"/>
            <w:r w:rsidRPr="00C011B2">
              <w:rPr>
                <w:rFonts w:ascii="Times New Roman" w:hAnsi="Times New Roman" w:cs="Times New Roman"/>
                <w:color w:val="000000" w:themeColor="text1"/>
                <w:lang w:val="ro-MD"/>
              </w:rPr>
              <w:t xml:space="preserve">313. </w:t>
            </w:r>
            <w:r w:rsidR="00106FB1" w:rsidRPr="00C011B2">
              <w:rPr>
                <w:rFonts w:ascii="Times New Roman" w:hAnsi="Times New Roman" w:cs="Times New Roman"/>
                <w:color w:val="000000" w:themeColor="text1"/>
                <w:lang w:val="ro-MD"/>
              </w:rPr>
              <w:t>Parametrul de corelație </w:t>
            </w:r>
            <w:r w:rsidR="00106FB1" w:rsidRPr="00C011B2">
              <w:rPr>
                <w:rFonts w:ascii="Times New Roman" w:hAnsi="Times New Roman" w:cs="Times New Roman"/>
                <w:i/>
                <w:iCs/>
                <w:color w:val="000000" w:themeColor="text1"/>
                <w:lang w:val="ro-MD"/>
              </w:rPr>
              <w:t>γ</w:t>
            </w:r>
            <w:r w:rsidR="00106FB1" w:rsidRPr="00C011B2">
              <w:rPr>
                <w:rFonts w:ascii="Times New Roman" w:hAnsi="Times New Roman" w:cs="Times New Roman"/>
                <w:i/>
                <w:iCs/>
                <w:color w:val="000000" w:themeColor="text1"/>
                <w:vertAlign w:val="subscript"/>
                <w:lang w:val="ro-MD"/>
              </w:rPr>
              <w:t>bc</w:t>
            </w:r>
            <w:r w:rsidR="00106FB1" w:rsidRPr="00C011B2">
              <w:rPr>
                <w:rFonts w:ascii="Times New Roman" w:hAnsi="Times New Roman" w:cs="Times New Roman"/>
                <w:i/>
                <w:iCs/>
                <w:color w:val="000000" w:themeColor="text1"/>
                <w:lang w:val="ro-MD"/>
              </w:rPr>
              <w:t> </w:t>
            </w:r>
            <w:r w:rsidR="00106FB1" w:rsidRPr="00C011B2">
              <w:rPr>
                <w:rFonts w:ascii="Times New Roman" w:hAnsi="Times New Roman" w:cs="Times New Roman"/>
                <w:color w:val="000000" w:themeColor="text1"/>
                <w:lang w:val="ro-MD"/>
              </w:rPr>
              <w:t>care se aplică agregării sensibilităților între diferite benzi este stabilit la:</w:t>
            </w:r>
          </w:p>
          <w:p w14:paraId="4F04F4B2" w14:textId="5A75E2BD" w:rsidR="00106FB1" w:rsidRPr="00C011B2" w:rsidRDefault="00D058AA"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313.1.</w:t>
            </w:r>
            <w:r w:rsidR="00106FB1" w:rsidRPr="00C011B2">
              <w:rPr>
                <w:rFonts w:ascii="Times New Roman" w:hAnsi="Times New Roman" w:cs="Times New Roman"/>
                <w:color w:val="000000" w:themeColor="text1"/>
                <w:lang w:val="ro-MD"/>
              </w:rPr>
              <w:t> 20 % atunci când cele două benzi au numere de la 1 la 10;</w:t>
            </w:r>
          </w:p>
          <w:p w14:paraId="2DA6C89D" w14:textId="77884AB1" w:rsidR="00106FB1" w:rsidRPr="00C011B2" w:rsidRDefault="00D058AA"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313.2.</w:t>
            </w:r>
            <w:r w:rsidR="00106FB1" w:rsidRPr="00C011B2">
              <w:rPr>
                <w:rFonts w:ascii="Times New Roman" w:hAnsi="Times New Roman" w:cs="Times New Roman"/>
                <w:color w:val="000000" w:themeColor="text1"/>
                <w:lang w:val="ro-MD"/>
              </w:rPr>
              <w:t> 0 % atunci când oricare dintre cele două benzi are numărul 11.</w:t>
            </w:r>
            <w:bookmarkEnd w:id="305"/>
          </w:p>
        </w:tc>
        <w:tc>
          <w:tcPr>
            <w:tcW w:w="450" w:type="pct"/>
          </w:tcPr>
          <w:p w14:paraId="726AFB3C" w14:textId="15D96CF5"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D352296"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39CB6D7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A7D679B" w14:textId="77777777" w:rsidR="00106FB1" w:rsidRPr="00C011B2" w:rsidRDefault="00106FB1" w:rsidP="00106FB1">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325av</w:t>
            </w:r>
          </w:p>
          <w:p w14:paraId="6F47BF3C" w14:textId="0CBA59F4"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Ponderile de risc pentru riscul valutar</w:t>
            </w:r>
          </w:p>
        </w:tc>
        <w:tc>
          <w:tcPr>
            <w:tcW w:w="1692" w:type="pct"/>
            <w:shd w:val="clear" w:color="auto" w:fill="auto"/>
          </w:tcPr>
          <w:p w14:paraId="2E804833" w14:textId="04C79168"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6" w:name="_Hlk195098293"/>
            <w:r w:rsidRPr="00C011B2">
              <w:rPr>
                <w:rFonts w:ascii="Times New Roman" w:hAnsi="Times New Roman" w:cs="Times New Roman"/>
                <w:i/>
                <w:iCs/>
                <w:color w:val="000000" w:themeColor="text1"/>
                <w:lang w:val="ro-MD"/>
              </w:rPr>
              <w:t>Paragraful 18</w:t>
            </w:r>
            <w:r w:rsidR="00366978" w:rsidRPr="00C011B2">
              <w:rPr>
                <w:rFonts w:ascii="Times New Roman" w:hAnsi="Times New Roman" w:cs="Times New Roman"/>
                <w:i/>
                <w:iCs/>
                <w:color w:val="000000" w:themeColor="text1"/>
                <w:lang w:val="ro-MD"/>
              </w:rPr>
              <w:t xml:space="preserve">. </w:t>
            </w:r>
            <w:r w:rsidR="00106FB1" w:rsidRPr="00C011B2">
              <w:rPr>
                <w:rFonts w:ascii="Times New Roman" w:hAnsi="Times New Roman" w:cs="Times New Roman"/>
                <w:b/>
                <w:bCs/>
                <w:color w:val="000000" w:themeColor="text1"/>
                <w:lang w:val="ro-MD"/>
              </w:rPr>
              <w:t>Ponderile de risc pentru riscul valutar</w:t>
            </w:r>
            <w:bookmarkEnd w:id="306"/>
          </w:p>
        </w:tc>
        <w:tc>
          <w:tcPr>
            <w:tcW w:w="450" w:type="pct"/>
          </w:tcPr>
          <w:p w14:paraId="0A5E997B"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c>
          <w:tcPr>
            <w:tcW w:w="1261" w:type="pct"/>
          </w:tcPr>
          <w:p w14:paraId="6A32CC10"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813CAF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784CB13"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50" w:tooltip="32021R0424: REPLACED" w:history="1">
              <w:r w:rsidR="00106FB1" w:rsidRPr="00C011B2">
                <w:rPr>
                  <w:rStyle w:val="Hyperlink"/>
                  <w:rFonts w:ascii="Times New Roman" w:hAnsi="Times New Roman" w:cs="Times New Roman"/>
                  <w:b/>
                  <w:bCs/>
                  <w:lang w:val="ro-MD"/>
                </w:rPr>
                <w:t>▼M12</w:t>
              </w:r>
            </w:hyperlink>
          </w:p>
          <w:p w14:paraId="08ABE80E" w14:textId="3C7241FB"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Tuturor sensibilităților la factorii de risc valutar li se aplică o pondere de risc de 15 %.</w:t>
            </w:r>
          </w:p>
        </w:tc>
        <w:tc>
          <w:tcPr>
            <w:tcW w:w="1692" w:type="pct"/>
            <w:shd w:val="clear" w:color="auto" w:fill="auto"/>
          </w:tcPr>
          <w:p w14:paraId="45F20BDF" w14:textId="6AAF4DA4"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7" w:name="_Hlk223518382"/>
            <w:r w:rsidRPr="00C011B2">
              <w:rPr>
                <w:rFonts w:ascii="Times New Roman" w:hAnsi="Times New Roman" w:cs="Times New Roman"/>
                <w:color w:val="000000" w:themeColor="text1"/>
                <w:lang w:val="ro-MD"/>
              </w:rPr>
              <w:t>314.</w:t>
            </w:r>
            <w:r w:rsidR="00106FB1" w:rsidRPr="00C011B2">
              <w:rPr>
                <w:rFonts w:ascii="Times New Roman" w:hAnsi="Times New Roman" w:cs="Times New Roman"/>
                <w:color w:val="000000" w:themeColor="text1"/>
                <w:lang w:val="ro-MD"/>
              </w:rPr>
              <w:t>  Tuturor sensibilităților la factorii de risc valutar li se aplică o pondere de risc de 15 %.</w:t>
            </w:r>
            <w:bookmarkEnd w:id="307"/>
          </w:p>
        </w:tc>
        <w:tc>
          <w:tcPr>
            <w:tcW w:w="450" w:type="pct"/>
          </w:tcPr>
          <w:p w14:paraId="71BE38FC" w14:textId="1FC542E9"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99D069F" w14:textId="77777777" w:rsidR="00106FB1" w:rsidRPr="00C011B2" w:rsidRDefault="00106FB1" w:rsidP="00106FB1">
            <w:pPr>
              <w:spacing w:line="276" w:lineRule="auto"/>
              <w:jc w:val="both"/>
              <w:rPr>
                <w:rFonts w:ascii="Times New Roman" w:hAnsi="Times New Roman" w:cs="Times New Roman"/>
                <w:color w:val="000000" w:themeColor="text1"/>
                <w:lang w:val="ro-MD"/>
              </w:rPr>
            </w:pPr>
          </w:p>
        </w:tc>
      </w:tr>
      <w:tr w:rsidR="00106FB1" w:rsidRPr="00C011B2" w14:paraId="0F15375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9D99E6" w14:textId="77777777" w:rsidR="00106FB1" w:rsidRPr="00C011B2" w:rsidRDefault="00FA7D23" w:rsidP="00106FB1">
            <w:pPr>
              <w:spacing w:after="0" w:line="276" w:lineRule="auto"/>
              <w:jc w:val="both"/>
              <w:rPr>
                <w:rFonts w:ascii="Times New Roman" w:hAnsi="Times New Roman" w:cs="Times New Roman"/>
                <w:b/>
                <w:bCs/>
                <w:color w:val="000000" w:themeColor="text1"/>
                <w:lang w:val="ro-MD"/>
              </w:rPr>
            </w:pPr>
            <w:hyperlink r:id="rId151" w:tooltip="32019R0876: INSERTED" w:history="1">
              <w:r w:rsidR="00106FB1" w:rsidRPr="00C011B2">
                <w:rPr>
                  <w:rStyle w:val="Hyperlink"/>
                  <w:rFonts w:ascii="Times New Roman" w:hAnsi="Times New Roman" w:cs="Times New Roman"/>
                  <w:b/>
                  <w:bCs/>
                  <w:lang w:val="ro-MD"/>
                </w:rPr>
                <w:t>▼M8</w:t>
              </w:r>
            </w:hyperlink>
          </w:p>
          <w:p w14:paraId="3A3534A8" w14:textId="7C11AE89"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Ponderea de risc aferentă factorilor de risc valutar în ceea ce privește perechile de monede formate din euro și moneda unui stat membru care participă la cea de a doua etapă a uniunii economice și monetare (MCS II) este una dintre următoarele:</w:t>
            </w:r>
          </w:p>
          <w:p w14:paraId="61C1D910" w14:textId="4D61CB3C"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ponderea de risc menționată la alineatul (1) împărțită la 3;</w:t>
            </w:r>
          </w:p>
          <w:p w14:paraId="54DD692E" w14:textId="1949C107" w:rsidR="00106FB1" w:rsidRPr="00C011B2" w:rsidRDefault="00106FB1"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fluctuația maximă în cadrul intervalului de fluctuație convenit oficial de statul membru și de Banca Centrală Europeană, dacă intervalul de fluctuație respectiv este mai îngust decât intervalul de fluctuație definit în cadrul MCS II.</w:t>
            </w:r>
          </w:p>
        </w:tc>
        <w:tc>
          <w:tcPr>
            <w:tcW w:w="1692" w:type="pct"/>
            <w:shd w:val="clear" w:color="auto" w:fill="auto"/>
          </w:tcPr>
          <w:p w14:paraId="5B419111" w14:textId="2BB88201" w:rsidR="00106FB1" w:rsidRPr="00C011B2" w:rsidRDefault="00D058AA" w:rsidP="00106FB1">
            <w:pPr>
              <w:spacing w:after="0" w:line="276" w:lineRule="auto"/>
              <w:jc w:val="both"/>
              <w:rPr>
                <w:rFonts w:ascii="Times New Roman" w:hAnsi="Times New Roman" w:cs="Times New Roman"/>
                <w:color w:val="000000" w:themeColor="text1"/>
                <w:lang w:val="ro-MD"/>
              </w:rPr>
            </w:pPr>
            <w:bookmarkStart w:id="308" w:name="_Hlk223523785"/>
            <w:r w:rsidRPr="00C011B2">
              <w:rPr>
                <w:rFonts w:ascii="Times New Roman" w:hAnsi="Times New Roman" w:cs="Times New Roman"/>
                <w:color w:val="000000" w:themeColor="text1"/>
                <w:lang w:val="ro-MD"/>
              </w:rPr>
              <w:t>315.</w:t>
            </w:r>
            <w:r w:rsidR="00106FB1" w:rsidRPr="00C011B2">
              <w:rPr>
                <w:rFonts w:ascii="Times New Roman" w:hAnsi="Times New Roman" w:cs="Times New Roman"/>
                <w:color w:val="000000" w:themeColor="text1"/>
                <w:lang w:val="ro-MD"/>
              </w:rPr>
              <w:t> Ponderea de risc aferentă factorilor de risc valutar în ceea ce privește perechile de monede formate din euro și moneda unui stat membru care participă la cea de a doua etapă a uniunii economice și monetare (MCS II) este una dintre următoarele:</w:t>
            </w:r>
          </w:p>
          <w:p w14:paraId="7D672DE9" w14:textId="6683301D" w:rsidR="00106FB1" w:rsidRPr="00C011B2" w:rsidRDefault="007F45C4"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315.1.</w:t>
            </w:r>
            <w:r w:rsidR="00106FB1" w:rsidRPr="00C011B2">
              <w:rPr>
                <w:rFonts w:ascii="Times New Roman" w:hAnsi="Times New Roman" w:cs="Times New Roman"/>
                <w:color w:val="000000" w:themeColor="text1"/>
                <w:lang w:val="ro-MD"/>
              </w:rPr>
              <w:t xml:space="preserve"> ponderea de risc menționată la </w:t>
            </w:r>
            <w:r w:rsidR="00C62C15" w:rsidRPr="00C011B2">
              <w:rPr>
                <w:rFonts w:ascii="Times New Roman" w:hAnsi="Times New Roman" w:cs="Times New Roman"/>
                <w:color w:val="000000" w:themeColor="text1"/>
                <w:lang w:val="ro-MD"/>
              </w:rPr>
              <w:t>pct.314</w:t>
            </w:r>
            <w:r w:rsidR="00106FB1" w:rsidRPr="00C011B2">
              <w:rPr>
                <w:rFonts w:ascii="Times New Roman" w:hAnsi="Times New Roman" w:cs="Times New Roman"/>
                <w:color w:val="000000" w:themeColor="text1"/>
                <w:lang w:val="ro-MD"/>
              </w:rPr>
              <w:t xml:space="preserve"> împărțită la 3;</w:t>
            </w:r>
          </w:p>
          <w:p w14:paraId="4D18DE61" w14:textId="51D9AD03" w:rsidR="00106FB1" w:rsidRPr="00C011B2" w:rsidRDefault="007F45C4" w:rsidP="00106FB1">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315.2.</w:t>
            </w:r>
            <w:r w:rsidR="00106FB1" w:rsidRPr="00C011B2">
              <w:rPr>
                <w:rFonts w:ascii="Times New Roman" w:hAnsi="Times New Roman" w:cs="Times New Roman"/>
                <w:color w:val="000000" w:themeColor="text1"/>
                <w:lang w:val="ro-MD"/>
              </w:rPr>
              <w:t> fluctuația maximă în cadrul intervalului de fluctuație convenit oficial de statul membru și de Banca Centrală Europeană, dacă intervalul de fluctuație respectiv este mai îngust decât intervalul de fluctuație definit în cadrul MCS II.</w:t>
            </w:r>
            <w:bookmarkEnd w:id="308"/>
          </w:p>
        </w:tc>
        <w:tc>
          <w:tcPr>
            <w:tcW w:w="450" w:type="pct"/>
          </w:tcPr>
          <w:p w14:paraId="4E1812D1" w14:textId="6DA49E30"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C96C521" w14:textId="3DB5CD09" w:rsidR="00106FB1" w:rsidRPr="00C011B2" w:rsidRDefault="00791EC3" w:rsidP="00106FB1">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se vor aplica de la data aderării Republicii Moldova la Uniunea Europeană.</w:t>
            </w:r>
          </w:p>
        </w:tc>
      </w:tr>
      <w:tr w:rsidR="008A3314" w:rsidRPr="00C011B2" w14:paraId="5DC4DC7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D28D871" w14:textId="4788A34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pofida alineatului (2), ponderea de risc aferentă factorilor de risc valutar în ceea ce privește monedele menționate la alineatul (2) care participă la MCS II cu un interval de fluctuație convenit în mod oficial mai îngust decât intervalul standard de plus sau minus 15 % este egală cu fluctuația procentuală maximă în acest interval mai îngust.</w:t>
            </w:r>
          </w:p>
        </w:tc>
        <w:tc>
          <w:tcPr>
            <w:tcW w:w="1692" w:type="pct"/>
            <w:shd w:val="clear" w:color="auto" w:fill="auto"/>
          </w:tcPr>
          <w:p w14:paraId="43043AF9" w14:textId="1FBCE445"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09" w:name="_Hlk223523811"/>
            <w:r w:rsidRPr="00C011B2">
              <w:rPr>
                <w:rFonts w:ascii="Times New Roman" w:hAnsi="Times New Roman" w:cs="Times New Roman"/>
                <w:color w:val="000000" w:themeColor="text1"/>
                <w:lang w:val="ro-MD"/>
              </w:rPr>
              <w:t>316.   În pofidapct.315, ponderea de risc aferentă factorilor de risc valutar în ceea ce privește monedele menționate la pct.315 care participă la MCS II cu un interval de fluctuație convenit în mod oficial mai îngust decât intervalul standard de plus sau minus 15 % este egală cu fluctuația procentuală maximă în acest interval mai îngust.</w:t>
            </w:r>
            <w:bookmarkEnd w:id="309"/>
          </w:p>
        </w:tc>
        <w:tc>
          <w:tcPr>
            <w:tcW w:w="450" w:type="pct"/>
          </w:tcPr>
          <w:p w14:paraId="14573DB9" w14:textId="540C2C4A"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1E79ED2" w14:textId="720BECB8"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se vor aplica de la data aderării Republicii Moldova la Uniunea Europeană.</w:t>
            </w:r>
          </w:p>
        </w:tc>
      </w:tr>
      <w:tr w:rsidR="008A3314" w:rsidRPr="00C011B2" w14:paraId="01B6159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58D4098" w14:textId="5365E1C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  Ponderea de risc aferentă factorilor de risc valutar incluși în subcategoria celor mai lichide perechi de monede menționată la articolul 325bd alineatul (7) litera (c) este ponderea de risc menționată la alineatul (1) de la prezentul articol împărțită la √2.</w:t>
            </w:r>
          </w:p>
        </w:tc>
        <w:tc>
          <w:tcPr>
            <w:tcW w:w="1692" w:type="pct"/>
            <w:shd w:val="clear" w:color="auto" w:fill="auto"/>
          </w:tcPr>
          <w:p w14:paraId="56F3CE1A" w14:textId="7BF14D55"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0" w:name="_Hlk223523879"/>
            <w:r w:rsidRPr="00C011B2">
              <w:rPr>
                <w:rFonts w:ascii="Times New Roman" w:hAnsi="Times New Roman" w:cs="Times New Roman"/>
                <w:color w:val="000000" w:themeColor="text1"/>
                <w:lang w:val="ro-MD"/>
              </w:rPr>
              <w:t xml:space="preserve">317.  Ponderea de risc aferentă factorilor de risc valutar incluși în subcategoria celor mai lichide perechi de monede menționată la </w:t>
            </w:r>
            <w:r w:rsidR="00D24F65" w:rsidRPr="00C011B2">
              <w:rPr>
                <w:rFonts w:ascii="Times New Roman" w:hAnsi="Times New Roman" w:cs="Times New Roman"/>
                <w:color w:val="000000" w:themeColor="text1"/>
                <w:lang w:val="ro-MD"/>
              </w:rPr>
              <w:t>pct.361.3</w:t>
            </w:r>
            <w:r w:rsidRPr="00C011B2">
              <w:rPr>
                <w:rFonts w:ascii="Times New Roman" w:hAnsi="Times New Roman" w:cs="Times New Roman"/>
                <w:color w:val="000000" w:themeColor="text1"/>
                <w:lang w:val="ro-MD"/>
              </w:rPr>
              <w:t xml:space="preserve"> este ponderea de risc menționată la pct.314 împărțită la √2.</w:t>
            </w:r>
            <w:bookmarkEnd w:id="310"/>
          </w:p>
        </w:tc>
        <w:tc>
          <w:tcPr>
            <w:tcW w:w="450" w:type="pct"/>
          </w:tcPr>
          <w:p w14:paraId="62368ED7" w14:textId="7BA7F532"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12AE50" w14:textId="75766B6F"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se vor aplica de la data aderării Republicii Moldova la Uniunea Europeană.</w:t>
            </w:r>
          </w:p>
        </w:tc>
      </w:tr>
      <w:tr w:rsidR="008A3314" w:rsidRPr="00C011B2" w14:paraId="55F401F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8B786D" w14:textId="7858137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În cazul în care datele privind ratele de schimb zilnice pe ultimii trei ani arată că o pereche de monede formată din euro și moneda, alta decât euro, a unui stat membru este constantă și că instituția poate face față oricând unui </w:t>
            </w:r>
            <w:r w:rsidRPr="00C011B2">
              <w:rPr>
                <w:rFonts w:ascii="Times New Roman" w:hAnsi="Times New Roman" w:cs="Times New Roman"/>
                <w:i/>
                <w:iCs/>
                <w:color w:val="000000" w:themeColor="text1"/>
                <w:lang w:val="ro-MD"/>
              </w:rPr>
              <w:t>spread</w:t>
            </w:r>
            <w:r w:rsidRPr="00C011B2">
              <w:rPr>
                <w:rFonts w:ascii="Times New Roman" w:hAnsi="Times New Roman" w:cs="Times New Roman"/>
                <w:color w:val="000000" w:themeColor="text1"/>
                <w:lang w:val="ro-MD"/>
              </w:rPr>
              <w:t> zero între cotațiile „bid” și „ask” pe tranzacțiile respective legate de perechea de monede respectivă, instituția poate aplica ponderea de risc menționată la alineatul (1) împărțită la 2, cu condiția deținerii aprobării explicite a autorității sale competente de a face lucru.</w:t>
            </w:r>
          </w:p>
        </w:tc>
        <w:tc>
          <w:tcPr>
            <w:tcW w:w="1692" w:type="pct"/>
            <w:shd w:val="clear" w:color="auto" w:fill="auto"/>
          </w:tcPr>
          <w:p w14:paraId="5997BC0C" w14:textId="0EE2CA2B"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1" w:name="_Hlk223523916"/>
            <w:r w:rsidRPr="00C011B2">
              <w:rPr>
                <w:rFonts w:ascii="Times New Roman" w:hAnsi="Times New Roman" w:cs="Times New Roman"/>
                <w:color w:val="000000" w:themeColor="text1"/>
                <w:lang w:val="ro-MD"/>
              </w:rPr>
              <w:t>318.   În cazul în care datele privind ratele de schimb zilnice pe ultimii trei ani arată că o pereche de monede formată din euro și moneda, alta decât euro, a unui stat membru este constantă și că banca poate face față oricând unui </w:t>
            </w:r>
            <w:r w:rsidRPr="00C011B2">
              <w:rPr>
                <w:rFonts w:ascii="Times New Roman" w:hAnsi="Times New Roman" w:cs="Times New Roman"/>
                <w:i/>
                <w:iCs/>
                <w:color w:val="000000" w:themeColor="text1"/>
                <w:lang w:val="ro-MD"/>
              </w:rPr>
              <w:t>spread</w:t>
            </w:r>
            <w:r w:rsidRPr="00C011B2">
              <w:rPr>
                <w:rFonts w:ascii="Times New Roman" w:hAnsi="Times New Roman" w:cs="Times New Roman"/>
                <w:color w:val="000000" w:themeColor="text1"/>
                <w:lang w:val="ro-MD"/>
              </w:rPr>
              <w:t> zero între cotațiile „bid” și „ask” pe tranzacțiile respective legate de perechea de monede respectivă, banca poate aplica ponderea de risc menționată la pct.314 împărțită la 2, cu condiția deținerii aprobării explicite a BNM de a face acest lucru.</w:t>
            </w:r>
            <w:bookmarkEnd w:id="311"/>
          </w:p>
        </w:tc>
        <w:tc>
          <w:tcPr>
            <w:tcW w:w="450" w:type="pct"/>
          </w:tcPr>
          <w:p w14:paraId="2D15F905" w14:textId="440B1614"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EFEF46E" w14:textId="785AC99D"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se vor aplica de la data aderării Republicii Moldova la Uniunea Europeană.</w:t>
            </w:r>
          </w:p>
        </w:tc>
      </w:tr>
      <w:tr w:rsidR="008A3314" w:rsidRPr="00C011B2" w14:paraId="0F97B82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AF2728"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325aw</w:t>
            </w:r>
          </w:p>
          <w:p w14:paraId="7BAD9170" w14:textId="4302060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pentru riscul valutar</w:t>
            </w:r>
          </w:p>
        </w:tc>
        <w:tc>
          <w:tcPr>
            <w:tcW w:w="1692" w:type="pct"/>
            <w:shd w:val="clear" w:color="auto" w:fill="auto"/>
          </w:tcPr>
          <w:p w14:paraId="4CB16C00" w14:textId="1E5F3420"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2" w:name="_Hlk195098317"/>
            <w:r w:rsidRPr="00C011B2">
              <w:rPr>
                <w:rFonts w:ascii="Times New Roman" w:hAnsi="Times New Roman" w:cs="Times New Roman"/>
                <w:i/>
                <w:iCs/>
                <w:color w:val="000000" w:themeColor="text1"/>
                <w:lang w:val="ro-MD"/>
              </w:rPr>
              <w:t xml:space="preserve">Paragraful 19. </w:t>
            </w:r>
            <w:r w:rsidRPr="00C011B2">
              <w:rPr>
                <w:rFonts w:ascii="Times New Roman" w:hAnsi="Times New Roman" w:cs="Times New Roman"/>
                <w:b/>
                <w:bCs/>
                <w:color w:val="000000" w:themeColor="text1"/>
                <w:lang w:val="ro-MD"/>
              </w:rPr>
              <w:t>Corelațiile pentru riscul valutar</w:t>
            </w:r>
            <w:bookmarkEnd w:id="312"/>
          </w:p>
        </w:tc>
        <w:tc>
          <w:tcPr>
            <w:tcW w:w="450" w:type="pct"/>
          </w:tcPr>
          <w:p w14:paraId="4D890EA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1E03B73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6376AC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24F7A85" w14:textId="4DC895AE" w:rsidR="008A3314" w:rsidRPr="00C011B2" w:rsidRDefault="008A3314" w:rsidP="008A3314">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color w:val="000000" w:themeColor="text1"/>
                <w:lang w:val="it-IT"/>
              </w:rPr>
              <w:t>La agregarea sensibilităților la factori de risc valutar se aplică un parametru de corelație uniform </w:t>
            </w:r>
            <w:r w:rsidRPr="00C011B2">
              <w:rPr>
                <w:rFonts w:ascii="Times New Roman" w:hAnsi="Times New Roman" w:cs="Times New Roman"/>
                <w:i/>
                <w:iCs/>
                <w:color w:val="000000" w:themeColor="text1"/>
              </w:rPr>
              <w:t>γ</w:t>
            </w:r>
            <w:r w:rsidRPr="00C011B2">
              <w:rPr>
                <w:rFonts w:ascii="Times New Roman" w:hAnsi="Times New Roman" w:cs="Times New Roman"/>
                <w:i/>
                <w:iCs/>
                <w:color w:val="000000" w:themeColor="text1"/>
                <w:vertAlign w:val="subscript"/>
                <w:lang w:val="it-IT"/>
              </w:rPr>
              <w:t>bc</w:t>
            </w:r>
            <w:r w:rsidRPr="00C011B2">
              <w:rPr>
                <w:rFonts w:ascii="Times New Roman" w:hAnsi="Times New Roman" w:cs="Times New Roman"/>
                <w:i/>
                <w:iCs/>
                <w:color w:val="000000" w:themeColor="text1"/>
                <w:lang w:val="it-IT"/>
              </w:rPr>
              <w:t> </w:t>
            </w:r>
            <w:r w:rsidRPr="00C011B2">
              <w:rPr>
                <w:rFonts w:ascii="Times New Roman" w:hAnsi="Times New Roman" w:cs="Times New Roman"/>
                <w:color w:val="000000" w:themeColor="text1"/>
                <w:lang w:val="it-IT"/>
              </w:rPr>
              <w:t>egal cu 60 %.</w:t>
            </w:r>
          </w:p>
        </w:tc>
        <w:tc>
          <w:tcPr>
            <w:tcW w:w="1692" w:type="pct"/>
            <w:shd w:val="clear" w:color="auto" w:fill="auto"/>
          </w:tcPr>
          <w:p w14:paraId="2E1C1F67" w14:textId="40DADB45"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3" w:name="_Hlk223524761"/>
            <w:r w:rsidRPr="00C011B2">
              <w:rPr>
                <w:rFonts w:ascii="Times New Roman" w:hAnsi="Times New Roman" w:cs="Times New Roman"/>
                <w:color w:val="000000" w:themeColor="text1"/>
                <w:lang w:val="it-IT"/>
              </w:rPr>
              <w:t>319. La agregarea sensibilităților la factori de risc valutar se aplică un parametru de corelație uniform </w:t>
            </w:r>
            <w:r w:rsidRPr="00C011B2">
              <w:rPr>
                <w:rFonts w:ascii="Times New Roman" w:hAnsi="Times New Roman" w:cs="Times New Roman"/>
                <w:i/>
                <w:iCs/>
                <w:color w:val="000000" w:themeColor="text1"/>
              </w:rPr>
              <w:t>γ</w:t>
            </w:r>
            <w:r w:rsidRPr="00C011B2">
              <w:rPr>
                <w:rFonts w:ascii="Times New Roman" w:hAnsi="Times New Roman" w:cs="Times New Roman"/>
                <w:i/>
                <w:iCs/>
                <w:color w:val="000000" w:themeColor="text1"/>
                <w:vertAlign w:val="subscript"/>
                <w:lang w:val="it-IT"/>
              </w:rPr>
              <w:t>bc</w:t>
            </w:r>
            <w:r w:rsidRPr="00C011B2">
              <w:rPr>
                <w:rFonts w:ascii="Times New Roman" w:hAnsi="Times New Roman" w:cs="Times New Roman"/>
                <w:i/>
                <w:iCs/>
                <w:color w:val="000000" w:themeColor="text1"/>
                <w:lang w:val="it-IT"/>
              </w:rPr>
              <w:t> </w:t>
            </w:r>
            <w:r w:rsidRPr="00C011B2">
              <w:rPr>
                <w:rFonts w:ascii="Times New Roman" w:hAnsi="Times New Roman" w:cs="Times New Roman"/>
                <w:color w:val="000000" w:themeColor="text1"/>
                <w:lang w:val="it-IT"/>
              </w:rPr>
              <w:t>egal cu 60 %.</w:t>
            </w:r>
            <w:bookmarkEnd w:id="313"/>
          </w:p>
        </w:tc>
        <w:tc>
          <w:tcPr>
            <w:tcW w:w="450" w:type="pct"/>
          </w:tcPr>
          <w:p w14:paraId="07ED84A8" w14:textId="26E5C11C"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E06CEC7"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5B6730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DC27E6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2</w:t>
            </w:r>
          </w:p>
          <w:p w14:paraId="39775270"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Ponderile de risc și corelațiile pentru riscul vega și riscul de curbură</w:t>
            </w:r>
          </w:p>
          <w:p w14:paraId="31A26E8D"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325ax</w:t>
            </w:r>
          </w:p>
          <w:p w14:paraId="62B58A14" w14:textId="16C366B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lastRenderedPageBreak/>
              <w:t>Ponderile de risc pentru riscul vega și riscul de curbură</w:t>
            </w:r>
          </w:p>
        </w:tc>
        <w:tc>
          <w:tcPr>
            <w:tcW w:w="1692" w:type="pct"/>
            <w:shd w:val="clear" w:color="auto" w:fill="auto"/>
          </w:tcPr>
          <w:p w14:paraId="3854C85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4" w:name="_Hlk195098342"/>
            <w:r w:rsidRPr="00C011B2">
              <w:rPr>
                <w:rFonts w:ascii="Times New Roman" w:hAnsi="Times New Roman" w:cs="Times New Roman"/>
                <w:color w:val="000000" w:themeColor="text1"/>
                <w:lang w:val="ro-MD"/>
              </w:rPr>
              <w:lastRenderedPageBreak/>
              <w:t>Subsecțiunea 2</w:t>
            </w:r>
          </w:p>
          <w:p w14:paraId="27957995"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Ponderile de risc și corelațiile pentru riscul vega și riscul de curbură</w:t>
            </w:r>
          </w:p>
          <w:p w14:paraId="697EFE06" w14:textId="7B26E30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Paragraful 1. </w:t>
            </w:r>
            <w:r w:rsidRPr="00C011B2">
              <w:rPr>
                <w:rFonts w:ascii="Times New Roman" w:hAnsi="Times New Roman" w:cs="Times New Roman"/>
                <w:b/>
                <w:bCs/>
                <w:color w:val="000000" w:themeColor="text1"/>
                <w:lang w:val="ro-MD"/>
              </w:rPr>
              <w:t>Ponderile de risc pentru riscul vega și riscul de curbură</w:t>
            </w:r>
            <w:bookmarkEnd w:id="314"/>
          </w:p>
        </w:tc>
        <w:tc>
          <w:tcPr>
            <w:tcW w:w="450" w:type="pct"/>
          </w:tcPr>
          <w:p w14:paraId="47E4277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16C9C5D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33B840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2E74A5"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52" w:tooltip="32024R1623: REPLACED" w:history="1">
              <w:r w:rsidR="008A3314" w:rsidRPr="00C011B2">
                <w:rPr>
                  <w:rStyle w:val="Hyperlink"/>
                  <w:rFonts w:ascii="Times New Roman" w:hAnsi="Times New Roman" w:cs="Times New Roman"/>
                  <w:b/>
                  <w:bCs/>
                  <w:lang w:val="ro-MD"/>
                </w:rPr>
                <w:t>▼M17</w:t>
              </w:r>
            </w:hyperlink>
          </w:p>
          <w:p w14:paraId="06ADC37B" w14:textId="500F518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Benzile pentru factorii de risc vega sunt similare cu benzile stabilite pentru factorii de risc delta în conformitate cu secțiunea 3 subsecțiunea 1.</w:t>
            </w:r>
          </w:p>
        </w:tc>
        <w:tc>
          <w:tcPr>
            <w:tcW w:w="1692" w:type="pct"/>
            <w:shd w:val="clear" w:color="auto" w:fill="auto"/>
          </w:tcPr>
          <w:p w14:paraId="5330F5EE" w14:textId="6728CEC7"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5" w:name="_Hlk223524818"/>
            <w:r w:rsidRPr="00C011B2">
              <w:rPr>
                <w:rFonts w:ascii="Times New Roman" w:hAnsi="Times New Roman" w:cs="Times New Roman"/>
                <w:color w:val="000000" w:themeColor="text1"/>
                <w:lang w:val="ro-MD"/>
              </w:rPr>
              <w:t>320.   Benzile pentru factorii de risc vega sunt similare cu benzile stabilite pentru factorii de risc delta în conformitate cu secțiunea 3 subsecțiunea 1.</w:t>
            </w:r>
            <w:bookmarkEnd w:id="315"/>
          </w:p>
        </w:tc>
        <w:tc>
          <w:tcPr>
            <w:tcW w:w="450" w:type="pct"/>
          </w:tcPr>
          <w:p w14:paraId="185797A4" w14:textId="47BFBE8E"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361350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B81E01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6EC75E" w14:textId="31E1898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Ponderile de risc pentru sensibilitățile la factorii de risc vega se atribuie conform clasei de risc a factorilor de risc, după cum urmează:</w:t>
            </w:r>
          </w:p>
          <w:p w14:paraId="53E321D0"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1</w:t>
            </w:r>
          </w:p>
          <w:tbl>
            <w:tblPr>
              <w:tblW w:w="479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092"/>
              <w:gridCol w:w="705"/>
            </w:tblGrid>
            <w:tr w:rsidR="008A3314" w:rsidRPr="00C011B2" w14:paraId="2610C66A"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4B94F909"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Clasa de risc</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2D22AB42"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 de risc</w:t>
                  </w:r>
                </w:p>
              </w:tc>
            </w:tr>
            <w:tr w:rsidR="008A3314" w:rsidRPr="00C011B2" w14:paraId="33262735"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6C98964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GIRR</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34C98CA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20D39AE1"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59BAE0B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Riscul de marjă de credit (</w:t>
                  </w:r>
                  <w:r w:rsidRPr="00C011B2">
                    <w:rPr>
                      <w:rFonts w:ascii="Times New Roman" w:hAnsi="Times New Roman" w:cs="Times New Roman"/>
                      <w:i/>
                      <w:iCs/>
                      <w:color w:val="000000" w:themeColor="text1"/>
                      <w:lang w:val="ro-MD"/>
                    </w:rPr>
                    <w:t>credit spread risk</w:t>
                  </w:r>
                  <w:r w:rsidRPr="00C011B2">
                    <w:rPr>
                      <w:rFonts w:ascii="Times New Roman" w:hAnsi="Times New Roman" w:cs="Times New Roman"/>
                      <w:color w:val="000000" w:themeColor="text1"/>
                      <w:lang w:val="ro-MD"/>
                    </w:rPr>
                    <w:t> – CSR) pentru instrumente care nu sunt poziții din securitizare</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714C8D3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7EA2ED09"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70E9804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CSR pentru securitizări (incluse în ACTP)</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48EB1C2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79CE5548"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4B6C644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CSR pentru securitizări (neincluse în ACTP)</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1851163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75D5F463"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7BAA9D6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capital (capitalizare ridicată și indici)</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5B66123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77,78  %</w:t>
                  </w:r>
                </w:p>
              </w:tc>
            </w:tr>
            <w:tr w:rsidR="008A3314" w:rsidRPr="00C011B2" w14:paraId="745CB426"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2C0D787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capital (capitalizare scăzută și alt sector)</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1BD2784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7E9A7FD5"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237801C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Marfă</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4DE8FF6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05D6F35C" w14:textId="77777777" w:rsidTr="00AD0302">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08270CC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Schimb valutar</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5D223EF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bl>
          <w:p w14:paraId="74963FC1" w14:textId="77777777" w:rsidR="008A3314" w:rsidRPr="00C011B2" w:rsidRDefault="008A3314" w:rsidP="008A3314">
            <w:pPr>
              <w:spacing w:after="0" w:line="276" w:lineRule="auto"/>
              <w:jc w:val="both"/>
              <w:rPr>
                <w:rFonts w:ascii="Times New Roman" w:hAnsi="Times New Roman" w:cs="Times New Roman"/>
                <w:color w:val="000000" w:themeColor="text1"/>
                <w:lang w:val="it-IT"/>
              </w:rPr>
            </w:pPr>
          </w:p>
        </w:tc>
        <w:tc>
          <w:tcPr>
            <w:tcW w:w="1692" w:type="pct"/>
            <w:shd w:val="clear" w:color="auto" w:fill="auto"/>
          </w:tcPr>
          <w:p w14:paraId="1F998681" w14:textId="2391928B"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6" w:name="_Hlk223524842"/>
            <w:r w:rsidRPr="00C011B2">
              <w:rPr>
                <w:rFonts w:ascii="Times New Roman" w:hAnsi="Times New Roman" w:cs="Times New Roman"/>
                <w:color w:val="000000" w:themeColor="text1"/>
                <w:lang w:val="ro-MD"/>
              </w:rPr>
              <w:lastRenderedPageBreak/>
              <w:t>321.   Ponderile de risc pentru sensibilitățile la factorii de risc vega se atribuie conform clasei de risc a factorilor de risc, după cum urmează:</w:t>
            </w:r>
          </w:p>
          <w:p w14:paraId="5FC9D1D6"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1</w:t>
            </w:r>
          </w:p>
          <w:tbl>
            <w:tblPr>
              <w:tblW w:w="479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092"/>
              <w:gridCol w:w="705"/>
            </w:tblGrid>
            <w:tr w:rsidR="008A3314" w:rsidRPr="00C011B2" w14:paraId="63ADBDB6"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5C83E9D0"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bookmarkStart w:id="317" w:name="_Hlk223524883"/>
                  <w:r w:rsidRPr="00C011B2">
                    <w:rPr>
                      <w:rFonts w:ascii="Times New Roman" w:hAnsi="Times New Roman" w:cs="Times New Roman"/>
                      <w:b/>
                      <w:bCs/>
                      <w:color w:val="000000" w:themeColor="text1"/>
                      <w:lang w:val="ro-MD"/>
                    </w:rPr>
                    <w:t>Clasa de risc</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4BADC00E"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Ponderi de risc</w:t>
                  </w:r>
                </w:p>
              </w:tc>
            </w:tr>
            <w:tr w:rsidR="008A3314" w:rsidRPr="00C011B2" w14:paraId="6C9EFF6D"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1B53ED2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GIRR</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7DBD923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15FA0781"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2AB9E25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Riscul de marjă de credit (</w:t>
                  </w:r>
                  <w:r w:rsidRPr="00C011B2">
                    <w:rPr>
                      <w:rFonts w:ascii="Times New Roman" w:hAnsi="Times New Roman" w:cs="Times New Roman"/>
                      <w:i/>
                      <w:iCs/>
                      <w:color w:val="000000" w:themeColor="text1"/>
                      <w:lang w:val="ro-MD"/>
                    </w:rPr>
                    <w:t>credit spread risk</w:t>
                  </w:r>
                  <w:r w:rsidRPr="00C011B2">
                    <w:rPr>
                      <w:rFonts w:ascii="Times New Roman" w:hAnsi="Times New Roman" w:cs="Times New Roman"/>
                      <w:color w:val="000000" w:themeColor="text1"/>
                      <w:lang w:val="ro-MD"/>
                    </w:rPr>
                    <w:t> – CSR) pentru instrumente care nu sunt poziții din securitizare</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382C490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555E463A"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33FEACA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CSR pentru securitizări (incluse în ACTP)</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4C32D69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476496ED"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1CB8F8D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CSR pentru securitizări (neincluse în ACTP)</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7F2EF47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5A5D3DF4"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78FECFF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capital (capitalizare ridicată și indici)</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627C6C8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77,78  %</w:t>
                  </w:r>
                </w:p>
              </w:tc>
            </w:tr>
            <w:tr w:rsidR="008A3314" w:rsidRPr="00C011B2" w14:paraId="3EA0A191"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461EA69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capital (capitalizare scăzută și alt sector)</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20E9A66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526F7704"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336318B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Marfă</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7BB7BA3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8A3314" w:rsidRPr="00C011B2" w14:paraId="31479D1E" w14:textId="77777777" w:rsidTr="001E785F">
              <w:trPr>
                <w:jc w:val="center"/>
              </w:trPr>
              <w:tc>
                <w:tcPr>
                  <w:tcW w:w="4092" w:type="dxa"/>
                  <w:tcBorders>
                    <w:top w:val="outset" w:sz="6" w:space="0" w:color="auto"/>
                    <w:left w:val="outset" w:sz="6" w:space="0" w:color="auto"/>
                    <w:bottom w:val="outset" w:sz="6" w:space="0" w:color="auto"/>
                    <w:right w:val="outset" w:sz="6" w:space="0" w:color="auto"/>
                  </w:tcBorders>
                  <w:shd w:val="clear" w:color="auto" w:fill="auto"/>
                  <w:hideMark/>
                </w:tcPr>
                <w:p w14:paraId="1935C6B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Schimb valutar</w:t>
                  </w:r>
                </w:p>
              </w:tc>
              <w:tc>
                <w:tcPr>
                  <w:tcW w:w="705" w:type="dxa"/>
                  <w:tcBorders>
                    <w:top w:val="outset" w:sz="6" w:space="0" w:color="auto"/>
                    <w:left w:val="outset" w:sz="6" w:space="0" w:color="auto"/>
                    <w:bottom w:val="outset" w:sz="6" w:space="0" w:color="auto"/>
                    <w:right w:val="outset" w:sz="6" w:space="0" w:color="auto"/>
                  </w:tcBorders>
                  <w:shd w:val="clear" w:color="auto" w:fill="auto"/>
                  <w:hideMark/>
                </w:tcPr>
                <w:p w14:paraId="3F155AC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bookmarkEnd w:id="316"/>
            <w:bookmarkEnd w:id="317"/>
          </w:tbl>
          <w:p w14:paraId="4318C5B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286638BA" w14:textId="21FE319E"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49B0E56"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569034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AD3D7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53" w:tooltip="32024R1623: DELETED" w:history="1">
              <w:r w:rsidR="008A3314" w:rsidRPr="00C011B2">
                <w:rPr>
                  <w:rStyle w:val="Hyperlink"/>
                  <w:rFonts w:ascii="Times New Roman" w:hAnsi="Times New Roman" w:cs="Times New Roman"/>
                  <w:b/>
                  <w:bCs/>
                  <w:lang w:val="ro-MD"/>
                </w:rPr>
                <w:t>▼M17</w:t>
              </w:r>
            </w:hyperlink>
            <w:r w:rsidR="008A3314" w:rsidRPr="00C011B2">
              <w:rPr>
                <w:rFonts w:ascii="Times New Roman" w:hAnsi="Times New Roman" w:cs="Times New Roman"/>
                <w:b/>
                <w:bCs/>
                <w:color w:val="000000" w:themeColor="text1"/>
                <w:lang w:val="ro-MD"/>
              </w:rPr>
              <w:t> —————</w:t>
            </w:r>
          </w:p>
          <w:p w14:paraId="6D1B428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54" w:tooltip="32019R0876: INSERTED" w:history="1">
              <w:r w:rsidR="008A3314" w:rsidRPr="00C011B2">
                <w:rPr>
                  <w:rStyle w:val="Hyperlink"/>
                  <w:rFonts w:ascii="Times New Roman" w:hAnsi="Times New Roman" w:cs="Times New Roman"/>
                  <w:b/>
                  <w:bCs/>
                  <w:lang w:val="ro-MD"/>
                </w:rPr>
                <w:t>▼M8</w:t>
              </w:r>
            </w:hyperlink>
          </w:p>
          <w:p w14:paraId="159F53A3" w14:textId="2299C97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Benzile utilizate în contextul riscului delta în subsecțiunea 1 se utilizează și în contextul riscului de curbură, cu excepția cazului în care se prevede altfel în prezentul capitol.</w:t>
            </w:r>
          </w:p>
        </w:tc>
        <w:tc>
          <w:tcPr>
            <w:tcW w:w="1692" w:type="pct"/>
            <w:shd w:val="clear" w:color="auto" w:fill="auto"/>
          </w:tcPr>
          <w:p w14:paraId="1C5862BE" w14:textId="66537843"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8" w:name="_Hlk223525016"/>
            <w:r w:rsidRPr="00C011B2">
              <w:rPr>
                <w:rFonts w:ascii="Times New Roman" w:hAnsi="Times New Roman" w:cs="Times New Roman"/>
                <w:color w:val="000000" w:themeColor="text1"/>
                <w:lang w:val="ro-MD"/>
              </w:rPr>
              <w:t>322. Benzile utilizate în contextul riscului delta în subsecțiunea 1 se utilizează și în contextul riscului de curbură, cu excepția cazului în care se prevede altfel în prezentul capitol.</w:t>
            </w:r>
            <w:bookmarkEnd w:id="318"/>
          </w:p>
        </w:tc>
        <w:tc>
          <w:tcPr>
            <w:tcW w:w="450" w:type="pct"/>
          </w:tcPr>
          <w:p w14:paraId="05D0D44A" w14:textId="2FC240AF"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76CD66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36F6C8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45A168" w14:textId="6FB59F3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Pentru factorii de risc valutar și de risc de curbură aferent titlurilor de capital, ponderile de risc de curbură sunt decalaje relative egale cu ponderile de risc delta menționate în subsecțiunea 1.</w:t>
            </w:r>
          </w:p>
        </w:tc>
        <w:tc>
          <w:tcPr>
            <w:tcW w:w="1692" w:type="pct"/>
            <w:shd w:val="clear" w:color="auto" w:fill="auto"/>
          </w:tcPr>
          <w:p w14:paraId="514E15FB" w14:textId="2B39A2FE"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19" w:name="_Hlk223525052"/>
            <w:r w:rsidRPr="00C011B2">
              <w:rPr>
                <w:rFonts w:ascii="Times New Roman" w:hAnsi="Times New Roman" w:cs="Times New Roman"/>
                <w:color w:val="000000" w:themeColor="text1"/>
                <w:lang w:val="ro-MD"/>
              </w:rPr>
              <w:t>323.  Pentru factorii de risc valutar și de risc de curbură aferent titlurilor de capital, ponderile de risc de curbură sunt decalaje relative egale cu ponderile de risc delta menționate în subsecțiunea 1.</w:t>
            </w:r>
            <w:bookmarkEnd w:id="319"/>
          </w:p>
        </w:tc>
        <w:tc>
          <w:tcPr>
            <w:tcW w:w="450" w:type="pct"/>
          </w:tcPr>
          <w:p w14:paraId="3BAE1A1F" w14:textId="3C156EC3"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12CEC3C"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B6A41F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430B9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55" w:tooltip="32024R1623: REPLACED" w:history="1">
              <w:r w:rsidR="008A3314" w:rsidRPr="00C011B2">
                <w:rPr>
                  <w:rStyle w:val="Hyperlink"/>
                  <w:rFonts w:ascii="Times New Roman" w:hAnsi="Times New Roman" w:cs="Times New Roman"/>
                  <w:b/>
                  <w:bCs/>
                  <w:lang w:val="ro-MD"/>
                </w:rPr>
                <w:t>▼M17</w:t>
              </w:r>
            </w:hyperlink>
          </w:p>
          <w:p w14:paraId="6EDFD85B" w14:textId="0873C52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Pentru factorii de risc general de rată a dobânzii, risc de marjă de credit și risc de curbură aferent mărfurilor, ponderea de risc de curbură este decalajul paralel al tuturor punctelor pentru fiecare curbă pe baza celei mai mari ponderi de risc delta menționate în subsecțiunea 1 pentru banda de risc relevantă.</w:t>
            </w:r>
          </w:p>
        </w:tc>
        <w:tc>
          <w:tcPr>
            <w:tcW w:w="1692" w:type="pct"/>
            <w:shd w:val="clear" w:color="auto" w:fill="auto"/>
          </w:tcPr>
          <w:p w14:paraId="1C7C0BC1" w14:textId="6571465A"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0" w:name="_Hlk223525082"/>
            <w:r w:rsidRPr="00C011B2">
              <w:rPr>
                <w:rFonts w:ascii="Times New Roman" w:hAnsi="Times New Roman" w:cs="Times New Roman"/>
                <w:color w:val="000000" w:themeColor="text1"/>
                <w:lang w:val="ro-MD"/>
              </w:rPr>
              <w:t>324. Pentru factorii de risc general de rată a dobânzii, risc de marjă de credit și risc de curbură aferent mărfurilor, ponderea de risc de curbură este decalajul paralel al tuturor punctelor pentru fiecare curbă pe baza celei mai mari ponderi de risc delta menționate în subsecțiunea 1 pentru banda de risc relevantă.</w:t>
            </w:r>
            <w:bookmarkEnd w:id="320"/>
          </w:p>
        </w:tc>
        <w:tc>
          <w:tcPr>
            <w:tcW w:w="450" w:type="pct"/>
          </w:tcPr>
          <w:p w14:paraId="5DDBA5C8" w14:textId="1D46FAF8"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E73CC1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9BD676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017969B"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325ay</w:t>
            </w:r>
          </w:p>
          <w:p w14:paraId="5697237D" w14:textId="789708B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pentru riscul vega și riscul de curbură</w:t>
            </w:r>
          </w:p>
        </w:tc>
        <w:tc>
          <w:tcPr>
            <w:tcW w:w="1692" w:type="pct"/>
            <w:shd w:val="clear" w:color="auto" w:fill="auto"/>
          </w:tcPr>
          <w:p w14:paraId="6F305A47" w14:textId="45A4E188" w:rsidR="008A3314" w:rsidRPr="00C011B2" w:rsidRDefault="008A3314" w:rsidP="008A3314">
            <w:pPr>
              <w:spacing w:after="0" w:line="276" w:lineRule="auto"/>
              <w:jc w:val="both"/>
              <w:rPr>
                <w:rFonts w:ascii="Times New Roman" w:hAnsi="Times New Roman" w:cs="Times New Roman"/>
                <w:i/>
                <w:iCs/>
                <w:color w:val="000000" w:themeColor="text1"/>
                <w:lang w:val="ro-MD"/>
              </w:rPr>
            </w:pPr>
            <w:bookmarkStart w:id="321" w:name="_Hlk195098387"/>
            <w:r w:rsidRPr="00C011B2">
              <w:rPr>
                <w:rFonts w:ascii="Times New Roman" w:hAnsi="Times New Roman" w:cs="Times New Roman"/>
                <w:i/>
                <w:iCs/>
                <w:color w:val="000000" w:themeColor="text1"/>
                <w:lang w:val="ro-MD"/>
              </w:rPr>
              <w:t xml:space="preserve">Paragraful 2. </w:t>
            </w:r>
          </w:p>
          <w:p w14:paraId="7F396366" w14:textId="2D04509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Corelațiile pentru riscul vega și riscul de curbură</w:t>
            </w:r>
            <w:bookmarkEnd w:id="321"/>
          </w:p>
        </w:tc>
        <w:tc>
          <w:tcPr>
            <w:tcW w:w="450" w:type="pct"/>
          </w:tcPr>
          <w:p w14:paraId="57A73CF6"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45DA7B6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28A47F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6DBED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56" w:tooltip="32019R0876R(11): REPLACED" w:history="1">
              <w:r w:rsidR="008A3314" w:rsidRPr="00C011B2">
                <w:rPr>
                  <w:rStyle w:val="Hyperlink"/>
                  <w:rFonts w:ascii="Times New Roman" w:hAnsi="Times New Roman" w:cs="Times New Roman"/>
                  <w:b/>
                  <w:bCs/>
                  <w:lang w:val="ro-MD"/>
                </w:rPr>
                <w:t>▼C7</w:t>
              </w:r>
            </w:hyperlink>
          </w:p>
          <w:p w14:paraId="5ED4BEEF" w14:textId="51A205B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Între sensibilitățile la riscul vega din cadrul aceleiași benzi a clasei de risc general de rată a dobânzii </w:t>
            </w:r>
            <w:r w:rsidRPr="00C011B2">
              <w:rPr>
                <w:rFonts w:ascii="Times New Roman" w:hAnsi="Times New Roman" w:cs="Times New Roman"/>
                <w:color w:val="000000" w:themeColor="text1"/>
                <w:lang w:val="ro-MD"/>
              </w:rPr>
              <w:lastRenderedPageBreak/>
              <w:t>(GIRR),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stabilește după cum urmează:</w:t>
            </w:r>
          </w:p>
          <w:p w14:paraId="22ADAF6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57" w:tooltip="32019R0876: INSERTED" w:history="1">
              <w:r w:rsidR="008A3314" w:rsidRPr="00C011B2">
                <w:rPr>
                  <w:rStyle w:val="Hyperlink"/>
                  <w:rFonts w:ascii="Times New Roman" w:hAnsi="Times New Roman" w:cs="Times New Roman"/>
                  <w:b/>
                  <w:bCs/>
                  <w:lang w:val="ro-MD"/>
                </w:rPr>
                <w:t>▼M8</w:t>
              </w:r>
            </w:hyperlink>
          </w:p>
          <w:p w14:paraId="7C2E5DA0" w14:textId="2840372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513E8F2" wp14:editId="1033A4A6">
                  <wp:extent cx="3055620" cy="267335"/>
                  <wp:effectExtent l="0" t="0" r="0" b="0"/>
                  <wp:docPr id="67" name="Picture 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55620" cy="267335"/>
                          </a:xfrm>
                          <a:prstGeom prst="rect">
                            <a:avLst/>
                          </a:prstGeom>
                          <a:noFill/>
                          <a:ln>
                            <a:noFill/>
                          </a:ln>
                        </pic:spPr>
                      </pic:pic>
                    </a:graphicData>
                  </a:graphic>
                </wp:inline>
              </w:drawing>
            </w:r>
          </w:p>
          <w:p w14:paraId="19CABC3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11A32B7A" w14:textId="559E6B4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7DC6143" wp14:editId="53CC09BD">
                  <wp:extent cx="1504950" cy="412750"/>
                  <wp:effectExtent l="0" t="0" r="0" b="6350"/>
                  <wp:docPr id="66" name="Picture 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04950" cy="412750"/>
                          </a:xfrm>
                          <a:prstGeom prst="rect">
                            <a:avLst/>
                          </a:prstGeom>
                          <a:noFill/>
                          <a:ln>
                            <a:noFill/>
                          </a:ln>
                        </pic:spPr>
                      </pic:pic>
                    </a:graphicData>
                  </a:graphic>
                </wp:inline>
              </w:drawing>
            </w:r>
          </w:p>
          <w:p w14:paraId="3BC7A23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egal cu</w:t>
            </w:r>
          </w:p>
          <w:p w14:paraId="74A6E8FA" w14:textId="326AA01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C8BF68C" wp14:editId="0D27295E">
                  <wp:extent cx="1371600" cy="476250"/>
                  <wp:effectExtent l="0" t="0" r="0" b="0"/>
                  <wp:docPr id="65" name="Picture 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p w14:paraId="4244A63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unde α este stabilit la 1 %, T</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T</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sunt egale cu scadențele opțiunilor pentru care se obțin sensibilitățile vega, exprimate ca număr de ani; și</w:t>
            </w:r>
          </w:p>
          <w:p w14:paraId="5EA9A5A8" w14:textId="0A96731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07E1CF9" wp14:editId="32D759A2">
                  <wp:extent cx="2679700" cy="412750"/>
                  <wp:effectExtent l="0" t="0" r="6350" b="6350"/>
                  <wp:docPr id="64" name="Picture 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679700" cy="412750"/>
                          </a:xfrm>
                          <a:prstGeom prst="rect">
                            <a:avLst/>
                          </a:prstGeom>
                          <a:noFill/>
                          <a:ln>
                            <a:noFill/>
                          </a:ln>
                        </pic:spPr>
                      </pic:pic>
                    </a:graphicData>
                  </a:graphic>
                </wp:inline>
              </w:drawing>
            </w:r>
          </w:p>
          <w:p w14:paraId="2D450CC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egal cu</w:t>
            </w:r>
          </w:p>
          <w:p w14:paraId="4D07F39A" w14:textId="24A3AF8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12A3434" wp14:editId="1736994C">
                  <wp:extent cx="1517650" cy="609600"/>
                  <wp:effectExtent l="0" t="0" r="6350" b="0"/>
                  <wp:docPr id="63" name="Picture 6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17650" cy="609600"/>
                          </a:xfrm>
                          <a:prstGeom prst="rect">
                            <a:avLst/>
                          </a:prstGeom>
                          <a:noFill/>
                          <a:ln>
                            <a:noFill/>
                          </a:ln>
                        </pic:spPr>
                      </pic:pic>
                    </a:graphicData>
                  </a:graphic>
                </wp:inline>
              </w:drawing>
            </w:r>
          </w:p>
          <w:p w14:paraId="4519357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unde α este stabilit la 1 %,</w:t>
            </w:r>
          </w:p>
          <w:p w14:paraId="7324B386" w14:textId="09E0434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B218E20" wp14:editId="7F62BC57">
                  <wp:extent cx="393700" cy="374650"/>
                  <wp:effectExtent l="0" t="0" r="6350" b="635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3700" cy="374650"/>
                          </a:xfrm>
                          <a:prstGeom prst="rect">
                            <a:avLst/>
                          </a:prstGeom>
                          <a:noFill/>
                          <a:ln>
                            <a:noFill/>
                          </a:ln>
                        </pic:spPr>
                      </pic:pic>
                    </a:graphicData>
                  </a:graphic>
                </wp:inline>
              </w:drawing>
            </w:r>
          </w:p>
          <w:p w14:paraId="62081CB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și</w:t>
            </w:r>
          </w:p>
          <w:p w14:paraId="6C421D80" w14:textId="6943CAB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156364C" wp14:editId="3BE8B3BA">
                  <wp:extent cx="393700" cy="374650"/>
                  <wp:effectExtent l="0" t="0" r="6350" b="635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93700" cy="374650"/>
                          </a:xfrm>
                          <a:prstGeom prst="rect">
                            <a:avLst/>
                          </a:prstGeom>
                          <a:noFill/>
                          <a:ln>
                            <a:noFill/>
                          </a:ln>
                        </pic:spPr>
                      </pic:pic>
                    </a:graphicData>
                  </a:graphic>
                </wp:inline>
              </w:drawing>
            </w:r>
          </w:p>
          <w:p w14:paraId="274D8AA8" w14:textId="4FC122E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sunt egale cu scadențele instrumentelor-suport ale opțiunilor pentru care se obțin sensibilitățile vega, minus scadențele opțiunilor corespunzătoare, exprimate în ambele cazuri ca număr de ani.</w:t>
            </w:r>
          </w:p>
        </w:tc>
        <w:tc>
          <w:tcPr>
            <w:tcW w:w="1692" w:type="pct"/>
            <w:shd w:val="clear" w:color="auto" w:fill="auto"/>
          </w:tcPr>
          <w:p w14:paraId="022F6CD6" w14:textId="2CF51521"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2" w:name="_Hlk223525366"/>
            <w:r w:rsidRPr="00C011B2">
              <w:rPr>
                <w:rFonts w:ascii="Times New Roman" w:hAnsi="Times New Roman" w:cs="Times New Roman"/>
                <w:color w:val="000000" w:themeColor="text1"/>
                <w:lang w:val="ro-MD"/>
              </w:rPr>
              <w:lastRenderedPageBreak/>
              <w:t>325.   Între sensibilitățile la riscul vega din cadrul aceleiași benzi a clasei de risc general de rată a dobânzii (GIRR),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stabilește după cum urmează:</w:t>
            </w:r>
          </w:p>
          <w:p w14:paraId="6CE7DA8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443603DB" wp14:editId="673EB821">
                  <wp:extent cx="3055620" cy="267335"/>
                  <wp:effectExtent l="0" t="0" r="0" b="0"/>
                  <wp:docPr id="164" name="Picture 16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55620" cy="267335"/>
                          </a:xfrm>
                          <a:prstGeom prst="rect">
                            <a:avLst/>
                          </a:prstGeom>
                          <a:noFill/>
                          <a:ln>
                            <a:noFill/>
                          </a:ln>
                        </pic:spPr>
                      </pic:pic>
                    </a:graphicData>
                  </a:graphic>
                </wp:inline>
              </w:drawing>
            </w:r>
          </w:p>
          <w:p w14:paraId="15B6F34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269F2E2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C2AC671" wp14:editId="400BD1F0">
                  <wp:extent cx="1504950" cy="412750"/>
                  <wp:effectExtent l="0" t="0" r="0" b="6350"/>
                  <wp:docPr id="165" name="Picture 1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04950" cy="412750"/>
                          </a:xfrm>
                          <a:prstGeom prst="rect">
                            <a:avLst/>
                          </a:prstGeom>
                          <a:noFill/>
                          <a:ln>
                            <a:noFill/>
                          </a:ln>
                        </pic:spPr>
                      </pic:pic>
                    </a:graphicData>
                  </a:graphic>
                </wp:inline>
              </w:drawing>
            </w:r>
          </w:p>
          <w:p w14:paraId="43BB503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egal cu</w:t>
            </w:r>
          </w:p>
          <w:p w14:paraId="0400F59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081CBD1" wp14:editId="2E74CC6C">
                  <wp:extent cx="1371600" cy="476250"/>
                  <wp:effectExtent l="0" t="0" r="0" b="0"/>
                  <wp:docPr id="166" name="Picture 16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p w14:paraId="33DB8B9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unde α este stabilit la 1 %, T</w:t>
            </w:r>
            <w:r w:rsidRPr="00C011B2">
              <w:rPr>
                <w:rFonts w:ascii="Times New Roman" w:hAnsi="Times New Roman" w:cs="Times New Roman"/>
                <w:color w:val="000000" w:themeColor="text1"/>
                <w:vertAlign w:val="subscript"/>
                <w:lang w:val="ro-MD"/>
              </w:rPr>
              <w:t>k</w:t>
            </w:r>
            <w:r w:rsidRPr="00C011B2">
              <w:rPr>
                <w:rFonts w:ascii="Times New Roman" w:hAnsi="Times New Roman" w:cs="Times New Roman"/>
                <w:color w:val="000000" w:themeColor="text1"/>
                <w:lang w:val="ro-MD"/>
              </w:rPr>
              <w:t> și T</w:t>
            </w:r>
            <w:r w:rsidRPr="00C011B2">
              <w:rPr>
                <w:rFonts w:ascii="Times New Roman" w:hAnsi="Times New Roman" w:cs="Times New Roman"/>
                <w:color w:val="000000" w:themeColor="text1"/>
                <w:vertAlign w:val="subscript"/>
                <w:lang w:val="ro-MD"/>
              </w:rPr>
              <w:t>l</w:t>
            </w:r>
            <w:r w:rsidRPr="00C011B2">
              <w:rPr>
                <w:rFonts w:ascii="Times New Roman" w:hAnsi="Times New Roman" w:cs="Times New Roman"/>
                <w:color w:val="000000" w:themeColor="text1"/>
                <w:lang w:val="ro-MD"/>
              </w:rPr>
              <w:t> sunt egale cu scadențele opțiunilor pentru care se obțin sensibilitățile vega, exprimate ca număr de ani; și</w:t>
            </w:r>
          </w:p>
          <w:p w14:paraId="0887B80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1D30740" wp14:editId="27CA0F0C">
                  <wp:extent cx="2679700" cy="412750"/>
                  <wp:effectExtent l="0" t="0" r="6350" b="6350"/>
                  <wp:docPr id="167" name="Picture 16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679700" cy="412750"/>
                          </a:xfrm>
                          <a:prstGeom prst="rect">
                            <a:avLst/>
                          </a:prstGeom>
                          <a:noFill/>
                          <a:ln>
                            <a:noFill/>
                          </a:ln>
                        </pic:spPr>
                      </pic:pic>
                    </a:graphicData>
                  </a:graphic>
                </wp:inline>
              </w:drawing>
            </w:r>
          </w:p>
          <w:p w14:paraId="59AB2AD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egal cu</w:t>
            </w:r>
          </w:p>
          <w:p w14:paraId="1697A5E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DB00F50" wp14:editId="36481C45">
                  <wp:extent cx="1517650" cy="609600"/>
                  <wp:effectExtent l="0" t="0" r="6350" b="0"/>
                  <wp:docPr id="168" name="Picture 1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17650" cy="609600"/>
                          </a:xfrm>
                          <a:prstGeom prst="rect">
                            <a:avLst/>
                          </a:prstGeom>
                          <a:noFill/>
                          <a:ln>
                            <a:noFill/>
                          </a:ln>
                        </pic:spPr>
                      </pic:pic>
                    </a:graphicData>
                  </a:graphic>
                </wp:inline>
              </w:drawing>
            </w:r>
          </w:p>
          <w:p w14:paraId="52C4EF1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unde α este stabilit la 1 %,</w:t>
            </w:r>
          </w:p>
          <w:p w14:paraId="6815A44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771635A" wp14:editId="23FD36D5">
                  <wp:extent cx="393700" cy="374650"/>
                  <wp:effectExtent l="0" t="0" r="6350" b="6350"/>
                  <wp:docPr id="169" name="Picture 1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3700" cy="374650"/>
                          </a:xfrm>
                          <a:prstGeom prst="rect">
                            <a:avLst/>
                          </a:prstGeom>
                          <a:noFill/>
                          <a:ln>
                            <a:noFill/>
                          </a:ln>
                        </pic:spPr>
                      </pic:pic>
                    </a:graphicData>
                  </a:graphic>
                </wp:inline>
              </w:drawing>
            </w:r>
          </w:p>
          <w:p w14:paraId="214BAD2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6F3E92F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42D59A1" wp14:editId="1AD43D92">
                  <wp:extent cx="393700" cy="374650"/>
                  <wp:effectExtent l="0" t="0" r="6350" b="6350"/>
                  <wp:docPr id="170" name="Picture 1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93700" cy="374650"/>
                          </a:xfrm>
                          <a:prstGeom prst="rect">
                            <a:avLst/>
                          </a:prstGeom>
                          <a:noFill/>
                          <a:ln>
                            <a:noFill/>
                          </a:ln>
                        </pic:spPr>
                      </pic:pic>
                    </a:graphicData>
                  </a:graphic>
                </wp:inline>
              </w:drawing>
            </w:r>
          </w:p>
          <w:p w14:paraId="64CD0859" w14:textId="4E984FB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sunt egale cu scadențele instrumentelor-suport ale opțiunilor pentru care se obțin sensibilitățile vega, minus scadențele opțiunilor corespunzătoare, exprimate în ambele cazuri ca număr de ani.</w:t>
            </w:r>
            <w:bookmarkEnd w:id="322"/>
          </w:p>
        </w:tc>
        <w:tc>
          <w:tcPr>
            <w:tcW w:w="450" w:type="pct"/>
          </w:tcPr>
          <w:p w14:paraId="28C63CD0" w14:textId="4716C48D"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817C26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B7A8A7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91E12F" w14:textId="45E7768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Între sensibilitățile la riscul vega din cadrul unei benzi aparținând celorlalte clase de risc,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stabilește după cum urmează:</w:t>
            </w:r>
          </w:p>
          <w:p w14:paraId="3278C01C" w14:textId="190EC7C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8C014FB" wp14:editId="4B04FA9A">
                  <wp:extent cx="3055620" cy="386080"/>
                  <wp:effectExtent l="0" t="0" r="0" b="0"/>
                  <wp:docPr id="70" name="Picture 7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5620" cy="386080"/>
                          </a:xfrm>
                          <a:prstGeom prst="rect">
                            <a:avLst/>
                          </a:prstGeom>
                          <a:noFill/>
                          <a:ln>
                            <a:noFill/>
                          </a:ln>
                        </pic:spPr>
                      </pic:pic>
                    </a:graphicData>
                  </a:graphic>
                </wp:inline>
              </w:drawing>
            </w:r>
          </w:p>
          <w:p w14:paraId="5D6ECBB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7E89E147" w14:textId="43A1A0C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BF196FC" wp14:editId="4E022711">
                  <wp:extent cx="952500" cy="412750"/>
                  <wp:effectExtent l="0" t="0" r="0" b="6350"/>
                  <wp:docPr id="69" name="Picture 6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52500" cy="412750"/>
                          </a:xfrm>
                          <a:prstGeom prst="rect">
                            <a:avLst/>
                          </a:prstGeom>
                          <a:noFill/>
                          <a:ln>
                            <a:noFill/>
                          </a:ln>
                        </pic:spPr>
                      </pic:pic>
                    </a:graphicData>
                  </a:graphic>
                </wp:inline>
              </w:drawing>
            </w:r>
          </w:p>
          <w:p w14:paraId="0A944AA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egal cu corelația delta din cadrul unei benzi corespunzătoare benzii în care s-ar încadra factorii de risc vega „k” și „l”; și</w:t>
            </w:r>
          </w:p>
          <w:p w14:paraId="76014EEB" w14:textId="65D2488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E3A050F" wp14:editId="033365BA">
                  <wp:extent cx="1504950" cy="412750"/>
                  <wp:effectExtent l="0" t="0" r="0" b="6350"/>
                  <wp:docPr id="68" name="Picture 6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04950" cy="412750"/>
                          </a:xfrm>
                          <a:prstGeom prst="rect">
                            <a:avLst/>
                          </a:prstGeom>
                          <a:noFill/>
                          <a:ln>
                            <a:noFill/>
                          </a:ln>
                        </pic:spPr>
                      </pic:pic>
                    </a:graphicData>
                  </a:graphic>
                </wp:inline>
              </w:drawing>
            </w:r>
          </w:p>
          <w:p w14:paraId="0E4DB0C8" w14:textId="1E949A1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stabilit în conformitate cu alineatul (1).</w:t>
            </w:r>
          </w:p>
        </w:tc>
        <w:tc>
          <w:tcPr>
            <w:tcW w:w="1692" w:type="pct"/>
            <w:shd w:val="clear" w:color="auto" w:fill="auto"/>
          </w:tcPr>
          <w:p w14:paraId="5B4AD9D6" w14:textId="79B17558"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3" w:name="_Hlk223526287"/>
            <w:r w:rsidRPr="00C011B2">
              <w:rPr>
                <w:rFonts w:ascii="Times New Roman" w:hAnsi="Times New Roman" w:cs="Times New Roman"/>
                <w:color w:val="000000" w:themeColor="text1"/>
                <w:lang w:val="ro-MD"/>
              </w:rPr>
              <w:t>326.   Între sensibilitățile la riscul vega din cadrul unei benzi aparținând celorlalte clase de risc, parametrul de corelație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se stabilește după cum urmează:</w:t>
            </w:r>
          </w:p>
          <w:p w14:paraId="6193D1B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94B6AA6" wp14:editId="4D4732A1">
                  <wp:extent cx="3055620" cy="386080"/>
                  <wp:effectExtent l="0" t="0" r="0" b="0"/>
                  <wp:docPr id="171" name="Picture 1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5620" cy="386080"/>
                          </a:xfrm>
                          <a:prstGeom prst="rect">
                            <a:avLst/>
                          </a:prstGeom>
                          <a:noFill/>
                          <a:ln>
                            <a:noFill/>
                          </a:ln>
                        </pic:spPr>
                      </pic:pic>
                    </a:graphicData>
                  </a:graphic>
                </wp:inline>
              </w:drawing>
            </w:r>
          </w:p>
          <w:p w14:paraId="7EE2282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p w14:paraId="452C7BD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F6E198A" wp14:editId="7DD68ECF">
                  <wp:extent cx="952500" cy="412750"/>
                  <wp:effectExtent l="0" t="0" r="0" b="6350"/>
                  <wp:docPr id="172" name="Picture 1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52500" cy="412750"/>
                          </a:xfrm>
                          <a:prstGeom prst="rect">
                            <a:avLst/>
                          </a:prstGeom>
                          <a:noFill/>
                          <a:ln>
                            <a:noFill/>
                          </a:ln>
                        </pic:spPr>
                      </pic:pic>
                    </a:graphicData>
                  </a:graphic>
                </wp:inline>
              </w:drawing>
            </w:r>
          </w:p>
          <w:p w14:paraId="5697251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egal cu corelația delta din cadrul unei benzi corespunzătoare benzii în care s-ar încadra factorii de risc vega „k” și „l”; și</w:t>
            </w:r>
          </w:p>
          <w:p w14:paraId="7F76E29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B318693" wp14:editId="2604741F">
                  <wp:extent cx="1504950" cy="412750"/>
                  <wp:effectExtent l="0" t="0" r="0" b="6350"/>
                  <wp:docPr id="173" name="Picture 1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04950" cy="412750"/>
                          </a:xfrm>
                          <a:prstGeom prst="rect">
                            <a:avLst/>
                          </a:prstGeom>
                          <a:noFill/>
                          <a:ln>
                            <a:noFill/>
                          </a:ln>
                        </pic:spPr>
                      </pic:pic>
                    </a:graphicData>
                  </a:graphic>
                </wp:inline>
              </w:drawing>
            </w:r>
          </w:p>
          <w:p w14:paraId="55839709" w14:textId="27EFA8A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este stabilit în conformitate cu pct.325.</w:t>
            </w:r>
            <w:bookmarkEnd w:id="323"/>
          </w:p>
        </w:tc>
        <w:tc>
          <w:tcPr>
            <w:tcW w:w="450" w:type="pct"/>
          </w:tcPr>
          <w:p w14:paraId="34461ED2" w14:textId="732584AA"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1191D0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E6221E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4A6D25" w14:textId="7E00AB3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În ceea ce privește sensibilitățile la riscul vega între benzile dintr-o clasă de risc (GIRR și non-GIRR), în contextul riscului vega se utilizează parametrii de </w:t>
            </w:r>
            <w:r w:rsidRPr="00C011B2">
              <w:rPr>
                <w:rFonts w:ascii="Times New Roman" w:hAnsi="Times New Roman" w:cs="Times New Roman"/>
                <w:color w:val="000000" w:themeColor="text1"/>
                <w:lang w:val="ro-MD"/>
              </w:rPr>
              <w:lastRenderedPageBreak/>
              <w:t>corelație pentru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specificați în cazul corelațiilor delta pentru fiecare clasă de risc în secțiunea 4.</w:t>
            </w:r>
          </w:p>
        </w:tc>
        <w:tc>
          <w:tcPr>
            <w:tcW w:w="1692" w:type="pct"/>
            <w:shd w:val="clear" w:color="auto" w:fill="auto"/>
          </w:tcPr>
          <w:p w14:paraId="3249E04F" w14:textId="3025057A"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4" w:name="_Hlk223526375"/>
            <w:r w:rsidRPr="00C011B2">
              <w:rPr>
                <w:rFonts w:ascii="Times New Roman" w:hAnsi="Times New Roman" w:cs="Times New Roman"/>
                <w:color w:val="000000" w:themeColor="text1"/>
                <w:lang w:val="ro-MD"/>
              </w:rPr>
              <w:lastRenderedPageBreak/>
              <w:t xml:space="preserve">327.   În ceea ce privește sensibilitățile la riscul vega între benzile dintr-o clasă de risc (GIRR și non-GIRR), în contextul riscului vega se utilizează parametrii de corelație </w:t>
            </w:r>
            <w:r w:rsidRPr="00C011B2">
              <w:rPr>
                <w:rFonts w:ascii="Times New Roman" w:hAnsi="Times New Roman" w:cs="Times New Roman"/>
                <w:color w:val="000000" w:themeColor="text1"/>
                <w:lang w:val="ro-MD"/>
              </w:rPr>
              <w:lastRenderedPageBreak/>
              <w:t>pentru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specificați în cazul corelațiilor delta pentru fiecare clasă de risc în secțiunea 4.</w:t>
            </w:r>
            <w:bookmarkEnd w:id="324"/>
          </w:p>
        </w:tc>
        <w:tc>
          <w:tcPr>
            <w:tcW w:w="450" w:type="pct"/>
          </w:tcPr>
          <w:p w14:paraId="572F158F" w14:textId="7ABA5289"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45AE72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7931F5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C5E5A7" w14:textId="6649272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conformitate cu abordarea standardizată, nu este recunoscut niciun beneficiu al diversificării sau al acoperirii între factorii de risc vega și factorii de risc delta. Cerințele pentru riscul vega și cerințele pentru riscul delta sunt agregate prin simplă însumare.</w:t>
            </w:r>
          </w:p>
        </w:tc>
        <w:tc>
          <w:tcPr>
            <w:tcW w:w="1692" w:type="pct"/>
            <w:shd w:val="clear" w:color="auto" w:fill="auto"/>
          </w:tcPr>
          <w:p w14:paraId="7F083BC3" w14:textId="174FDCC2"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5" w:name="_Hlk223526392"/>
            <w:r w:rsidRPr="00C011B2">
              <w:rPr>
                <w:rFonts w:ascii="Times New Roman" w:hAnsi="Times New Roman" w:cs="Times New Roman"/>
                <w:color w:val="000000" w:themeColor="text1"/>
                <w:lang w:val="ro-MD"/>
              </w:rPr>
              <w:t>328.   În conformitate cu abordarea standardizată, nu este recunoscut niciun beneficiu al diversificării sau al acoperirii între factorii de risc vega și factorii de risc delta. Cerințele pentru riscul vega și cerințele pentru riscul delta sunt agregate prin simplă însumare.</w:t>
            </w:r>
            <w:bookmarkEnd w:id="325"/>
          </w:p>
        </w:tc>
        <w:tc>
          <w:tcPr>
            <w:tcW w:w="450" w:type="pct"/>
          </w:tcPr>
          <w:p w14:paraId="79E9B108" w14:textId="1E9AF04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539703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99BB58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F78CC80" w14:textId="07CB580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Corelațiile pentru riscul de curbură sunt pătratul corelațiilor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pentru riscul delta corespunzătoare menționate în subsecțiunea 1.</w:t>
            </w:r>
          </w:p>
        </w:tc>
        <w:tc>
          <w:tcPr>
            <w:tcW w:w="1692" w:type="pct"/>
            <w:shd w:val="clear" w:color="auto" w:fill="auto"/>
          </w:tcPr>
          <w:p w14:paraId="184A28D6" w14:textId="6DD4C43B"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6" w:name="_Hlk223526413"/>
            <w:r w:rsidRPr="00C011B2">
              <w:rPr>
                <w:rFonts w:ascii="Times New Roman" w:hAnsi="Times New Roman" w:cs="Times New Roman"/>
                <w:color w:val="000000" w:themeColor="text1"/>
                <w:lang w:val="ro-MD"/>
              </w:rPr>
              <w:t>329.   Corelațiile pentru riscul de curbură sunt pătratul corelațiilor ρ</w:t>
            </w:r>
            <w:r w:rsidRPr="00C011B2">
              <w:rPr>
                <w:rFonts w:ascii="Times New Roman" w:hAnsi="Times New Roman" w:cs="Times New Roman"/>
                <w:color w:val="000000" w:themeColor="text1"/>
                <w:vertAlign w:val="subscript"/>
                <w:lang w:val="ro-MD"/>
              </w:rPr>
              <w:t>kl</w:t>
            </w:r>
            <w:r w:rsidRPr="00C011B2">
              <w:rPr>
                <w:rFonts w:ascii="Times New Roman" w:hAnsi="Times New Roman" w:cs="Times New Roman"/>
                <w:color w:val="000000" w:themeColor="text1"/>
                <w:lang w:val="ro-MD"/>
              </w:rPr>
              <w:t> și γ</w:t>
            </w:r>
            <w:r w:rsidRPr="00C011B2">
              <w:rPr>
                <w:rFonts w:ascii="Times New Roman" w:hAnsi="Times New Roman" w:cs="Times New Roman"/>
                <w:color w:val="000000" w:themeColor="text1"/>
                <w:vertAlign w:val="subscript"/>
                <w:lang w:val="ro-MD"/>
              </w:rPr>
              <w:t>bc</w:t>
            </w:r>
            <w:r w:rsidRPr="00C011B2">
              <w:rPr>
                <w:rFonts w:ascii="Times New Roman" w:hAnsi="Times New Roman" w:cs="Times New Roman"/>
                <w:color w:val="000000" w:themeColor="text1"/>
                <w:lang w:val="ro-MD"/>
              </w:rPr>
              <w:t> pentru riscul delta corespunzătoare menționate în subsecțiunea 1.</w:t>
            </w:r>
            <w:bookmarkEnd w:id="326"/>
          </w:p>
        </w:tc>
        <w:tc>
          <w:tcPr>
            <w:tcW w:w="450" w:type="pct"/>
          </w:tcPr>
          <w:p w14:paraId="700D6784" w14:textId="7711FF9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D49219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A9E1F8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1ADE17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CAPITOLUL 1b</w:t>
            </w:r>
          </w:p>
          <w:p w14:paraId="06AF3467"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Abordarea bazată pe modele interne alternativă</w:t>
            </w:r>
          </w:p>
          <w:p w14:paraId="0A7A004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1</w:t>
            </w:r>
          </w:p>
          <w:p w14:paraId="056A733E"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Aprobare și cerințe de fonduri proprii</w:t>
            </w:r>
          </w:p>
          <w:p w14:paraId="5FD3BD9C"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325az</w:t>
            </w:r>
          </w:p>
          <w:p w14:paraId="39C34FE5" w14:textId="4792117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Abordarea bazată pe modele interne alternativă și aprobarea de a utiliza modele interne alternative</w:t>
            </w:r>
          </w:p>
        </w:tc>
        <w:tc>
          <w:tcPr>
            <w:tcW w:w="1692" w:type="pct"/>
            <w:shd w:val="clear" w:color="auto" w:fill="auto"/>
          </w:tcPr>
          <w:p w14:paraId="648442C9" w14:textId="16790FC3"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27" w:name="_Hlk195098512"/>
            <w:r w:rsidRPr="00C011B2">
              <w:rPr>
                <w:rFonts w:ascii="Times New Roman" w:hAnsi="Times New Roman" w:cs="Times New Roman"/>
                <w:i/>
                <w:iCs/>
                <w:color w:val="000000" w:themeColor="text1"/>
                <w:lang w:val="ro-MD"/>
              </w:rPr>
              <w:t>CAPITOLUL III</w:t>
            </w:r>
          </w:p>
          <w:p w14:paraId="41030DD5"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Abordarea bazată pe modele interne alternativă</w:t>
            </w:r>
          </w:p>
          <w:p w14:paraId="2D36850A"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Secțiunea 1</w:t>
            </w:r>
          </w:p>
          <w:p w14:paraId="1F9A9040" w14:textId="554658CA"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 xml:space="preserve">Aprobare </w:t>
            </w:r>
            <w:r w:rsidR="00736A89" w:rsidRPr="00C011B2">
              <w:rPr>
                <w:rFonts w:ascii="Times New Roman" w:hAnsi="Times New Roman" w:cs="Times New Roman"/>
                <w:b/>
                <w:bCs/>
                <w:color w:val="000000" w:themeColor="text1"/>
                <w:lang w:val="ro-MD"/>
              </w:rPr>
              <w:t xml:space="preserve">prealabilă </w:t>
            </w:r>
            <w:r w:rsidRPr="00C011B2">
              <w:rPr>
                <w:rFonts w:ascii="Times New Roman" w:hAnsi="Times New Roman" w:cs="Times New Roman"/>
                <w:b/>
                <w:bCs/>
                <w:color w:val="000000" w:themeColor="text1"/>
                <w:lang w:val="ro-MD"/>
              </w:rPr>
              <w:t>și cerințe de fonduri proprii</w:t>
            </w:r>
          </w:p>
          <w:p w14:paraId="14DCCB74" w14:textId="407C5955" w:rsidR="008A3314" w:rsidRPr="00C011B2" w:rsidRDefault="00EE4DE3" w:rsidP="008A3314">
            <w:pPr>
              <w:spacing w:after="0" w:line="276" w:lineRule="auto"/>
              <w:jc w:val="both"/>
              <w:rPr>
                <w:rFonts w:ascii="Times New Roman" w:hAnsi="Times New Roman" w:cs="Times New Roman"/>
                <w:color w:val="000000" w:themeColor="text1"/>
                <w:lang w:val="ro-MD"/>
              </w:rPr>
            </w:pPr>
            <w:bookmarkStart w:id="328" w:name="_Hlk199514861"/>
            <w:r w:rsidRPr="00C011B2">
              <w:rPr>
                <w:rFonts w:ascii="Times New Roman" w:hAnsi="Times New Roman" w:cs="Times New Roman"/>
                <w:i/>
                <w:iCs/>
                <w:color w:val="000000" w:themeColor="text1"/>
                <w:lang w:val="ro-MD"/>
              </w:rPr>
              <w:t xml:space="preserve">Subsecțiunea </w:t>
            </w:r>
            <w:bookmarkEnd w:id="328"/>
            <w:r w:rsidRPr="00C011B2">
              <w:rPr>
                <w:rFonts w:ascii="Times New Roman" w:hAnsi="Times New Roman" w:cs="Times New Roman"/>
                <w:i/>
                <w:iCs/>
                <w:color w:val="000000" w:themeColor="text1"/>
                <w:lang w:val="ro-MD"/>
              </w:rPr>
              <w:t>1.</w:t>
            </w:r>
            <w:r w:rsidR="008A3314" w:rsidRPr="00C011B2">
              <w:rPr>
                <w:rFonts w:ascii="Times New Roman" w:hAnsi="Times New Roman" w:cs="Times New Roman"/>
                <w:b/>
                <w:bCs/>
                <w:color w:val="000000" w:themeColor="text1"/>
                <w:lang w:val="ro-MD"/>
              </w:rPr>
              <w:t xml:space="preserve">Abordarea bazată pe modele interne alternativă și aprobarea </w:t>
            </w:r>
            <w:r w:rsidR="003D1830" w:rsidRPr="00C011B2">
              <w:rPr>
                <w:rFonts w:ascii="Times New Roman" w:hAnsi="Times New Roman" w:cs="Times New Roman"/>
                <w:b/>
                <w:bCs/>
                <w:color w:val="000000" w:themeColor="text1"/>
                <w:lang w:val="ro-MD"/>
              </w:rPr>
              <w:t xml:space="preserve">prealabilă </w:t>
            </w:r>
            <w:r w:rsidR="008A3314" w:rsidRPr="00C011B2">
              <w:rPr>
                <w:rFonts w:ascii="Times New Roman" w:hAnsi="Times New Roman" w:cs="Times New Roman"/>
                <w:b/>
                <w:bCs/>
                <w:color w:val="000000" w:themeColor="text1"/>
                <w:lang w:val="ro-MD"/>
              </w:rPr>
              <w:t>de a utiliza modele interne alternative</w:t>
            </w:r>
            <w:bookmarkEnd w:id="327"/>
          </w:p>
        </w:tc>
        <w:tc>
          <w:tcPr>
            <w:tcW w:w="450" w:type="pct"/>
          </w:tcPr>
          <w:p w14:paraId="7575CAA6"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42EC344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CA5CE6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394767"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67" w:tooltip="32024R1623: REPLACED" w:history="1">
              <w:r w:rsidR="008A3314" w:rsidRPr="00C011B2">
                <w:rPr>
                  <w:rStyle w:val="Hyperlink"/>
                  <w:rFonts w:ascii="Times New Roman" w:hAnsi="Times New Roman" w:cs="Times New Roman"/>
                  <w:b/>
                  <w:bCs/>
                  <w:lang w:val="ro-MD"/>
                </w:rPr>
                <w:t>▼M17</w:t>
              </w:r>
            </w:hyperlink>
          </w:p>
          <w:p w14:paraId="55951A79" w14:textId="2A8CB35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Abordarea bazată pe modele interne alternativă poate fi utilizată de o instituție pentru a-și calcula cerințele de fonduri proprii pentru riscul de piață, cu condiția ca instituția să îndeplinească toate cerințele prevăzute în prezentul capitol.</w:t>
            </w:r>
          </w:p>
        </w:tc>
        <w:tc>
          <w:tcPr>
            <w:tcW w:w="1692" w:type="pct"/>
            <w:shd w:val="clear" w:color="auto" w:fill="auto"/>
          </w:tcPr>
          <w:p w14:paraId="542578CF" w14:textId="290A6979" w:rsidR="008A3314" w:rsidRPr="00C011B2" w:rsidRDefault="00EE4DE3" w:rsidP="008A3314">
            <w:pPr>
              <w:spacing w:after="0" w:line="276" w:lineRule="auto"/>
              <w:jc w:val="both"/>
              <w:rPr>
                <w:rFonts w:ascii="Times New Roman" w:hAnsi="Times New Roman" w:cs="Times New Roman"/>
                <w:color w:val="000000" w:themeColor="text1"/>
                <w:lang w:val="ro-MD"/>
              </w:rPr>
            </w:pPr>
            <w:bookmarkStart w:id="329" w:name="_Hlk223533882"/>
            <w:r w:rsidRPr="00C011B2">
              <w:rPr>
                <w:rFonts w:ascii="Times New Roman" w:hAnsi="Times New Roman" w:cs="Times New Roman"/>
                <w:color w:val="000000" w:themeColor="text1"/>
                <w:lang w:val="ro-MD"/>
              </w:rPr>
              <w:t>330.</w:t>
            </w:r>
            <w:r w:rsidR="008A3314" w:rsidRPr="00C011B2">
              <w:rPr>
                <w:rFonts w:ascii="Times New Roman" w:hAnsi="Times New Roman" w:cs="Times New Roman"/>
                <w:color w:val="000000" w:themeColor="text1"/>
                <w:lang w:val="ro-MD"/>
              </w:rPr>
              <w:t>   Abordarea bazată pe modele interne alternativă poate fi utilizată de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pentru a-și calcula cerințele de fonduri proprii pentru riscul de piață, cu condiția ca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să îndeplinească toate cerințele prevăzute în prezentul capitol.</w:t>
            </w:r>
            <w:bookmarkEnd w:id="329"/>
          </w:p>
        </w:tc>
        <w:tc>
          <w:tcPr>
            <w:tcW w:w="450" w:type="pct"/>
          </w:tcPr>
          <w:p w14:paraId="3C9889C5" w14:textId="1FDD2C9F" w:rsidR="008A3314" w:rsidRPr="00C011B2" w:rsidRDefault="003E7B2D"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2EA2BF9"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82DC37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636B5B"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68" w:tooltip="32019R0876: INSERTED" w:history="1">
              <w:r w:rsidR="008A3314" w:rsidRPr="00C011B2">
                <w:rPr>
                  <w:rStyle w:val="Hyperlink"/>
                  <w:rFonts w:ascii="Times New Roman" w:hAnsi="Times New Roman" w:cs="Times New Roman"/>
                  <w:b/>
                  <w:bCs/>
                  <w:lang w:val="ro-MD"/>
                </w:rPr>
                <w:t>▼M8</w:t>
              </w:r>
            </w:hyperlink>
          </w:p>
          <w:p w14:paraId="271E4C05" w14:textId="2A44B9F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După ce verifică dacă instituțiile respectă cerințele prevăzute la articolele 325bh, 325bi și 325bj, autoritățile competente acordă instituțiilor respective aprobarea de a-și calcula cerințele de fonduri proprii pentru portofoliul cuprinzând toate pozițiile atribuite birourilor de tranzacționare utilizând modelele lor interne alternative în conformitate cu articolul 325ba, dacă sunt îndeplinite cumulativ următoarele cerințele:</w:t>
            </w:r>
          </w:p>
          <w:p w14:paraId="39DB006C" w14:textId="299F20E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birourile de tranzacționare au fost înființate în conformitate cu articolul 104b;</w:t>
            </w:r>
          </w:p>
          <w:p w14:paraId="60D94494" w14:textId="58BD440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instituția a furnizat autorității competente o justificare pentru includerea birourilor de tranzacționare în domeniul de aplicare al abordării bazate pe modele interne alternative;</w:t>
            </w:r>
          </w:p>
          <w:p w14:paraId="0A28DC80"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69" w:tooltip="32024R1623: REPLACED" w:history="1">
              <w:r w:rsidR="008A3314" w:rsidRPr="00C011B2">
                <w:rPr>
                  <w:rStyle w:val="Hyperlink"/>
                  <w:rFonts w:ascii="Times New Roman" w:hAnsi="Times New Roman" w:cs="Times New Roman"/>
                  <w:b/>
                  <w:bCs/>
                  <w:lang w:val="ro-MD"/>
                </w:rPr>
                <w:t>▼M17</w:t>
              </w:r>
            </w:hyperlink>
          </w:p>
          <w:p w14:paraId="7CB5DE92" w14:textId="6FE6EC9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birourile de tranzacționare au îndeplinit cerințele privind testarea ex post menționate la articolul 325bf alineatul (3);</w:t>
            </w:r>
          </w:p>
          <w:p w14:paraId="75C2284D" w14:textId="09107F2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birourile de tranzacționare au îndeplinit cerințele privind atribuirea profitului și a pierderii menționate la articolul 325bg;</w:t>
            </w:r>
          </w:p>
          <w:p w14:paraId="3491134D"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0" w:tooltip="32019R0876: INSERTED" w:history="1">
              <w:r w:rsidR="008A3314" w:rsidRPr="00C011B2">
                <w:rPr>
                  <w:rStyle w:val="Hyperlink"/>
                  <w:rFonts w:ascii="Times New Roman" w:hAnsi="Times New Roman" w:cs="Times New Roman"/>
                  <w:b/>
                  <w:bCs/>
                  <w:lang w:val="ro-MD"/>
                </w:rPr>
                <w:t>▼M8</w:t>
              </w:r>
            </w:hyperlink>
          </w:p>
          <w:p w14:paraId="1CDFFF4F" w14:textId="58EBE57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(e) în cazul birourilor de tranzacționare cărora li s-a atribuit cel puțin una dintre pozițiile din portofoliul de tranzacționare menționate la articolul 325bl, birourile </w:t>
            </w:r>
            <w:r w:rsidRPr="00C011B2">
              <w:rPr>
                <w:rFonts w:ascii="Times New Roman" w:hAnsi="Times New Roman" w:cs="Times New Roman"/>
                <w:color w:val="000000" w:themeColor="text1"/>
                <w:lang w:val="ro-MD"/>
              </w:rPr>
              <w:lastRenderedPageBreak/>
              <w:t>de tranzacționare îndeplinesc cerințele stabilite la articolul 325bm pentru modelul intern pentru riscul de nerambursare;</w:t>
            </w:r>
          </w:p>
          <w:p w14:paraId="67397F60" w14:textId="6CCE292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nu au fost atribuite poziții provenite din securitizare sau din resecuritizare birourilor de tranzacționare;</w:t>
            </w:r>
          </w:p>
          <w:p w14:paraId="23D86F00"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1" w:tooltip="32024R1623: INSERTED" w:history="1">
              <w:r w:rsidR="008A3314" w:rsidRPr="00C011B2">
                <w:rPr>
                  <w:rStyle w:val="Hyperlink"/>
                  <w:rFonts w:ascii="Times New Roman" w:hAnsi="Times New Roman" w:cs="Times New Roman"/>
                  <w:b/>
                  <w:bCs/>
                  <w:lang w:val="ro-MD"/>
                </w:rPr>
                <w:t>▼M17</w:t>
              </w:r>
            </w:hyperlink>
          </w:p>
          <w:p w14:paraId="16073041" w14:textId="3C0E3FE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 nu au fost atribuite birourilor de tranzacționare poziții pe OPC-uri care îndeplinesc condiția prevăzută la articolul 104 alineatul (8) litera (b).</w:t>
            </w:r>
          </w:p>
          <w:p w14:paraId="2CD2FB8A"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2" w:tooltip="32019R0876: INSERTED" w:history="1">
              <w:r w:rsidR="008A3314" w:rsidRPr="00C011B2">
                <w:rPr>
                  <w:rStyle w:val="Hyperlink"/>
                  <w:rFonts w:ascii="Times New Roman" w:hAnsi="Times New Roman" w:cs="Times New Roman"/>
                  <w:b/>
                  <w:bCs/>
                  <w:lang w:val="ro-MD"/>
                </w:rPr>
                <w:t>▼M8</w:t>
              </w:r>
            </w:hyperlink>
          </w:p>
          <w:p w14:paraId="6E5A1B12" w14:textId="09B615F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sensul literei (b) de la primul paragraf din prezentul alineat, neincluderea unui birou de tranzacționare în domeniul de aplicare al abordării bazate pe modele interne alternative nu poate fi motivată de faptul că cerința de fonduri proprii calculată în conformitate cu abordarea standardizată alternativă prevăzută la articolul 325 alineatul (3) litera (a) ar fi mai redusă decât cerința de fonduri proprii calculată în conformitate cu abordarea bazată pe modele interne alternative.</w:t>
            </w:r>
          </w:p>
        </w:tc>
        <w:tc>
          <w:tcPr>
            <w:tcW w:w="1692" w:type="pct"/>
            <w:shd w:val="clear" w:color="auto" w:fill="auto"/>
          </w:tcPr>
          <w:p w14:paraId="22F127F3" w14:textId="3403A6FE" w:rsidR="008A3314" w:rsidRPr="00C011B2" w:rsidRDefault="00EE4DE3" w:rsidP="008A3314">
            <w:pPr>
              <w:spacing w:after="0" w:line="276" w:lineRule="auto"/>
              <w:jc w:val="both"/>
              <w:rPr>
                <w:rFonts w:ascii="Times New Roman" w:hAnsi="Times New Roman" w:cs="Times New Roman"/>
                <w:color w:val="000000" w:themeColor="text1"/>
                <w:lang w:val="ro-MD"/>
              </w:rPr>
            </w:pPr>
            <w:bookmarkStart w:id="330" w:name="_Hlk223533903"/>
            <w:r w:rsidRPr="00C011B2">
              <w:rPr>
                <w:rFonts w:ascii="Times New Roman" w:hAnsi="Times New Roman" w:cs="Times New Roman"/>
                <w:color w:val="000000" w:themeColor="text1"/>
                <w:lang w:val="ro-MD"/>
              </w:rPr>
              <w:lastRenderedPageBreak/>
              <w:t>331.</w:t>
            </w:r>
            <w:r w:rsidR="008A3314" w:rsidRPr="00C011B2">
              <w:rPr>
                <w:rFonts w:ascii="Times New Roman" w:hAnsi="Times New Roman" w:cs="Times New Roman"/>
                <w:color w:val="000000" w:themeColor="text1"/>
                <w:lang w:val="ro-MD"/>
              </w:rPr>
              <w:t xml:space="preserve">   După ce verifică dacă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respectă cerințele prevăzute la </w:t>
            </w:r>
            <w:r w:rsidRPr="00C011B2">
              <w:rPr>
                <w:rFonts w:ascii="Times New Roman" w:hAnsi="Times New Roman" w:cs="Times New Roman"/>
                <w:color w:val="000000" w:themeColor="text1"/>
                <w:lang w:val="ro-MD"/>
              </w:rPr>
              <w:t>secțiunea 2, subsecțiunile 7, 8</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9</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w:t>
            </w:r>
            <w:r w:rsidR="008A3314" w:rsidRPr="00C011B2">
              <w:rPr>
                <w:rFonts w:ascii="Times New Roman" w:hAnsi="Times New Roman" w:cs="Times New Roman"/>
                <w:color w:val="000000" w:themeColor="text1"/>
                <w:lang w:val="ro-MD"/>
              </w:rPr>
              <w:lastRenderedPageBreak/>
              <w:t xml:space="preserve">acordă </w:t>
            </w:r>
            <w:r w:rsidRPr="00C011B2">
              <w:rPr>
                <w:rFonts w:ascii="Times New Roman" w:hAnsi="Times New Roman" w:cs="Times New Roman"/>
                <w:color w:val="000000" w:themeColor="text1"/>
                <w:lang w:val="ro-MD"/>
              </w:rPr>
              <w:t xml:space="preserve">băncilor </w:t>
            </w:r>
            <w:r w:rsidR="008A3314" w:rsidRPr="00C011B2">
              <w:rPr>
                <w:rFonts w:ascii="Times New Roman" w:hAnsi="Times New Roman" w:cs="Times New Roman"/>
                <w:color w:val="000000" w:themeColor="text1"/>
                <w:lang w:val="ro-MD"/>
              </w:rPr>
              <w:t xml:space="preserve">respective aprobarea </w:t>
            </w:r>
            <w:r w:rsidR="003D1830" w:rsidRPr="00C011B2">
              <w:rPr>
                <w:rFonts w:ascii="Times New Roman" w:hAnsi="Times New Roman" w:cs="Times New Roman"/>
                <w:color w:val="000000" w:themeColor="text1"/>
                <w:lang w:val="ro-MD"/>
              </w:rPr>
              <w:t xml:space="preserve">prealabilă </w:t>
            </w:r>
            <w:r w:rsidR="008A3314" w:rsidRPr="00C011B2">
              <w:rPr>
                <w:rFonts w:ascii="Times New Roman" w:hAnsi="Times New Roman" w:cs="Times New Roman"/>
                <w:color w:val="000000" w:themeColor="text1"/>
                <w:lang w:val="ro-MD"/>
              </w:rPr>
              <w:t xml:space="preserve">de a-și calcula cerințele de fonduri proprii pentru portofoliul cuprinzând toate pozițiile atribuite birourilor de tranzacționare utilizând modelele lor interne alternative în conformitate cu </w:t>
            </w:r>
            <w:r w:rsidRPr="00C011B2">
              <w:rPr>
                <w:rFonts w:ascii="Times New Roman" w:hAnsi="Times New Roman" w:cs="Times New Roman"/>
                <w:color w:val="000000" w:themeColor="text1"/>
                <w:lang w:val="ro-MD"/>
              </w:rPr>
              <w:t>subsecțiunea 2</w:t>
            </w:r>
            <w:r w:rsidR="008A3314" w:rsidRPr="00C011B2">
              <w:rPr>
                <w:rFonts w:ascii="Times New Roman" w:hAnsi="Times New Roman" w:cs="Times New Roman"/>
                <w:color w:val="000000" w:themeColor="text1"/>
                <w:lang w:val="ro-MD"/>
              </w:rPr>
              <w:t>, dacă sunt îndeplinite cumulativ următoarele cerințele:</w:t>
            </w:r>
          </w:p>
          <w:p w14:paraId="18965F02" w14:textId="0A427043" w:rsidR="008A3314" w:rsidRPr="00C011B2" w:rsidRDefault="00EE4DE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331.1.</w:t>
            </w:r>
            <w:r w:rsidR="008A3314" w:rsidRPr="00C011B2">
              <w:rPr>
                <w:rFonts w:ascii="Times New Roman" w:hAnsi="Times New Roman" w:cs="Times New Roman"/>
                <w:color w:val="000000" w:themeColor="text1"/>
                <w:lang w:val="ro-MD"/>
              </w:rPr>
              <w:t xml:space="preserve"> birourile de tranzacționare au fost înființate în conformitate cu </w:t>
            </w:r>
            <w:r w:rsidRPr="00C011B2">
              <w:rPr>
                <w:rFonts w:ascii="Times New Roman" w:hAnsi="Times New Roman" w:cs="Times New Roman"/>
                <w:color w:val="000000" w:themeColor="text1"/>
                <w:lang w:val="ro-MD"/>
              </w:rPr>
              <w:t>titlul I, capitolul III, secțiunea 5</w:t>
            </w:r>
            <w:r w:rsidR="008A3314" w:rsidRPr="00C011B2">
              <w:rPr>
                <w:rFonts w:ascii="Times New Roman" w:hAnsi="Times New Roman" w:cs="Times New Roman"/>
                <w:color w:val="000000" w:themeColor="text1"/>
                <w:lang w:val="ro-MD"/>
              </w:rPr>
              <w:t>;</w:t>
            </w:r>
          </w:p>
          <w:p w14:paraId="5BC79F60" w14:textId="53D7C29F" w:rsidR="008A3314" w:rsidRPr="00C011B2" w:rsidRDefault="00EE4DE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331.2.</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a furnizat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o justificare pentru includerea birourilor de tranzacționare în domeniul de aplicare al abordării bazate pe modele interne alternative;</w:t>
            </w:r>
          </w:p>
          <w:p w14:paraId="108F7B98" w14:textId="0FAA4069" w:rsidR="008A3314" w:rsidRPr="00C011B2" w:rsidRDefault="00EE4DE3" w:rsidP="008A3314">
            <w:pPr>
              <w:spacing w:after="0" w:line="276" w:lineRule="auto"/>
              <w:jc w:val="both"/>
              <w:rPr>
                <w:rFonts w:ascii="Times New Roman" w:hAnsi="Times New Roman" w:cs="Times New Roman"/>
                <w:color w:val="000000" w:themeColor="text1"/>
                <w:lang w:val="ro-MD"/>
              </w:rPr>
            </w:pPr>
            <w:bookmarkStart w:id="331" w:name="_Hlk223533942"/>
            <w:bookmarkEnd w:id="330"/>
            <w:r w:rsidRPr="00C011B2">
              <w:rPr>
                <w:rFonts w:ascii="Times New Roman" w:hAnsi="Times New Roman" w:cs="Times New Roman"/>
                <w:color w:val="000000" w:themeColor="text1"/>
                <w:lang w:val="ro-MD"/>
              </w:rPr>
              <w:t>331.3.</w:t>
            </w:r>
            <w:r w:rsidR="008A3314" w:rsidRPr="00C011B2">
              <w:rPr>
                <w:rFonts w:ascii="Times New Roman" w:hAnsi="Times New Roman" w:cs="Times New Roman"/>
                <w:color w:val="000000" w:themeColor="text1"/>
                <w:lang w:val="ro-MD"/>
              </w:rPr>
              <w:t xml:space="preserve"> birourile de tranzacționare au îndeplinit cerințele privind testarea ex post menționate la </w:t>
            </w:r>
            <w:r w:rsidR="00D24F65" w:rsidRPr="00C011B2">
              <w:rPr>
                <w:rFonts w:ascii="Times New Roman" w:hAnsi="Times New Roman" w:cs="Times New Roman"/>
                <w:color w:val="000000" w:themeColor="text1"/>
                <w:lang w:val="ro-MD"/>
              </w:rPr>
              <w:t>pct.369</w:t>
            </w:r>
            <w:r w:rsidR="008A3314" w:rsidRPr="00C011B2">
              <w:rPr>
                <w:rFonts w:ascii="Times New Roman" w:hAnsi="Times New Roman" w:cs="Times New Roman"/>
                <w:color w:val="000000" w:themeColor="text1"/>
                <w:lang w:val="ro-MD"/>
              </w:rPr>
              <w:t>;</w:t>
            </w:r>
          </w:p>
          <w:p w14:paraId="6B8537DB" w14:textId="6D2C7DEB" w:rsidR="008A3314" w:rsidRPr="00C011B2" w:rsidRDefault="0098356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331.4.</w:t>
            </w:r>
            <w:r w:rsidR="008A3314" w:rsidRPr="00C011B2">
              <w:rPr>
                <w:rFonts w:ascii="Times New Roman" w:hAnsi="Times New Roman" w:cs="Times New Roman"/>
                <w:color w:val="000000" w:themeColor="text1"/>
                <w:lang w:val="ro-MD"/>
              </w:rPr>
              <w:t xml:space="preserve"> birourile de tranzacționare au îndeplinit cerințele privind atribuirea profitului și a pierderii menționate la </w:t>
            </w:r>
            <w:r w:rsidRPr="00C011B2">
              <w:rPr>
                <w:rFonts w:ascii="Times New Roman" w:hAnsi="Times New Roman" w:cs="Times New Roman"/>
                <w:color w:val="000000" w:themeColor="text1"/>
                <w:lang w:val="ro-MD"/>
              </w:rPr>
              <w:t xml:space="preserve">secțiunea 2, </w:t>
            </w:r>
            <w:r w:rsidR="006046E8" w:rsidRPr="00C011B2">
              <w:rPr>
                <w:rFonts w:ascii="Times New Roman" w:hAnsi="Times New Roman" w:cs="Times New Roman"/>
                <w:color w:val="000000" w:themeColor="text1"/>
                <w:lang w:val="ro-MD"/>
              </w:rPr>
              <w:t>subsecțiunea 6</w:t>
            </w:r>
            <w:r w:rsidR="008A3314" w:rsidRPr="00C011B2">
              <w:rPr>
                <w:rFonts w:ascii="Times New Roman" w:hAnsi="Times New Roman" w:cs="Times New Roman"/>
                <w:color w:val="000000" w:themeColor="text1"/>
                <w:lang w:val="ro-MD"/>
              </w:rPr>
              <w:t>;</w:t>
            </w:r>
          </w:p>
          <w:p w14:paraId="10F4E10C" w14:textId="07CAB6F6" w:rsidR="008A3314" w:rsidRPr="00C011B2" w:rsidRDefault="006046E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331.5.</w:t>
            </w:r>
            <w:r w:rsidR="008A3314" w:rsidRPr="00C011B2">
              <w:rPr>
                <w:rFonts w:ascii="Times New Roman" w:hAnsi="Times New Roman" w:cs="Times New Roman"/>
                <w:color w:val="000000" w:themeColor="text1"/>
                <w:lang w:val="ro-MD"/>
              </w:rPr>
              <w:t xml:space="preserve"> în cazul birourilor de tranzacționare cărora li s-a atribuit cel puțin una dintre pozițiile din portofoliul de tranzacționare menționate la </w:t>
            </w:r>
            <w:r w:rsidRPr="00C011B2">
              <w:rPr>
                <w:rFonts w:ascii="Times New Roman" w:hAnsi="Times New Roman" w:cs="Times New Roman"/>
                <w:color w:val="000000" w:themeColor="text1"/>
                <w:lang w:val="ro-MD"/>
              </w:rPr>
              <w:t>secțiunea 3, subsecțiunea 1</w:t>
            </w:r>
            <w:r w:rsidR="008A3314" w:rsidRPr="00C011B2">
              <w:rPr>
                <w:rFonts w:ascii="Times New Roman" w:hAnsi="Times New Roman" w:cs="Times New Roman"/>
                <w:color w:val="000000" w:themeColor="text1"/>
                <w:lang w:val="ro-MD"/>
              </w:rPr>
              <w:t xml:space="preserve">, birourile de tranzacționare îndeplinesc cerințele stabilite la </w:t>
            </w:r>
            <w:r w:rsidRPr="00C011B2">
              <w:rPr>
                <w:rFonts w:ascii="Times New Roman" w:hAnsi="Times New Roman" w:cs="Times New Roman"/>
                <w:color w:val="000000" w:themeColor="text1"/>
                <w:lang w:val="ro-MD"/>
              </w:rPr>
              <w:t xml:space="preserve">secțiunea 3, subsecțiunea 2 </w:t>
            </w:r>
            <w:r w:rsidR="008A3314" w:rsidRPr="00C011B2">
              <w:rPr>
                <w:rFonts w:ascii="Times New Roman" w:hAnsi="Times New Roman" w:cs="Times New Roman"/>
                <w:color w:val="000000" w:themeColor="text1"/>
                <w:lang w:val="ro-MD"/>
              </w:rPr>
              <w:t>pentru modelul intern pentru riscul de nerambursare;</w:t>
            </w:r>
          </w:p>
          <w:p w14:paraId="1D6A3259" w14:textId="06D99E96" w:rsidR="008A3314" w:rsidRPr="00C011B2" w:rsidRDefault="006046E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331.6.</w:t>
            </w:r>
            <w:r w:rsidR="008A3314" w:rsidRPr="00C011B2">
              <w:rPr>
                <w:rFonts w:ascii="Times New Roman" w:hAnsi="Times New Roman" w:cs="Times New Roman"/>
                <w:color w:val="000000" w:themeColor="text1"/>
                <w:lang w:val="ro-MD"/>
              </w:rPr>
              <w:t> nu au fost atribuite poziții provenite din securitizare sau din resecuritizare birourilor de tranzacționare;</w:t>
            </w:r>
          </w:p>
          <w:p w14:paraId="20506635" w14:textId="73F050B7" w:rsidR="008A3314" w:rsidRPr="00C011B2" w:rsidRDefault="006046E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331.7.</w:t>
            </w:r>
            <w:r w:rsidR="008A3314" w:rsidRPr="00C011B2">
              <w:rPr>
                <w:rFonts w:ascii="Times New Roman" w:hAnsi="Times New Roman" w:cs="Times New Roman"/>
                <w:color w:val="000000" w:themeColor="text1"/>
                <w:lang w:val="ro-MD"/>
              </w:rPr>
              <w:t> nu au fost atribuite birourilor de tranzacționare poziții pe OPC-uri care îndeplinesc condiția prevăzută la</w:t>
            </w:r>
            <w:r w:rsidR="00A34689" w:rsidRPr="00C011B2">
              <w:rPr>
                <w:rFonts w:ascii="Times New Roman" w:hAnsi="Times New Roman" w:cs="Times New Roman"/>
                <w:color w:val="000000" w:themeColor="text1"/>
                <w:lang w:val="ro-MD"/>
              </w:rPr>
              <w:t xml:space="preserve"> </w:t>
            </w:r>
            <w:r w:rsidR="00FE4759" w:rsidRPr="00C011B2">
              <w:rPr>
                <w:rFonts w:ascii="Times New Roman" w:hAnsi="Times New Roman" w:cs="Times New Roman"/>
                <w:color w:val="000000" w:themeColor="text1"/>
                <w:lang w:val="ro-MD"/>
              </w:rPr>
              <w:t>subpct.24.2</w:t>
            </w:r>
            <w:r w:rsidR="008A3314" w:rsidRPr="00C011B2">
              <w:rPr>
                <w:rFonts w:ascii="Times New Roman" w:hAnsi="Times New Roman" w:cs="Times New Roman"/>
                <w:color w:val="000000" w:themeColor="text1"/>
                <w:lang w:val="ro-MD"/>
              </w:rPr>
              <w:t>.</w:t>
            </w:r>
          </w:p>
          <w:p w14:paraId="11CD83B1" w14:textId="57036C97" w:rsidR="008A3314" w:rsidRPr="00C011B2" w:rsidRDefault="00903B2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332. </w:t>
            </w:r>
            <w:r w:rsidR="008A3314" w:rsidRPr="00C011B2">
              <w:rPr>
                <w:rFonts w:ascii="Times New Roman" w:hAnsi="Times New Roman" w:cs="Times New Roman"/>
                <w:color w:val="000000" w:themeColor="text1"/>
                <w:lang w:val="ro-MD"/>
              </w:rPr>
              <w:t xml:space="preserve">În sensul </w:t>
            </w:r>
            <w:r w:rsidRPr="00C011B2">
              <w:rPr>
                <w:rFonts w:ascii="Times New Roman" w:hAnsi="Times New Roman" w:cs="Times New Roman"/>
                <w:color w:val="000000" w:themeColor="text1"/>
                <w:lang w:val="ro-MD"/>
              </w:rPr>
              <w:t>subpct.331.2</w:t>
            </w:r>
            <w:r w:rsidR="008A3314" w:rsidRPr="00C011B2">
              <w:rPr>
                <w:rFonts w:ascii="Times New Roman" w:hAnsi="Times New Roman" w:cs="Times New Roman"/>
                <w:color w:val="000000" w:themeColor="text1"/>
                <w:lang w:val="ro-MD"/>
              </w:rPr>
              <w:t xml:space="preserve">, neincluderea unui birou de tranzacționare în domeniul de aplicare al abordării bazate pe modele interne alternative nu poate fi motivată de faptul că cerința de fonduri proprii calculată în conformitate cu abordarea standardizată alternativă prevăzută la </w:t>
            </w:r>
            <w:r w:rsidR="00FE4759" w:rsidRPr="00C011B2">
              <w:rPr>
                <w:rFonts w:ascii="Times New Roman" w:hAnsi="Times New Roman" w:cs="Times New Roman"/>
                <w:color w:val="000000" w:themeColor="text1"/>
                <w:lang w:val="ro-MD"/>
              </w:rPr>
              <w:t>subpct.72.1</w:t>
            </w:r>
            <w:r w:rsidR="008A3314" w:rsidRPr="00C011B2">
              <w:rPr>
                <w:rFonts w:ascii="Times New Roman" w:hAnsi="Times New Roman" w:cs="Times New Roman"/>
                <w:color w:val="000000" w:themeColor="text1"/>
                <w:lang w:val="ro-MD"/>
              </w:rPr>
              <w:t xml:space="preserve"> ar fi mai redusă decât cerința de fonduri proprii calculată în conformitate cu abordarea bazată pe modele interne alternative.</w:t>
            </w:r>
            <w:bookmarkEnd w:id="331"/>
          </w:p>
        </w:tc>
        <w:tc>
          <w:tcPr>
            <w:tcW w:w="450" w:type="pct"/>
          </w:tcPr>
          <w:p w14:paraId="1441E469" w14:textId="461CCB23" w:rsidR="008A3314" w:rsidRPr="00C011B2" w:rsidRDefault="003E7B2D"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EE4521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86EA05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D5DED68"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3" w:tooltip="32024R1623: REPLACED" w:history="1">
              <w:r w:rsidR="008A3314" w:rsidRPr="00C011B2">
                <w:rPr>
                  <w:rStyle w:val="Hyperlink"/>
                  <w:rFonts w:ascii="Times New Roman" w:hAnsi="Times New Roman" w:cs="Times New Roman"/>
                  <w:b/>
                  <w:bCs/>
                  <w:lang w:val="ro-MD"/>
                </w:rPr>
                <w:t>▼M17</w:t>
              </w:r>
            </w:hyperlink>
          </w:p>
          <w:p w14:paraId="35CB12DF" w14:textId="4E27283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Instituțiile care au primit aprobarea de a utiliza abordarea bazată pe modele interne alternativă îndeplinesc, de asemenea, cerința de raportare prevăzută la articolul 325 alineatul (3).</w:t>
            </w:r>
          </w:p>
        </w:tc>
        <w:tc>
          <w:tcPr>
            <w:tcW w:w="1692" w:type="pct"/>
            <w:shd w:val="clear" w:color="auto" w:fill="auto"/>
          </w:tcPr>
          <w:p w14:paraId="4A9FC0FD" w14:textId="6805D5C9" w:rsidR="008A3314" w:rsidRPr="00C011B2" w:rsidRDefault="00903B2F" w:rsidP="008A3314">
            <w:pPr>
              <w:spacing w:after="0" w:line="276" w:lineRule="auto"/>
              <w:jc w:val="both"/>
              <w:rPr>
                <w:rFonts w:ascii="Times New Roman" w:hAnsi="Times New Roman" w:cs="Times New Roman"/>
                <w:color w:val="000000" w:themeColor="text1"/>
                <w:lang w:val="ro-MD"/>
              </w:rPr>
            </w:pPr>
            <w:bookmarkStart w:id="332" w:name="_Hlk223534019"/>
            <w:r w:rsidRPr="00C011B2">
              <w:rPr>
                <w:rFonts w:ascii="Times New Roman" w:hAnsi="Times New Roman" w:cs="Times New Roman"/>
                <w:color w:val="000000" w:themeColor="text1"/>
                <w:lang w:val="ro-MD"/>
              </w:rPr>
              <w:t>333.</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care au primit aprobarea </w:t>
            </w:r>
            <w:r w:rsidR="003D1830" w:rsidRPr="00C011B2">
              <w:rPr>
                <w:rFonts w:ascii="Times New Roman" w:hAnsi="Times New Roman" w:cs="Times New Roman"/>
                <w:color w:val="000000" w:themeColor="text1"/>
                <w:lang w:val="ro-MD"/>
              </w:rPr>
              <w:t xml:space="preserve">prealabilă </w:t>
            </w:r>
            <w:r w:rsidR="008A3314" w:rsidRPr="00C011B2">
              <w:rPr>
                <w:rFonts w:ascii="Times New Roman" w:hAnsi="Times New Roman" w:cs="Times New Roman"/>
                <w:color w:val="000000" w:themeColor="text1"/>
                <w:lang w:val="ro-MD"/>
              </w:rPr>
              <w:t xml:space="preserve">de a utiliza abordarea bazată pe modele interne alternativă îndeplinesc, de asemenea, cerința de raportare prevăzută la </w:t>
            </w:r>
            <w:r w:rsidR="00FE4759" w:rsidRPr="00C011B2">
              <w:rPr>
                <w:rFonts w:ascii="Times New Roman" w:hAnsi="Times New Roman" w:cs="Times New Roman"/>
                <w:color w:val="000000" w:themeColor="text1"/>
                <w:lang w:val="ro-MD"/>
              </w:rPr>
              <w:t>pct.72</w:t>
            </w:r>
            <w:r w:rsidR="008A3314" w:rsidRPr="00C011B2">
              <w:rPr>
                <w:rFonts w:ascii="Times New Roman" w:hAnsi="Times New Roman" w:cs="Times New Roman"/>
                <w:color w:val="000000" w:themeColor="text1"/>
                <w:lang w:val="ro-MD"/>
              </w:rPr>
              <w:t>.</w:t>
            </w:r>
            <w:bookmarkEnd w:id="332"/>
          </w:p>
        </w:tc>
        <w:tc>
          <w:tcPr>
            <w:tcW w:w="450" w:type="pct"/>
          </w:tcPr>
          <w:p w14:paraId="6DBB8ACA" w14:textId="202C8ED3" w:rsidR="008A3314" w:rsidRPr="00C011B2" w:rsidRDefault="003E7B2D"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EC8624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545888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EE8583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4" w:tooltip="32019R0876: INSERTED" w:history="1">
              <w:r w:rsidR="008A3314" w:rsidRPr="00C011B2">
                <w:rPr>
                  <w:rStyle w:val="Hyperlink"/>
                  <w:rFonts w:ascii="Times New Roman" w:hAnsi="Times New Roman" w:cs="Times New Roman"/>
                  <w:b/>
                  <w:bCs/>
                  <w:lang w:val="ro-MD"/>
                </w:rPr>
                <w:t>▼M8</w:t>
              </w:r>
            </w:hyperlink>
          </w:p>
          <w:p w14:paraId="52FE97F7" w14:textId="63675C1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O instituție căreia i s-a acordat aprobarea menționată la alineatul (2) notifică imediat autorităților sale competente faptul că unul dintre birourile sale de tranzacționare nu mai îndeplinește cel puțin una dintre cerințele prevăzute la alineatul respectiv. Instituției în cauză nu i se mai permite să aplice prevederile prezentului capitol niciuneia dintre pozițiile atribuite biroului de tranzacționare respectiv și aceasta calculează cerințele de fonduri proprii pentru riscul de piață în conformitate cu abordarea prevăzută în capitolul 1a pentru toate pozițiile atribuite biroului de tranzacționare de la prima dată de raportare care urmează și până când instituția demonstrează autorităților competente că biroul de tranzacționare îndeplinește din nou toate cerințele prevăzute la alineatul (2).</w:t>
            </w:r>
          </w:p>
        </w:tc>
        <w:tc>
          <w:tcPr>
            <w:tcW w:w="1692" w:type="pct"/>
            <w:shd w:val="clear" w:color="auto" w:fill="auto"/>
          </w:tcPr>
          <w:p w14:paraId="0C18C529" w14:textId="6D72560F" w:rsidR="008A3314" w:rsidRPr="00C011B2" w:rsidRDefault="00903B2F" w:rsidP="008A3314">
            <w:pPr>
              <w:spacing w:after="0" w:line="276" w:lineRule="auto"/>
              <w:jc w:val="both"/>
              <w:rPr>
                <w:rFonts w:ascii="Times New Roman" w:hAnsi="Times New Roman" w:cs="Times New Roman"/>
                <w:color w:val="000000" w:themeColor="text1"/>
                <w:lang w:val="ro-MD"/>
              </w:rPr>
            </w:pPr>
            <w:bookmarkStart w:id="333" w:name="_Hlk223534083"/>
            <w:r w:rsidRPr="00C011B2">
              <w:rPr>
                <w:rFonts w:ascii="Times New Roman" w:hAnsi="Times New Roman" w:cs="Times New Roman"/>
                <w:color w:val="000000" w:themeColor="text1"/>
                <w:lang w:val="ro-MD"/>
              </w:rPr>
              <w:t>334.</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căreia i s-a acordat aprobarea menționată la </w:t>
            </w:r>
            <w:r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 xml:space="preserve"> notifică imediat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faptul că unul dintre birourile sale de tranzacționare nu mai îndeplinește cel puțin una dintre cerințele prevăzute la </w:t>
            </w:r>
            <w:r w:rsidRPr="00C011B2">
              <w:rPr>
                <w:rFonts w:ascii="Times New Roman" w:hAnsi="Times New Roman" w:cs="Times New Roman"/>
                <w:color w:val="000000" w:themeColor="text1"/>
                <w:lang w:val="ro-MD"/>
              </w:rPr>
              <w:t xml:space="preserve">punctul </w:t>
            </w:r>
            <w:r w:rsidR="008A3314" w:rsidRPr="00C011B2">
              <w:rPr>
                <w:rFonts w:ascii="Times New Roman" w:hAnsi="Times New Roman" w:cs="Times New Roman"/>
                <w:color w:val="000000" w:themeColor="text1"/>
                <w:lang w:val="ro-MD"/>
              </w:rPr>
              <w:t xml:space="preserve">respectiv.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în cauză nu i se mai permite să aplice prevederile prezentului capitol niciuneia dintre pozițiile atribuite biroului de tranzacționare respectiv și aceasta calculează cerințele de fonduri proprii pentru riscul de piață în conformitate cu abordarea prevăzută în capitolul </w:t>
            </w:r>
            <w:r w:rsidRPr="00C011B2">
              <w:rPr>
                <w:rFonts w:ascii="Times New Roman" w:hAnsi="Times New Roman" w:cs="Times New Roman"/>
                <w:color w:val="000000" w:themeColor="text1"/>
                <w:lang w:val="ro-MD"/>
              </w:rPr>
              <w:t xml:space="preserve">II </w:t>
            </w:r>
            <w:r w:rsidR="008A3314" w:rsidRPr="00C011B2">
              <w:rPr>
                <w:rFonts w:ascii="Times New Roman" w:hAnsi="Times New Roman" w:cs="Times New Roman"/>
                <w:color w:val="000000" w:themeColor="text1"/>
                <w:lang w:val="ro-MD"/>
              </w:rPr>
              <w:t xml:space="preserve">pentru toate pozițiile atribuite biroului de tranzacționare de la prima dată de raportare care urmează și până când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demonstrează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că biroul de tranzacționare îndeplinește din nou toate cerințele prevăzute la </w:t>
            </w:r>
            <w:r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w:t>
            </w:r>
            <w:bookmarkEnd w:id="333"/>
          </w:p>
        </w:tc>
        <w:tc>
          <w:tcPr>
            <w:tcW w:w="450" w:type="pct"/>
          </w:tcPr>
          <w:p w14:paraId="2D5074FC" w14:textId="7F0BF5C5" w:rsidR="008A3314" w:rsidRPr="00C011B2" w:rsidRDefault="007E3215"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2A4BF24" w14:textId="58BA8F40"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61A0F2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74E4B7" w14:textId="46F8D74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   Prin derogare de la alineatul (4), în circumstanțe excepționale autoritățile competente pot permite unei instituții să continue să utilizeze modelele sale interne alternative în scopul calculării cerințelor de fonduri proprii pentru riscul de piață aferente unui birou de tranzacționare care nu mai îndeplinește condițiile prevăzute la alineatul (2) litera (c) de la prezentul articol și la articolul 325bg alineatul (1). În cazul în </w:t>
            </w:r>
            <w:r w:rsidRPr="00C011B2">
              <w:rPr>
                <w:rFonts w:ascii="Times New Roman" w:hAnsi="Times New Roman" w:cs="Times New Roman"/>
                <w:color w:val="000000" w:themeColor="text1"/>
                <w:lang w:val="ro-MD"/>
              </w:rPr>
              <w:lastRenderedPageBreak/>
              <w:t>care autoritățile competente exercită puterea de apreciere menționată mai sus, acestea notifică ABE și își motivează decizia.</w:t>
            </w:r>
          </w:p>
        </w:tc>
        <w:tc>
          <w:tcPr>
            <w:tcW w:w="1692" w:type="pct"/>
            <w:shd w:val="clear" w:color="auto" w:fill="auto"/>
          </w:tcPr>
          <w:p w14:paraId="0C771467" w14:textId="1259AD6A" w:rsidR="008A3314" w:rsidRPr="00C011B2" w:rsidRDefault="00903B2F" w:rsidP="008A3314">
            <w:pPr>
              <w:spacing w:after="0" w:line="276" w:lineRule="auto"/>
              <w:jc w:val="both"/>
              <w:rPr>
                <w:rFonts w:ascii="Times New Roman" w:hAnsi="Times New Roman" w:cs="Times New Roman"/>
                <w:color w:val="000000" w:themeColor="text1"/>
                <w:lang w:val="ro-MD"/>
              </w:rPr>
            </w:pPr>
            <w:bookmarkStart w:id="334" w:name="_Hlk223535182"/>
            <w:r w:rsidRPr="00C011B2">
              <w:rPr>
                <w:rFonts w:ascii="Times New Roman" w:hAnsi="Times New Roman" w:cs="Times New Roman"/>
                <w:color w:val="000000" w:themeColor="text1"/>
                <w:lang w:val="ro-MD"/>
              </w:rPr>
              <w:lastRenderedPageBreak/>
              <w:t>335.</w:t>
            </w:r>
            <w:r w:rsidR="008A3314" w:rsidRPr="00C011B2">
              <w:rPr>
                <w:rFonts w:ascii="Times New Roman" w:hAnsi="Times New Roman" w:cs="Times New Roman"/>
                <w:color w:val="000000" w:themeColor="text1"/>
                <w:lang w:val="ro-MD"/>
              </w:rPr>
              <w:t>   Prin derogare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pct.334</w:t>
            </w:r>
            <w:r w:rsidR="008A3314" w:rsidRPr="00C011B2">
              <w:rPr>
                <w:rFonts w:ascii="Times New Roman" w:hAnsi="Times New Roman" w:cs="Times New Roman"/>
                <w:color w:val="000000" w:themeColor="text1"/>
                <w:lang w:val="ro-MD"/>
              </w:rPr>
              <w:t xml:space="preserve">, în circumstanțe excepționale </w:t>
            </w:r>
            <w:r w:rsidRPr="00C011B2">
              <w:rPr>
                <w:rFonts w:ascii="Times New Roman" w:hAnsi="Times New Roman" w:cs="Times New Roman"/>
                <w:color w:val="000000" w:themeColor="text1"/>
                <w:lang w:val="ro-MD"/>
              </w:rPr>
              <w:t>BNM poate</w:t>
            </w:r>
            <w:r w:rsidR="008A3314" w:rsidRPr="00C011B2">
              <w:rPr>
                <w:rFonts w:ascii="Times New Roman" w:hAnsi="Times New Roman" w:cs="Times New Roman"/>
                <w:color w:val="000000" w:themeColor="text1"/>
                <w:lang w:val="ro-MD"/>
              </w:rPr>
              <w:t xml:space="preserve"> permite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să continue să utilizeze modelele sale interne alternative în scopul calculării cerințelor de fonduri proprii pentru riscul de piață aferente unui birou de tranzacționare care nu mai îndeplinește condițiile prevăzute la </w:t>
            </w:r>
            <w:r w:rsidRPr="00C011B2">
              <w:rPr>
                <w:rFonts w:ascii="Times New Roman" w:hAnsi="Times New Roman" w:cs="Times New Roman"/>
                <w:color w:val="000000" w:themeColor="text1"/>
                <w:lang w:val="ro-MD"/>
              </w:rPr>
              <w:t>subpct.331.3</w:t>
            </w:r>
            <w:r w:rsidR="008A3314" w:rsidRPr="00C011B2">
              <w:rPr>
                <w:rFonts w:ascii="Times New Roman" w:hAnsi="Times New Roman" w:cs="Times New Roman"/>
                <w:color w:val="000000" w:themeColor="text1"/>
                <w:lang w:val="ro-MD"/>
              </w:rPr>
              <w:t xml:space="preserve"> și la </w:t>
            </w:r>
            <w:r w:rsidR="00C903A0" w:rsidRPr="00C011B2">
              <w:rPr>
                <w:rFonts w:ascii="Times New Roman" w:hAnsi="Times New Roman" w:cs="Times New Roman"/>
                <w:color w:val="000000" w:themeColor="text1"/>
                <w:lang w:val="ro-MD"/>
              </w:rPr>
              <w:t>pct.337</w:t>
            </w:r>
            <w:r w:rsidR="008A3314" w:rsidRPr="00C011B2">
              <w:rPr>
                <w:rFonts w:ascii="Times New Roman" w:hAnsi="Times New Roman" w:cs="Times New Roman"/>
                <w:color w:val="000000" w:themeColor="text1"/>
                <w:lang w:val="ro-MD"/>
              </w:rPr>
              <w:t xml:space="preserve">. În cazul în care </w:t>
            </w:r>
            <w:r w:rsidR="007E3215"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exercită puterea de </w:t>
            </w:r>
            <w:r w:rsidR="008A3314" w:rsidRPr="00C011B2">
              <w:rPr>
                <w:rFonts w:ascii="Times New Roman" w:hAnsi="Times New Roman" w:cs="Times New Roman"/>
                <w:color w:val="000000" w:themeColor="text1"/>
                <w:lang w:val="ro-MD"/>
              </w:rPr>
              <w:lastRenderedPageBreak/>
              <w:t xml:space="preserve">apreciere menționată mai sus, </w:t>
            </w:r>
            <w:r w:rsidR="007E3215" w:rsidRPr="00C011B2">
              <w:rPr>
                <w:rFonts w:ascii="Times New Roman" w:hAnsi="Times New Roman" w:cs="Times New Roman"/>
                <w:color w:val="000000" w:themeColor="text1"/>
                <w:lang w:val="ro-MD"/>
              </w:rPr>
              <w:t xml:space="preserve">aceasta </w:t>
            </w:r>
            <w:r w:rsidR="008A3314" w:rsidRPr="00C011B2">
              <w:rPr>
                <w:rFonts w:ascii="Times New Roman" w:hAnsi="Times New Roman" w:cs="Times New Roman"/>
                <w:color w:val="000000" w:themeColor="text1"/>
                <w:lang w:val="ro-MD"/>
              </w:rPr>
              <w:t>notifică ABE și își motivează decizia.</w:t>
            </w:r>
            <w:bookmarkEnd w:id="334"/>
          </w:p>
        </w:tc>
        <w:tc>
          <w:tcPr>
            <w:tcW w:w="450" w:type="pct"/>
          </w:tcPr>
          <w:p w14:paraId="4F5677AD" w14:textId="24804EFB" w:rsidR="008A3314" w:rsidRPr="00C011B2" w:rsidRDefault="00F37C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33A13E5" w14:textId="38E04475" w:rsidR="008A3314" w:rsidRPr="00C011B2" w:rsidRDefault="003E7B2D"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ultimei propoziții se vor aplica de la data aderării Republicii Moldova la Uniunea Europeană.</w:t>
            </w:r>
          </w:p>
        </w:tc>
      </w:tr>
      <w:tr w:rsidR="008A3314" w:rsidRPr="00C011B2" w14:paraId="145DB50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CD97F38" w14:textId="777E651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În cazul pozițiilor atribuite birourilor de tranzacționare pentru care unei instituții nu i s-a acordat aprobarea, astfel cum se prevede la alineatul (2), cerințele de fonduri proprii pentru riscul de piață se calculează de către instituția respectivă în conformitate cu capitolul 1a din prezentul titlu. În scopul efectuării acestui calcul, toate pozițiile în cauză sunt considerate, în mod de sine stătător, un portofoliu distinct.</w:t>
            </w:r>
          </w:p>
        </w:tc>
        <w:tc>
          <w:tcPr>
            <w:tcW w:w="1692" w:type="pct"/>
            <w:shd w:val="clear" w:color="auto" w:fill="auto"/>
          </w:tcPr>
          <w:p w14:paraId="2EF24DC7" w14:textId="552EEBED" w:rsidR="008A3314" w:rsidRPr="00C011B2" w:rsidRDefault="007E3215" w:rsidP="008A3314">
            <w:pPr>
              <w:spacing w:after="0" w:line="276" w:lineRule="auto"/>
              <w:jc w:val="both"/>
              <w:rPr>
                <w:rFonts w:ascii="Times New Roman" w:hAnsi="Times New Roman" w:cs="Times New Roman"/>
                <w:color w:val="000000" w:themeColor="text1"/>
                <w:lang w:val="ro-MD"/>
              </w:rPr>
            </w:pPr>
            <w:bookmarkStart w:id="335" w:name="_Hlk223535230"/>
            <w:r w:rsidRPr="00C011B2">
              <w:rPr>
                <w:rFonts w:ascii="Times New Roman" w:hAnsi="Times New Roman" w:cs="Times New Roman"/>
                <w:color w:val="000000" w:themeColor="text1"/>
                <w:lang w:val="ro-MD"/>
              </w:rPr>
              <w:t>336.</w:t>
            </w:r>
            <w:r w:rsidR="008A3314" w:rsidRPr="00C011B2">
              <w:rPr>
                <w:rFonts w:ascii="Times New Roman" w:hAnsi="Times New Roman" w:cs="Times New Roman"/>
                <w:color w:val="000000" w:themeColor="text1"/>
                <w:lang w:val="ro-MD"/>
              </w:rPr>
              <w:t xml:space="preserve">   În cazul pozițiilor atribuite birourilor de tranzacționare pentru care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nu i s-a acordat aprobarea</w:t>
            </w:r>
            <w:r w:rsidR="003D1830" w:rsidRPr="00C011B2">
              <w:rPr>
                <w:lang w:val="ro-MD"/>
              </w:rPr>
              <w:t xml:space="preserve"> </w:t>
            </w:r>
            <w:r w:rsidR="003D1830" w:rsidRPr="00C011B2">
              <w:rPr>
                <w:rFonts w:ascii="Times New Roman" w:hAnsi="Times New Roman" w:cs="Times New Roman"/>
                <w:color w:val="000000" w:themeColor="text1"/>
                <w:lang w:val="ro-MD"/>
              </w:rPr>
              <w:t>prealabilă</w:t>
            </w:r>
            <w:r w:rsidR="008A3314" w:rsidRPr="00C011B2">
              <w:rPr>
                <w:rFonts w:ascii="Times New Roman" w:hAnsi="Times New Roman" w:cs="Times New Roman"/>
                <w:color w:val="000000" w:themeColor="text1"/>
                <w:lang w:val="ro-MD"/>
              </w:rPr>
              <w:t xml:space="preserve">, astfel cum se prevede la </w:t>
            </w:r>
            <w:r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 xml:space="preserve">, cerințele de fonduri proprii pentru riscul de piață se calculează de către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respectivă în conformitate cu capitolul </w:t>
            </w:r>
            <w:r w:rsidRPr="00C011B2">
              <w:rPr>
                <w:rFonts w:ascii="Times New Roman" w:hAnsi="Times New Roman" w:cs="Times New Roman"/>
                <w:color w:val="000000" w:themeColor="text1"/>
                <w:lang w:val="ro-MD"/>
              </w:rPr>
              <w:t>II</w:t>
            </w:r>
            <w:r w:rsidR="008A3314" w:rsidRPr="00C011B2">
              <w:rPr>
                <w:rFonts w:ascii="Times New Roman" w:hAnsi="Times New Roman" w:cs="Times New Roman"/>
                <w:color w:val="000000" w:themeColor="text1"/>
                <w:lang w:val="ro-MD"/>
              </w:rPr>
              <w:t>. În scopul efectuării acestui calcul, toate pozițiile în cauză sunt considerate, în mod de sine stătător, un portofoliu distinct.</w:t>
            </w:r>
            <w:bookmarkEnd w:id="335"/>
          </w:p>
        </w:tc>
        <w:tc>
          <w:tcPr>
            <w:tcW w:w="450" w:type="pct"/>
          </w:tcPr>
          <w:p w14:paraId="209E9B3E" w14:textId="6962C886" w:rsidR="008A3314" w:rsidRPr="00C011B2" w:rsidRDefault="00F37C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FB66C17"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443ED2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6BF7514" w14:textId="40DB19F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Pentru modificările semnificative ale utilizării modelelor interne alternative pentru care o instituție a primit aprobare, pentru extinderea sferei de utilizare a modelelor interne alternative pentru care instituția a primit aprobare, precum și pentru modificările semnificative ale subsetului de factori de risc modelabili ales de instituție menționat la articolul 325bc alineatul (2) este necesară o aprobare separată din partea autorităților competente ale instituției.</w:t>
            </w:r>
          </w:p>
          <w:p w14:paraId="29AC791E" w14:textId="083A13A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notifică autorităților competente toate celelalte extinderi și modificări ale utilizării modelelor interne alternative pentru care instituția a primit aprobare.</w:t>
            </w:r>
          </w:p>
        </w:tc>
        <w:tc>
          <w:tcPr>
            <w:tcW w:w="1692" w:type="pct"/>
            <w:shd w:val="clear" w:color="auto" w:fill="auto"/>
          </w:tcPr>
          <w:p w14:paraId="462CA7DD" w14:textId="12EEC997" w:rsidR="008A3314" w:rsidRPr="00C011B2" w:rsidRDefault="007E3215" w:rsidP="008A3314">
            <w:pPr>
              <w:spacing w:after="0" w:line="276" w:lineRule="auto"/>
              <w:jc w:val="both"/>
              <w:rPr>
                <w:rFonts w:ascii="Times New Roman" w:hAnsi="Times New Roman" w:cs="Times New Roman"/>
                <w:color w:val="000000" w:themeColor="text1"/>
                <w:lang w:val="ro-MD"/>
              </w:rPr>
            </w:pPr>
            <w:bookmarkStart w:id="336" w:name="_Hlk223535255"/>
            <w:r w:rsidRPr="00C011B2">
              <w:rPr>
                <w:rFonts w:ascii="Times New Roman" w:hAnsi="Times New Roman" w:cs="Times New Roman"/>
                <w:color w:val="000000" w:themeColor="text1"/>
                <w:lang w:val="ro-MD"/>
              </w:rPr>
              <w:t>337.</w:t>
            </w:r>
            <w:r w:rsidR="008A3314" w:rsidRPr="00C011B2">
              <w:rPr>
                <w:rFonts w:ascii="Times New Roman" w:hAnsi="Times New Roman" w:cs="Times New Roman"/>
                <w:color w:val="000000" w:themeColor="text1"/>
                <w:lang w:val="ro-MD"/>
              </w:rPr>
              <w:t xml:space="preserve">  Pentru modificările semnificative ale utilizării modelelor interne alternative pentru care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a primit aprobare</w:t>
            </w:r>
            <w:r w:rsidR="003D1830" w:rsidRPr="00C011B2">
              <w:rPr>
                <w:rFonts w:ascii="Times New Roman" w:hAnsi="Times New Roman" w:cs="Times New Roman"/>
                <w:color w:val="000000" w:themeColor="text1"/>
                <w:lang w:val="ro-MD"/>
              </w:rPr>
              <w:t>a prealabilă</w:t>
            </w:r>
            <w:r w:rsidR="008A3314" w:rsidRPr="00C011B2">
              <w:rPr>
                <w:rFonts w:ascii="Times New Roman" w:hAnsi="Times New Roman" w:cs="Times New Roman"/>
                <w:color w:val="000000" w:themeColor="text1"/>
                <w:lang w:val="ro-MD"/>
              </w:rPr>
              <w:t xml:space="preserve">, pentru extinderea sferei de utilizare a modelelor interne alternative pentru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a primit aprobare</w:t>
            </w:r>
            <w:r w:rsidR="003D1830" w:rsidRPr="00C011B2">
              <w:rPr>
                <w:rFonts w:ascii="Times New Roman" w:hAnsi="Times New Roman" w:cs="Times New Roman"/>
                <w:color w:val="000000" w:themeColor="text1"/>
                <w:lang w:val="ro-MD"/>
              </w:rPr>
              <w:t>a prealabilă</w:t>
            </w:r>
            <w:r w:rsidR="008A3314" w:rsidRPr="00C011B2">
              <w:rPr>
                <w:rFonts w:ascii="Times New Roman" w:hAnsi="Times New Roman" w:cs="Times New Roman"/>
                <w:color w:val="000000" w:themeColor="text1"/>
                <w:lang w:val="ro-MD"/>
              </w:rPr>
              <w:t xml:space="preserve">, precum și pentru modificările semnificative ale subsetului de factori de risc modelabili ales de </w:t>
            </w:r>
            <w:r w:rsidR="00880EF6"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menționat la </w:t>
            </w:r>
            <w:r w:rsidR="0065263D" w:rsidRPr="00C011B2">
              <w:rPr>
                <w:rFonts w:ascii="Times New Roman" w:hAnsi="Times New Roman" w:cs="Times New Roman"/>
                <w:color w:val="000000" w:themeColor="text1"/>
                <w:lang w:val="ro-MD"/>
              </w:rPr>
              <w:t>pct.349</w:t>
            </w:r>
            <w:r w:rsidR="008A3314" w:rsidRPr="00C011B2">
              <w:rPr>
                <w:rFonts w:ascii="Times New Roman" w:hAnsi="Times New Roman" w:cs="Times New Roman"/>
                <w:color w:val="000000" w:themeColor="text1"/>
                <w:lang w:val="ro-MD"/>
              </w:rPr>
              <w:t xml:space="preserve"> este necesară o aprobare</w:t>
            </w:r>
            <w:r w:rsidR="003D1830" w:rsidRPr="00C011B2">
              <w:rPr>
                <w:lang w:val="ro-MD"/>
              </w:rPr>
              <w:t xml:space="preserve"> </w:t>
            </w:r>
            <w:r w:rsidR="003D1830" w:rsidRPr="00C011B2">
              <w:rPr>
                <w:rFonts w:ascii="Times New Roman" w:hAnsi="Times New Roman" w:cs="Times New Roman"/>
                <w:color w:val="000000" w:themeColor="text1"/>
                <w:lang w:val="ro-MD"/>
              </w:rPr>
              <w:t>prealabilă</w:t>
            </w:r>
            <w:r w:rsidR="008A3314" w:rsidRPr="00C011B2">
              <w:rPr>
                <w:rFonts w:ascii="Times New Roman" w:hAnsi="Times New Roman" w:cs="Times New Roman"/>
                <w:color w:val="000000" w:themeColor="text1"/>
                <w:lang w:val="ro-MD"/>
              </w:rPr>
              <w:t xml:space="preserve"> separată din partea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w:t>
            </w:r>
          </w:p>
          <w:p w14:paraId="58AF4F89" w14:textId="20E26190" w:rsidR="008A3314" w:rsidRPr="00C011B2" w:rsidRDefault="007E3215"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338. Băncile </w:t>
            </w:r>
            <w:r w:rsidR="008A3314" w:rsidRPr="00C011B2">
              <w:rPr>
                <w:rFonts w:ascii="Times New Roman" w:hAnsi="Times New Roman" w:cs="Times New Roman"/>
                <w:color w:val="000000" w:themeColor="text1"/>
                <w:lang w:val="ro-MD"/>
              </w:rPr>
              <w:t xml:space="preserve">notifică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toate celelalte extinderi și modificări ale utilizării modelelor interne alternative pentru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a primit aprobare</w:t>
            </w:r>
            <w:r w:rsidR="003D1830" w:rsidRPr="00C011B2">
              <w:rPr>
                <w:rFonts w:ascii="Times New Roman" w:hAnsi="Times New Roman" w:cs="Times New Roman"/>
                <w:color w:val="000000" w:themeColor="text1"/>
                <w:lang w:val="ro-MD"/>
              </w:rPr>
              <w:t>a prealabilă</w:t>
            </w:r>
            <w:r w:rsidR="008A3314" w:rsidRPr="00C011B2">
              <w:rPr>
                <w:rFonts w:ascii="Times New Roman" w:hAnsi="Times New Roman" w:cs="Times New Roman"/>
                <w:color w:val="000000" w:themeColor="text1"/>
                <w:lang w:val="ro-MD"/>
              </w:rPr>
              <w:t>.</w:t>
            </w:r>
            <w:bookmarkEnd w:id="336"/>
          </w:p>
        </w:tc>
        <w:tc>
          <w:tcPr>
            <w:tcW w:w="450" w:type="pct"/>
          </w:tcPr>
          <w:p w14:paraId="588B1A3A" w14:textId="0DB3B89D" w:rsidR="008A3314" w:rsidRPr="00C011B2" w:rsidRDefault="00F37C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B7A0CA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755645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C18256" w14:textId="370FAA6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(8)   ABE elaborează proiecte de standarde tehnice de reglementare pentru a preciza:</w:t>
            </w:r>
          </w:p>
          <w:p w14:paraId="2091E720" w14:textId="6F0923F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condițiile de evaluare a caracterului semnificativ al extinderilor și modificărilor utilizării modelelor interne alternative și al modificărilor subsetului de factori de risc modelabili menționat la articolul 325bc;</w:t>
            </w:r>
          </w:p>
          <w:p w14:paraId="185C74F8"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5" w:tooltip="32024R1623: REPLACED" w:history="1">
              <w:r w:rsidR="008A3314" w:rsidRPr="00C011B2">
                <w:rPr>
                  <w:rStyle w:val="Hyperlink"/>
                  <w:rFonts w:ascii="Times New Roman" w:hAnsi="Times New Roman" w:cs="Times New Roman"/>
                  <w:b/>
                  <w:bCs/>
                  <w:lang w:val="ro-MD"/>
                </w:rPr>
                <w:t>▼M17</w:t>
              </w:r>
            </w:hyperlink>
          </w:p>
          <w:p w14:paraId="5201076F" w14:textId="4CB649F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metodologia de evaluare pe baza căreia autoritățile competente verifică conformitatea unei instituții cu cerințele prevăzute în prezentul capitol.</w:t>
            </w:r>
          </w:p>
          <w:p w14:paraId="0C870B8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6" w:tooltip="32019R0876: INSERTED" w:history="1">
              <w:r w:rsidR="008A3314" w:rsidRPr="00C011B2">
                <w:rPr>
                  <w:rStyle w:val="Hyperlink"/>
                  <w:rFonts w:ascii="Times New Roman" w:hAnsi="Times New Roman" w:cs="Times New Roman"/>
                  <w:b/>
                  <w:bCs/>
                  <w:lang w:val="ro-MD"/>
                </w:rPr>
                <w:t>▼M8</w:t>
              </w:r>
            </w:hyperlink>
          </w:p>
          <w:p w14:paraId="33D1606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28 iunie 2024.</w:t>
            </w:r>
          </w:p>
          <w:p w14:paraId="2ECBEE9E" w14:textId="08409D9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608DEAF4" w14:textId="48A409E9"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F7B7E63" w14:textId="4D248D90"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7FAC7D71" w14:textId="47AB2111"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Alin.(8) stabilește obligații pentru autorități europene – Autoritatea Bancară Europeană.</w:t>
            </w:r>
          </w:p>
        </w:tc>
      </w:tr>
      <w:tr w:rsidR="008A3314" w:rsidRPr="00C011B2" w14:paraId="74B53AE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0B9CD9D"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7" w:tooltip="32024R1623: REPLACED" w:history="1">
              <w:r w:rsidR="008A3314" w:rsidRPr="00C011B2">
                <w:rPr>
                  <w:rStyle w:val="Hyperlink"/>
                  <w:rFonts w:ascii="Times New Roman" w:hAnsi="Times New Roman" w:cs="Times New Roman"/>
                  <w:b/>
                  <w:bCs/>
                  <w:lang w:val="ro-MD"/>
                </w:rPr>
                <w:t>▼M17</w:t>
              </w:r>
            </w:hyperlink>
          </w:p>
          <w:p w14:paraId="724450FD" w14:textId="7DDF079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ABE emite un aviz cu privire la existența circumstanțelor extraordinare menționate la alineatul (5) de la prezentul articol și la articolul 325bf alineatul (6) al doilea paragraf.</w:t>
            </w:r>
          </w:p>
          <w:p w14:paraId="78C6F726" w14:textId="7032C7A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scopul emiterii avizului respectiv, ABE monitorizează condițiile de piață pentru a evalua dacă </w:t>
            </w:r>
            <w:r w:rsidRPr="00C011B2">
              <w:rPr>
                <w:rFonts w:ascii="Times New Roman" w:hAnsi="Times New Roman" w:cs="Times New Roman"/>
                <w:color w:val="000000" w:themeColor="text1"/>
                <w:lang w:val="ro-MD"/>
              </w:rPr>
              <w:lastRenderedPageBreak/>
              <w:t>au apărut circumstanțe extraordinare și, în cazul în care acest lucru a avut loc, îl notifică imediat Comisiei.</w:t>
            </w:r>
          </w:p>
        </w:tc>
        <w:tc>
          <w:tcPr>
            <w:tcW w:w="1692" w:type="pct"/>
            <w:shd w:val="clear" w:color="auto" w:fill="auto"/>
          </w:tcPr>
          <w:p w14:paraId="040456FB" w14:textId="68CB3C62"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5899D7F" w14:textId="4E2B37E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7B6BE175" w14:textId="46547B21"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Alin.(9) stabilește obligații pentru autorități europene – Autoritatea Bancară Europeană.</w:t>
            </w:r>
          </w:p>
        </w:tc>
      </w:tr>
      <w:tr w:rsidR="008A3314" w:rsidRPr="00C011B2" w14:paraId="0600606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1EF3252" w14:textId="318CFCA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ABE elaborează proiecte de standarde tehnice de reglementare pentru a preciza condițiile și indicatorii pe care ABE trebuie să îi utilizeze pentru a stabili dacă au apărut circumstanțe extraordinare.</w:t>
            </w:r>
          </w:p>
          <w:p w14:paraId="206A31C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30 iunie 2024.</w:t>
            </w:r>
          </w:p>
          <w:p w14:paraId="190F33CD" w14:textId="08C5679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de standarde tehnice de reglementare menționate la primul paragraf din prezentul alineat în conformitate cu articolele 10-14 din Regulamentul (UE) nr. 1093/2010.</w:t>
            </w:r>
          </w:p>
        </w:tc>
        <w:tc>
          <w:tcPr>
            <w:tcW w:w="1692" w:type="pct"/>
            <w:shd w:val="clear" w:color="auto" w:fill="auto"/>
          </w:tcPr>
          <w:p w14:paraId="7742FE1C" w14:textId="3429DC44"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601B72AE" w14:textId="5E0C15E3"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180B5674" w14:textId="3040B84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Alin.(10) stabilește obligații pentru autorități europene – Autoritatea Bancară Europeană.</w:t>
            </w:r>
          </w:p>
        </w:tc>
      </w:tr>
      <w:tr w:rsidR="008A3314" w:rsidRPr="00C011B2" w14:paraId="626D4D2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96E7071"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8" w:tooltip="32019R0876: INSERTED" w:history="1">
              <w:r w:rsidR="008A3314" w:rsidRPr="00C011B2">
                <w:rPr>
                  <w:rStyle w:val="Hyperlink"/>
                  <w:rFonts w:ascii="Times New Roman" w:hAnsi="Times New Roman" w:cs="Times New Roman"/>
                  <w:b/>
                  <w:bCs/>
                  <w:lang w:val="ro-MD"/>
                </w:rPr>
                <w:t>▼M8</w:t>
              </w:r>
            </w:hyperlink>
          </w:p>
          <w:p w14:paraId="1CDC96DD"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325ba</w:t>
            </w:r>
          </w:p>
          <w:p w14:paraId="2A3CD20C" w14:textId="6FACCFE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de fonduri proprii în cazul utilizării unor modele interne alternative</w:t>
            </w:r>
          </w:p>
        </w:tc>
        <w:tc>
          <w:tcPr>
            <w:tcW w:w="1692" w:type="pct"/>
            <w:shd w:val="clear" w:color="auto" w:fill="auto"/>
          </w:tcPr>
          <w:p w14:paraId="7A52DBD1" w14:textId="1E0AEB49" w:rsidR="008A3314" w:rsidRPr="00C011B2" w:rsidRDefault="004D4259" w:rsidP="008A3314">
            <w:pPr>
              <w:spacing w:after="0" w:line="276" w:lineRule="auto"/>
              <w:jc w:val="both"/>
              <w:rPr>
                <w:rFonts w:ascii="Times New Roman" w:hAnsi="Times New Roman" w:cs="Times New Roman"/>
                <w:color w:val="000000" w:themeColor="text1"/>
                <w:lang w:val="ro-MD"/>
              </w:rPr>
            </w:pPr>
            <w:bookmarkStart w:id="337" w:name="_Hlk195098577"/>
            <w:r w:rsidRPr="00C011B2">
              <w:rPr>
                <w:rFonts w:ascii="Times New Roman" w:hAnsi="Times New Roman" w:cs="Times New Roman"/>
                <w:i/>
                <w:iCs/>
                <w:color w:val="000000" w:themeColor="text1"/>
                <w:lang w:val="ro-MD"/>
              </w:rPr>
              <w:t xml:space="preserve">Subsecțiunea 2. </w:t>
            </w:r>
            <w:r w:rsidR="008A3314" w:rsidRPr="00C011B2">
              <w:rPr>
                <w:rFonts w:ascii="Times New Roman" w:hAnsi="Times New Roman" w:cs="Times New Roman"/>
                <w:b/>
                <w:bCs/>
                <w:color w:val="000000" w:themeColor="text1"/>
                <w:lang w:val="ro-MD"/>
              </w:rPr>
              <w:t>Cerințe de fonduri proprii în cazul utilizării unor modele interne alternative</w:t>
            </w:r>
            <w:bookmarkEnd w:id="337"/>
          </w:p>
        </w:tc>
        <w:tc>
          <w:tcPr>
            <w:tcW w:w="450" w:type="pct"/>
          </w:tcPr>
          <w:p w14:paraId="57C7C96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268549C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0C0DDD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CEE8639" w14:textId="41A1D25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O instituție care utilizează un model intern alternativ calculează cerințele de fonduri proprii pentru portofoliul cuprinzând toate pozițiile atribuite birourilor de tranzacționare pentru care instituția a primit aprobare astfel cum se prevede la articolul 325az alineatul (2) ca cea mai mare valoare dintre următoarele elemente:</w:t>
            </w:r>
          </w:p>
          <w:p w14:paraId="63E6D0BA" w14:textId="6C1375F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suma următoarelor valori:</w:t>
            </w:r>
          </w:p>
          <w:p w14:paraId="0E09FD18" w14:textId="0935B2A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(i) măsura valorii la risc condiționate a instituției pentru ziua anterioară (ES</w:t>
            </w:r>
            <w:r w:rsidRPr="00C011B2">
              <w:rPr>
                <w:rFonts w:ascii="Times New Roman" w:hAnsi="Times New Roman" w:cs="Times New Roman"/>
                <w:color w:val="000000" w:themeColor="text1"/>
                <w:vertAlign w:val="subscript"/>
                <w:lang w:val="ro-MD"/>
              </w:rPr>
              <w:t>t-1</w:t>
            </w:r>
            <w:r w:rsidRPr="00C011B2">
              <w:rPr>
                <w:rFonts w:ascii="Times New Roman" w:hAnsi="Times New Roman" w:cs="Times New Roman"/>
                <w:color w:val="000000" w:themeColor="text1"/>
                <w:lang w:val="ro-MD"/>
              </w:rPr>
              <w:t>), calculată în conformitate cu articolul 325bb; și</w:t>
            </w:r>
          </w:p>
          <w:p w14:paraId="039254B8" w14:textId="050AC50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măsura riscului pentru scenarii de criză a instituției pentru ziua anterioară (SS</w:t>
            </w:r>
            <w:r w:rsidRPr="00C011B2">
              <w:rPr>
                <w:rFonts w:ascii="Times New Roman" w:hAnsi="Times New Roman" w:cs="Times New Roman"/>
                <w:color w:val="000000" w:themeColor="text1"/>
                <w:vertAlign w:val="subscript"/>
                <w:lang w:val="ro-MD"/>
              </w:rPr>
              <w:t>t-1</w:t>
            </w:r>
            <w:r w:rsidRPr="00C011B2">
              <w:rPr>
                <w:rFonts w:ascii="Times New Roman" w:hAnsi="Times New Roman" w:cs="Times New Roman"/>
                <w:color w:val="000000" w:themeColor="text1"/>
                <w:lang w:val="ro-MD"/>
              </w:rPr>
              <w:t>), calculată în conformitate cu secțiunea 5; sau</w:t>
            </w:r>
          </w:p>
          <w:p w14:paraId="763CEF7E" w14:textId="08AD8D1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suma următoarelor valori:</w:t>
            </w:r>
          </w:p>
          <w:p w14:paraId="50F1152D" w14:textId="53A1BD9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media nivelurilor zilnice ale măsurii valorii la risc condiționate a instituției, calculată conform articolului 325bb pentru fiecare dintre cele șaizeci de zile lucrătoare anterioare (ES</w:t>
            </w:r>
            <w:r w:rsidRPr="00C011B2">
              <w:rPr>
                <w:rFonts w:ascii="Times New Roman" w:hAnsi="Times New Roman" w:cs="Times New Roman"/>
                <w:color w:val="000000" w:themeColor="text1"/>
                <w:vertAlign w:val="superscript"/>
                <w:lang w:val="ro-MD"/>
              </w:rPr>
              <w:t>avg</w:t>
            </w:r>
            <w:r w:rsidRPr="00C011B2">
              <w:rPr>
                <w:rFonts w:ascii="Times New Roman" w:hAnsi="Times New Roman" w:cs="Times New Roman"/>
                <w:color w:val="000000" w:themeColor="text1"/>
                <w:lang w:val="ro-MD"/>
              </w:rPr>
              <w:t>), înmulțită cu factorul de multiplicare (m</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și</w:t>
            </w:r>
          </w:p>
          <w:p w14:paraId="0DFA1EB5" w14:textId="4F92553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media nivelurilor zilnice ale măsurii riscului pentru scenarii de criză a instituției, calculată în conformitate cu secțiunea 5 pentru fiecare dintre cele șaizeci de zile lucrătoare anterioare (SS</w:t>
            </w:r>
            <w:r w:rsidRPr="00C011B2">
              <w:rPr>
                <w:rFonts w:ascii="Times New Roman" w:hAnsi="Times New Roman" w:cs="Times New Roman"/>
                <w:color w:val="000000" w:themeColor="text1"/>
                <w:vertAlign w:val="superscript"/>
                <w:lang w:val="ro-MD"/>
              </w:rPr>
              <w:t>avg</w:t>
            </w:r>
            <w:r w:rsidRPr="00C011B2">
              <w:rPr>
                <w:rFonts w:ascii="Times New Roman" w:hAnsi="Times New Roman" w:cs="Times New Roman"/>
                <w:color w:val="000000" w:themeColor="text1"/>
                <w:lang w:val="ro-MD"/>
              </w:rPr>
              <w:t>).</w:t>
            </w:r>
          </w:p>
          <w:p w14:paraId="4F78CB2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79" w:tooltip="32024R1623: INSERTED" w:history="1">
              <w:r w:rsidR="008A3314" w:rsidRPr="00C011B2">
                <w:rPr>
                  <w:rStyle w:val="Hyperlink"/>
                  <w:rFonts w:ascii="Times New Roman" w:hAnsi="Times New Roman" w:cs="Times New Roman"/>
                  <w:b/>
                  <w:bCs/>
                  <w:lang w:val="ro-MD"/>
                </w:rPr>
                <w:t>▼M17</w:t>
              </w:r>
            </w:hyperlink>
          </w:p>
          <w:p w14:paraId="0341903D" w14:textId="71B0202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Atunci când calculează cerințele de fonduri proprii pentru riscul de piață utilizând un model intern în conformitate cu primul paragraf, o instituție nu include propriile sale marje de credit în calculul măsurilor menționate la literele (a) și (b) pentru pozițiile pe propriile sale instrumente de datorie.</w:t>
            </w:r>
          </w:p>
        </w:tc>
        <w:tc>
          <w:tcPr>
            <w:tcW w:w="1692" w:type="pct"/>
            <w:shd w:val="clear" w:color="auto" w:fill="auto"/>
          </w:tcPr>
          <w:p w14:paraId="269D9A63" w14:textId="3C61BEB1" w:rsidR="008A3314" w:rsidRPr="00C011B2" w:rsidRDefault="004D4259" w:rsidP="008A3314">
            <w:pPr>
              <w:spacing w:after="0" w:line="276" w:lineRule="auto"/>
              <w:jc w:val="both"/>
              <w:rPr>
                <w:rFonts w:ascii="Times New Roman" w:hAnsi="Times New Roman" w:cs="Times New Roman"/>
                <w:color w:val="000000" w:themeColor="text1"/>
                <w:lang w:val="ro-MD"/>
              </w:rPr>
            </w:pPr>
            <w:bookmarkStart w:id="338" w:name="_Hlk223535398"/>
            <w:r w:rsidRPr="00C011B2">
              <w:rPr>
                <w:rFonts w:ascii="Times New Roman" w:hAnsi="Times New Roman" w:cs="Times New Roman"/>
                <w:color w:val="000000" w:themeColor="text1"/>
                <w:lang w:val="ro-MD"/>
              </w:rPr>
              <w:lastRenderedPageBreak/>
              <w:t>339.</w:t>
            </w:r>
            <w:r w:rsidR="008A3314" w:rsidRPr="00C011B2">
              <w:rPr>
                <w:rFonts w:ascii="Times New Roman" w:hAnsi="Times New Roman" w:cs="Times New Roman"/>
                <w:color w:val="000000" w:themeColor="text1"/>
                <w:lang w:val="ro-MD"/>
              </w:rPr>
              <w:t xml:space="preserve">   O </w:t>
            </w:r>
            <w:r w:rsidR="00770E4B"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care utilizează un model intern alternativ calculează cerințele de fonduri proprii pentru portofoliul cuprinzând toate pozițiile atribuite birourilor de tranzacționare pentru care </w:t>
            </w:r>
            <w:r w:rsidR="00DD47BE"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a primit aprobare</w:t>
            </w:r>
            <w:r w:rsidR="003D1830" w:rsidRPr="00C011B2">
              <w:rPr>
                <w:rFonts w:ascii="Times New Roman" w:hAnsi="Times New Roman" w:cs="Times New Roman"/>
                <w:color w:val="000000" w:themeColor="text1"/>
                <w:lang w:val="ro-MD"/>
              </w:rPr>
              <w:t>a</w:t>
            </w:r>
            <w:r w:rsidR="008A3314" w:rsidRPr="00C011B2">
              <w:rPr>
                <w:rFonts w:ascii="Times New Roman" w:hAnsi="Times New Roman" w:cs="Times New Roman"/>
                <w:color w:val="000000" w:themeColor="text1"/>
                <w:lang w:val="ro-MD"/>
              </w:rPr>
              <w:t xml:space="preserve"> </w:t>
            </w:r>
            <w:r w:rsidR="003D1830" w:rsidRPr="00C011B2">
              <w:rPr>
                <w:rFonts w:ascii="Times New Roman" w:hAnsi="Times New Roman" w:cs="Times New Roman"/>
                <w:color w:val="000000" w:themeColor="text1"/>
                <w:lang w:val="ro-MD"/>
              </w:rPr>
              <w:t xml:space="preserve">prealabilă </w:t>
            </w:r>
            <w:r w:rsidR="008A3314" w:rsidRPr="00C011B2">
              <w:rPr>
                <w:rFonts w:ascii="Times New Roman" w:hAnsi="Times New Roman" w:cs="Times New Roman"/>
                <w:color w:val="000000" w:themeColor="text1"/>
                <w:lang w:val="ro-MD"/>
              </w:rPr>
              <w:t xml:space="preserve">astfel cum se prevede la </w:t>
            </w:r>
            <w:r w:rsidR="0065263D"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 xml:space="preserve"> ca cea mai mare valoare dintre următoarele elemente:</w:t>
            </w:r>
          </w:p>
          <w:p w14:paraId="07388569" w14:textId="3BF056F4" w:rsidR="008A3314" w:rsidRPr="00C011B2" w:rsidRDefault="00DD47B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339.1.</w:t>
            </w:r>
            <w:r w:rsidR="008A3314" w:rsidRPr="00C011B2">
              <w:rPr>
                <w:rFonts w:ascii="Times New Roman" w:hAnsi="Times New Roman" w:cs="Times New Roman"/>
                <w:color w:val="000000" w:themeColor="text1"/>
                <w:lang w:val="ro-MD"/>
              </w:rPr>
              <w:t> suma următoarelor valori:</w:t>
            </w:r>
          </w:p>
          <w:p w14:paraId="1E62BE86" w14:textId="7C067BAF" w:rsidR="008A3314" w:rsidRPr="00C011B2" w:rsidRDefault="00DD47B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339.1.1.</w:t>
            </w:r>
            <w:r w:rsidR="008A3314" w:rsidRPr="00C011B2">
              <w:rPr>
                <w:rFonts w:ascii="Times New Roman" w:hAnsi="Times New Roman" w:cs="Times New Roman"/>
                <w:color w:val="000000" w:themeColor="text1"/>
                <w:lang w:val="ro-MD"/>
              </w:rPr>
              <w:t xml:space="preserve"> măsura valorii la risc condiționate a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pentru ziua anterioară (ES</w:t>
            </w:r>
            <w:r w:rsidR="008A3314" w:rsidRPr="00C011B2">
              <w:rPr>
                <w:rFonts w:ascii="Times New Roman" w:hAnsi="Times New Roman" w:cs="Times New Roman"/>
                <w:color w:val="000000" w:themeColor="text1"/>
                <w:vertAlign w:val="subscript"/>
                <w:lang w:val="ro-MD"/>
              </w:rPr>
              <w:t>t-1</w:t>
            </w:r>
            <w:r w:rsidR="008A3314" w:rsidRPr="00C011B2">
              <w:rPr>
                <w:rFonts w:ascii="Times New Roman" w:hAnsi="Times New Roman" w:cs="Times New Roman"/>
                <w:color w:val="000000" w:themeColor="text1"/>
                <w:lang w:val="ro-MD"/>
              </w:rPr>
              <w:t xml:space="preserve">), calculată în conformitate cu </w:t>
            </w:r>
            <w:r w:rsidRPr="00C011B2">
              <w:rPr>
                <w:rFonts w:ascii="Times New Roman" w:hAnsi="Times New Roman" w:cs="Times New Roman"/>
                <w:color w:val="000000" w:themeColor="text1"/>
                <w:lang w:val="ro-MD"/>
              </w:rPr>
              <w:t>secțiunea 2, subsecțiunea 1</w:t>
            </w:r>
            <w:r w:rsidR="008A3314" w:rsidRPr="00C011B2">
              <w:rPr>
                <w:rFonts w:ascii="Times New Roman" w:hAnsi="Times New Roman" w:cs="Times New Roman"/>
                <w:color w:val="000000" w:themeColor="text1"/>
                <w:lang w:val="ro-MD"/>
              </w:rPr>
              <w:t>; și</w:t>
            </w:r>
          </w:p>
          <w:p w14:paraId="4D33E90E" w14:textId="39DCEB01" w:rsidR="008A3314" w:rsidRPr="00C011B2" w:rsidRDefault="00DD47B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339.1.2.</w:t>
            </w:r>
            <w:r w:rsidR="008A3314" w:rsidRPr="00C011B2">
              <w:rPr>
                <w:rFonts w:ascii="Times New Roman" w:hAnsi="Times New Roman" w:cs="Times New Roman"/>
                <w:color w:val="000000" w:themeColor="text1"/>
                <w:lang w:val="ro-MD"/>
              </w:rPr>
              <w:t xml:space="preserve"> măsura riscului pentru scenarii de criză a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pentru ziua anterioară (SS</w:t>
            </w:r>
            <w:r w:rsidR="008A3314" w:rsidRPr="00C011B2">
              <w:rPr>
                <w:rFonts w:ascii="Times New Roman" w:hAnsi="Times New Roman" w:cs="Times New Roman"/>
                <w:color w:val="000000" w:themeColor="text1"/>
                <w:vertAlign w:val="subscript"/>
                <w:lang w:val="ro-MD"/>
              </w:rPr>
              <w:t>t-1</w:t>
            </w:r>
            <w:r w:rsidR="008A3314" w:rsidRPr="00C011B2">
              <w:rPr>
                <w:rFonts w:ascii="Times New Roman" w:hAnsi="Times New Roman" w:cs="Times New Roman"/>
                <w:color w:val="000000" w:themeColor="text1"/>
                <w:lang w:val="ro-MD"/>
              </w:rPr>
              <w:t>), calculată în conformitate cu secțiunea 5; sau</w:t>
            </w:r>
          </w:p>
          <w:p w14:paraId="5B8097C6" w14:textId="6B306B1D" w:rsidR="008A3314" w:rsidRPr="00C011B2" w:rsidRDefault="00DD47B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339.2.</w:t>
            </w:r>
            <w:r w:rsidR="008A3314" w:rsidRPr="00C011B2">
              <w:rPr>
                <w:rFonts w:ascii="Times New Roman" w:hAnsi="Times New Roman" w:cs="Times New Roman"/>
                <w:color w:val="000000" w:themeColor="text1"/>
                <w:lang w:val="ro-MD"/>
              </w:rPr>
              <w:t> suma următoarelor valori:</w:t>
            </w:r>
          </w:p>
          <w:p w14:paraId="6F4B7107" w14:textId="2CC467BA" w:rsidR="008A3314" w:rsidRPr="00C011B2" w:rsidRDefault="00DD47B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339.2.1.</w:t>
            </w:r>
            <w:r w:rsidR="008A3314" w:rsidRPr="00C011B2">
              <w:rPr>
                <w:rFonts w:ascii="Times New Roman" w:hAnsi="Times New Roman" w:cs="Times New Roman"/>
                <w:color w:val="000000" w:themeColor="text1"/>
                <w:lang w:val="ro-MD"/>
              </w:rPr>
              <w:t xml:space="preserve"> media nivelurilor zilnice ale măsurii valorii la risc condiționate a </w:t>
            </w:r>
            <w:r w:rsidR="00B45819"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xml:space="preserve">, calculată conform </w:t>
            </w:r>
            <w:r w:rsidR="00B45819" w:rsidRPr="00C011B2">
              <w:rPr>
                <w:rFonts w:ascii="Times New Roman" w:hAnsi="Times New Roman" w:cs="Times New Roman"/>
                <w:color w:val="000000" w:themeColor="text1"/>
                <w:lang w:val="ro-MD"/>
              </w:rPr>
              <w:t>secțiunii 2, subsecțiunea 1</w:t>
            </w:r>
            <w:r w:rsidR="008A3314" w:rsidRPr="00C011B2">
              <w:rPr>
                <w:rFonts w:ascii="Times New Roman" w:hAnsi="Times New Roman" w:cs="Times New Roman"/>
                <w:color w:val="000000" w:themeColor="text1"/>
                <w:lang w:val="ro-MD"/>
              </w:rPr>
              <w:t>pentru fiecare dintre cele șaizeci de zile lucrătoare anterioare (ES</w:t>
            </w:r>
            <w:r w:rsidR="008A3314" w:rsidRPr="00C011B2">
              <w:rPr>
                <w:rFonts w:ascii="Times New Roman" w:hAnsi="Times New Roman" w:cs="Times New Roman"/>
                <w:color w:val="000000" w:themeColor="text1"/>
                <w:vertAlign w:val="superscript"/>
                <w:lang w:val="ro-MD"/>
              </w:rPr>
              <w:t>avg</w:t>
            </w:r>
            <w:r w:rsidR="008A3314" w:rsidRPr="00C011B2">
              <w:rPr>
                <w:rFonts w:ascii="Times New Roman" w:hAnsi="Times New Roman" w:cs="Times New Roman"/>
                <w:color w:val="000000" w:themeColor="text1"/>
                <w:lang w:val="ro-MD"/>
              </w:rPr>
              <w:t>), înmulțită cu factorul de multiplicare (m</w:t>
            </w:r>
            <w:r w:rsidR="008A3314" w:rsidRPr="00C011B2">
              <w:rPr>
                <w:rFonts w:ascii="Times New Roman" w:hAnsi="Times New Roman" w:cs="Times New Roman"/>
                <w:color w:val="000000" w:themeColor="text1"/>
                <w:vertAlign w:val="subscript"/>
                <w:lang w:val="ro-MD"/>
              </w:rPr>
              <w:t>c</w:t>
            </w:r>
            <w:r w:rsidR="008A3314" w:rsidRPr="00C011B2">
              <w:rPr>
                <w:rFonts w:ascii="Times New Roman" w:hAnsi="Times New Roman" w:cs="Times New Roman"/>
                <w:color w:val="000000" w:themeColor="text1"/>
                <w:lang w:val="ro-MD"/>
              </w:rPr>
              <w:t>); și</w:t>
            </w:r>
          </w:p>
          <w:p w14:paraId="3C3BFB2D" w14:textId="0336267A" w:rsidR="008A3314" w:rsidRPr="00C011B2" w:rsidRDefault="00B4581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339.2.2.</w:t>
            </w:r>
            <w:r w:rsidR="008A3314" w:rsidRPr="00C011B2">
              <w:rPr>
                <w:rFonts w:ascii="Times New Roman" w:hAnsi="Times New Roman" w:cs="Times New Roman"/>
                <w:color w:val="000000" w:themeColor="text1"/>
                <w:lang w:val="ro-MD"/>
              </w:rPr>
              <w:t xml:space="preserve"> media nivelurilor zilnice ale măsurii riscului pentru scenarii de criză a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calculată în conformitate cu secțiunea 5 pentru fiecare dintre cele șaizeci de zile lucrătoare anterioare (SS</w:t>
            </w:r>
            <w:r w:rsidR="008A3314" w:rsidRPr="00C011B2">
              <w:rPr>
                <w:rFonts w:ascii="Times New Roman" w:hAnsi="Times New Roman" w:cs="Times New Roman"/>
                <w:color w:val="000000" w:themeColor="text1"/>
                <w:vertAlign w:val="superscript"/>
                <w:lang w:val="ro-MD"/>
              </w:rPr>
              <w:t>avg</w:t>
            </w:r>
            <w:r w:rsidR="008A3314" w:rsidRPr="00C011B2">
              <w:rPr>
                <w:rFonts w:ascii="Times New Roman" w:hAnsi="Times New Roman" w:cs="Times New Roman"/>
                <w:color w:val="000000" w:themeColor="text1"/>
                <w:lang w:val="ro-MD"/>
              </w:rPr>
              <w:t>).</w:t>
            </w:r>
          </w:p>
          <w:p w14:paraId="05473653" w14:textId="206ADD60" w:rsidR="008A3314" w:rsidRPr="00C011B2" w:rsidRDefault="00B45819" w:rsidP="008A3314">
            <w:pPr>
              <w:spacing w:after="0" w:line="276" w:lineRule="auto"/>
              <w:jc w:val="both"/>
              <w:rPr>
                <w:rFonts w:ascii="Times New Roman" w:hAnsi="Times New Roman" w:cs="Times New Roman"/>
                <w:color w:val="000000" w:themeColor="text1"/>
                <w:lang w:val="ro-MD"/>
              </w:rPr>
            </w:pPr>
            <w:bookmarkStart w:id="339" w:name="_Hlk223535422"/>
            <w:bookmarkEnd w:id="338"/>
            <w:r w:rsidRPr="00C011B2">
              <w:rPr>
                <w:rFonts w:ascii="Times New Roman" w:hAnsi="Times New Roman" w:cs="Times New Roman"/>
                <w:color w:val="000000" w:themeColor="text1"/>
                <w:lang w:val="ro-MD"/>
              </w:rPr>
              <w:t xml:space="preserve">340. </w:t>
            </w:r>
            <w:r w:rsidR="008A3314" w:rsidRPr="00C011B2">
              <w:rPr>
                <w:rFonts w:ascii="Times New Roman" w:hAnsi="Times New Roman" w:cs="Times New Roman"/>
                <w:color w:val="000000" w:themeColor="text1"/>
                <w:lang w:val="ro-MD"/>
              </w:rPr>
              <w:t xml:space="preserve">Atunci când calculează cerințele de fonduri proprii pentru riscul de piață utilizând un model intern în conformitate cu </w:t>
            </w:r>
            <w:r w:rsidRPr="00C011B2">
              <w:rPr>
                <w:rFonts w:ascii="Times New Roman" w:hAnsi="Times New Roman" w:cs="Times New Roman"/>
                <w:color w:val="000000" w:themeColor="text1"/>
                <w:lang w:val="ro-MD"/>
              </w:rPr>
              <w:t>pct.339</w:t>
            </w:r>
            <w:r w:rsidR="008A3314" w:rsidRPr="00C011B2">
              <w:rPr>
                <w:rFonts w:ascii="Times New Roman" w:hAnsi="Times New Roman" w:cs="Times New Roman"/>
                <w:color w:val="000000" w:themeColor="text1"/>
                <w:lang w:val="ro-MD"/>
              </w:rPr>
              <w:t>,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nu include propriile sale marje de credit în calculul măsurilor menționate la </w:t>
            </w:r>
            <w:r w:rsidRPr="00C011B2">
              <w:rPr>
                <w:rFonts w:ascii="Times New Roman" w:hAnsi="Times New Roman" w:cs="Times New Roman"/>
                <w:color w:val="000000" w:themeColor="text1"/>
                <w:lang w:val="ro-MD"/>
              </w:rPr>
              <w:t>subpct.339.1</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339.2</w:t>
            </w:r>
            <w:r w:rsidR="008A3314" w:rsidRPr="00C011B2">
              <w:rPr>
                <w:rFonts w:ascii="Times New Roman" w:hAnsi="Times New Roman" w:cs="Times New Roman"/>
                <w:color w:val="000000" w:themeColor="text1"/>
                <w:lang w:val="ro-MD"/>
              </w:rPr>
              <w:t xml:space="preserve"> pentru pozițiile pe propriile sale instrumente de datorie.</w:t>
            </w:r>
            <w:bookmarkEnd w:id="339"/>
          </w:p>
        </w:tc>
        <w:tc>
          <w:tcPr>
            <w:tcW w:w="450" w:type="pct"/>
          </w:tcPr>
          <w:p w14:paraId="17FBD08B" w14:textId="5D7AE954" w:rsidR="008A3314" w:rsidRPr="00C011B2" w:rsidRDefault="00F37C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27C2C6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03991B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AD0E4D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80" w:tooltip="32019R0876: INSERTED" w:history="1">
              <w:r w:rsidR="008A3314" w:rsidRPr="00C011B2">
                <w:rPr>
                  <w:rStyle w:val="Hyperlink"/>
                  <w:rFonts w:ascii="Times New Roman" w:hAnsi="Times New Roman" w:cs="Times New Roman"/>
                  <w:b/>
                  <w:bCs/>
                  <w:lang w:val="ro-MD"/>
                </w:rPr>
                <w:t>▼M8</w:t>
              </w:r>
            </w:hyperlink>
          </w:p>
          <w:p w14:paraId="2A8D3FFC" w14:textId="0CCF33D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Instituțiile care dețin poziții pe titluri de datorie și de capital tranzacționate care sunt incluse în domeniul de aplicare al modelului intern pentru riscul de nerambursare și sunt atribuite birourilor de tranzacționare menționate la alineatul (1) îndeplinesc o cerință suplimentară de fonduri proprii, exprimată ca fiind cea mai mare dintre următoarele valori:</w:t>
            </w:r>
          </w:p>
          <w:p w14:paraId="2EB5247A" w14:textId="0404A2B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cea mai recentă cerință de fonduri proprii pentru riscul de nerambursare, calculată în conformitate cu secțiunea 3;</w:t>
            </w:r>
          </w:p>
          <w:p w14:paraId="57E83851" w14:textId="15F802B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media valorii menționate la litera (a) în cursul celor 12 săptămâni anterioare.</w:t>
            </w:r>
          </w:p>
          <w:p w14:paraId="02C55951"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81" w:tooltip="32024R1623: INSERTED" w:history="1">
              <w:r w:rsidR="008A3314" w:rsidRPr="00C011B2">
                <w:rPr>
                  <w:rStyle w:val="Hyperlink"/>
                  <w:rFonts w:ascii="Times New Roman" w:hAnsi="Times New Roman" w:cs="Times New Roman"/>
                  <w:b/>
                  <w:bCs/>
                  <w:lang w:val="ro-MD"/>
                </w:rPr>
                <w:t>▼M17</w:t>
              </w:r>
            </w:hyperlink>
          </w:p>
          <w:p w14:paraId="5D200177" w14:textId="668BE83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Prin derogare de la primul paragraf, o instituție nu face obiectul cerinței de fonduri proprii suplimentare pentru deținerile reprezentate de propriile sale instrumente de datorie.</w:t>
            </w:r>
          </w:p>
        </w:tc>
        <w:tc>
          <w:tcPr>
            <w:tcW w:w="1692" w:type="pct"/>
            <w:shd w:val="clear" w:color="auto" w:fill="auto"/>
          </w:tcPr>
          <w:p w14:paraId="6E163E48" w14:textId="47EFD01A" w:rsidR="008A3314" w:rsidRPr="00C011B2" w:rsidRDefault="00B45819" w:rsidP="008A3314">
            <w:pPr>
              <w:spacing w:after="0" w:line="276" w:lineRule="auto"/>
              <w:jc w:val="both"/>
              <w:rPr>
                <w:rFonts w:ascii="Times New Roman" w:hAnsi="Times New Roman" w:cs="Times New Roman"/>
                <w:color w:val="000000" w:themeColor="text1"/>
                <w:lang w:val="ro-MD"/>
              </w:rPr>
            </w:pPr>
            <w:bookmarkStart w:id="340" w:name="_Hlk223535471"/>
            <w:r w:rsidRPr="00C011B2">
              <w:rPr>
                <w:rFonts w:ascii="Times New Roman" w:hAnsi="Times New Roman" w:cs="Times New Roman"/>
                <w:color w:val="000000" w:themeColor="text1"/>
                <w:lang w:val="ro-MD"/>
              </w:rPr>
              <w:lastRenderedPageBreak/>
              <w:t>341.</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care dețin poziții pe titluri de datorie și de capital tranzacționate care sunt incluse în domeniul de </w:t>
            </w:r>
            <w:r w:rsidR="008A3314" w:rsidRPr="00C011B2">
              <w:rPr>
                <w:rFonts w:ascii="Times New Roman" w:hAnsi="Times New Roman" w:cs="Times New Roman"/>
                <w:color w:val="000000" w:themeColor="text1"/>
                <w:lang w:val="ro-MD"/>
              </w:rPr>
              <w:lastRenderedPageBreak/>
              <w:t xml:space="preserve">aplicare al modelului intern pentru riscul de nerambursare și sunt atribuite birourilor de tranzacționare menționate la </w:t>
            </w:r>
            <w:r w:rsidRPr="00C011B2">
              <w:rPr>
                <w:rFonts w:ascii="Times New Roman" w:hAnsi="Times New Roman" w:cs="Times New Roman"/>
                <w:color w:val="000000" w:themeColor="text1"/>
                <w:lang w:val="ro-MD"/>
              </w:rPr>
              <w:t>pct.339</w:t>
            </w:r>
            <w:r w:rsidR="008A3314" w:rsidRPr="00C011B2">
              <w:rPr>
                <w:rFonts w:ascii="Times New Roman" w:hAnsi="Times New Roman" w:cs="Times New Roman"/>
                <w:color w:val="000000" w:themeColor="text1"/>
                <w:lang w:val="ro-MD"/>
              </w:rPr>
              <w:t xml:space="preserve"> îndeplinesc o cerință suplimentară de fonduri proprii, exprimată ca fiind cea mai mare dintre următoarele valori:</w:t>
            </w:r>
          </w:p>
          <w:p w14:paraId="6660445E" w14:textId="560F417F" w:rsidR="008A3314" w:rsidRPr="00C011B2" w:rsidRDefault="00B4581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341.1.</w:t>
            </w:r>
            <w:r w:rsidR="008A3314" w:rsidRPr="00C011B2">
              <w:rPr>
                <w:rFonts w:ascii="Times New Roman" w:hAnsi="Times New Roman" w:cs="Times New Roman"/>
                <w:color w:val="000000" w:themeColor="text1"/>
                <w:lang w:val="ro-MD"/>
              </w:rPr>
              <w:t> cea mai recentă cerință de fonduri proprii pentru riscul de nerambursare, calculată în conformitate cu secțiunea 3;</w:t>
            </w:r>
          </w:p>
          <w:p w14:paraId="162BBFDD" w14:textId="073D9650" w:rsidR="008A3314" w:rsidRPr="00C011B2" w:rsidRDefault="00B4581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341.2.</w:t>
            </w:r>
            <w:r w:rsidR="008A3314" w:rsidRPr="00C011B2">
              <w:rPr>
                <w:rFonts w:ascii="Times New Roman" w:hAnsi="Times New Roman" w:cs="Times New Roman"/>
                <w:color w:val="000000" w:themeColor="text1"/>
                <w:lang w:val="ro-MD"/>
              </w:rPr>
              <w:t xml:space="preserve"> media valorii menționate la </w:t>
            </w:r>
            <w:r w:rsidRPr="00C011B2">
              <w:rPr>
                <w:rFonts w:ascii="Times New Roman" w:hAnsi="Times New Roman" w:cs="Times New Roman"/>
                <w:color w:val="000000" w:themeColor="text1"/>
                <w:lang w:val="ro-MD"/>
              </w:rPr>
              <w:t>subpct.341.1</w:t>
            </w:r>
            <w:r w:rsidR="008A3314" w:rsidRPr="00C011B2">
              <w:rPr>
                <w:rFonts w:ascii="Times New Roman" w:hAnsi="Times New Roman" w:cs="Times New Roman"/>
                <w:color w:val="000000" w:themeColor="text1"/>
                <w:lang w:val="ro-MD"/>
              </w:rPr>
              <w:t xml:space="preserve"> în cursul celor 12 săptămâni anterioare.</w:t>
            </w:r>
          </w:p>
          <w:p w14:paraId="2FE50FAB" w14:textId="2ADFE0CE" w:rsidR="008A3314" w:rsidRPr="00C011B2" w:rsidRDefault="00B4581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342. </w:t>
            </w:r>
            <w:r w:rsidR="008A3314" w:rsidRPr="00C011B2">
              <w:rPr>
                <w:rFonts w:ascii="Times New Roman" w:hAnsi="Times New Roman" w:cs="Times New Roman"/>
                <w:color w:val="000000" w:themeColor="text1"/>
                <w:lang w:val="ro-MD"/>
              </w:rPr>
              <w:t xml:space="preserve">Prin derogare de la </w:t>
            </w:r>
            <w:r w:rsidRPr="00C011B2">
              <w:rPr>
                <w:rFonts w:ascii="Times New Roman" w:hAnsi="Times New Roman" w:cs="Times New Roman"/>
                <w:color w:val="000000" w:themeColor="text1"/>
                <w:lang w:val="ro-MD"/>
              </w:rPr>
              <w:t>pct.341</w:t>
            </w:r>
            <w:r w:rsidR="008A3314" w:rsidRPr="00C011B2">
              <w:rPr>
                <w:rFonts w:ascii="Times New Roman" w:hAnsi="Times New Roman" w:cs="Times New Roman"/>
                <w:color w:val="000000" w:themeColor="text1"/>
                <w:lang w:val="ro-MD"/>
              </w:rPr>
              <w:t>,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nu face obiectul cerinței de fonduri proprii suplimentare pentru deținerile reprezentate de propriile sale instrumente de datorie.</w:t>
            </w:r>
            <w:bookmarkEnd w:id="340"/>
          </w:p>
        </w:tc>
        <w:tc>
          <w:tcPr>
            <w:tcW w:w="450" w:type="pct"/>
          </w:tcPr>
          <w:p w14:paraId="0196DA02" w14:textId="4C7B4B95" w:rsidR="008A3314" w:rsidRPr="00C011B2" w:rsidRDefault="00F37C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3362BC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665A09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4E84F19" w14:textId="25EE077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O instituție care utilizează un model intern alternativ calculează cerințele de fonduri proprii totale pentru riscul de piață pentru toate pozițiile din portofoliul de tranzacționare și pentru toate pozițiile din afara portofoliului de tranzacționare care generează un risc valutar sau un risc de marfă în conformitate cu următoarea formulă:</w:t>
            </w:r>
          </w:p>
          <w:p w14:paraId="4F2F3F09" w14:textId="77B4CA5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1190F418" wp14:editId="249F4808">
                  <wp:extent cx="3055620" cy="342900"/>
                  <wp:effectExtent l="0" t="0" r="0" b="0"/>
                  <wp:docPr id="71" name="Picture 7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055620" cy="342900"/>
                          </a:xfrm>
                          <a:prstGeom prst="rect">
                            <a:avLst/>
                          </a:prstGeom>
                          <a:noFill/>
                          <a:ln>
                            <a:noFill/>
                          </a:ln>
                        </pic:spPr>
                      </pic:pic>
                    </a:graphicData>
                  </a:graphic>
                </wp:inline>
              </w:drawing>
            </w:r>
          </w:p>
          <w:p w14:paraId="6292102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723" w:type="dxa"/>
              <w:tblLayout w:type="fixed"/>
              <w:tblCellMar>
                <w:left w:w="0" w:type="dxa"/>
                <w:right w:w="0" w:type="dxa"/>
              </w:tblCellMar>
              <w:tblLook w:val="04A0" w:firstRow="1" w:lastRow="0" w:firstColumn="1" w:lastColumn="0" w:noHBand="0" w:noVBand="1"/>
            </w:tblPr>
            <w:tblGrid>
              <w:gridCol w:w="612"/>
              <w:gridCol w:w="4111"/>
            </w:tblGrid>
            <w:tr w:rsidR="008A3314" w:rsidRPr="00C011B2" w14:paraId="700B6D14" w14:textId="77777777" w:rsidTr="00824DB5">
              <w:tc>
                <w:tcPr>
                  <w:tcW w:w="612" w:type="dxa"/>
                  <w:shd w:val="clear" w:color="auto" w:fill="auto"/>
                  <w:hideMark/>
                </w:tcPr>
                <w:p w14:paraId="18827C1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AIMA</w:t>
                  </w:r>
                </w:p>
              </w:tc>
              <w:tc>
                <w:tcPr>
                  <w:tcW w:w="4111" w:type="dxa"/>
                  <w:shd w:val="clear" w:color="auto" w:fill="auto"/>
                  <w:hideMark/>
                </w:tcPr>
                <w:p w14:paraId="60DF429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suma cerințelor de fonduri proprii menționate la alineatele (1) și (2);</w:t>
                  </w:r>
                </w:p>
              </w:tc>
            </w:tr>
          </w:tbl>
          <w:p w14:paraId="016495A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754"/>
              <w:gridCol w:w="3969"/>
            </w:tblGrid>
            <w:tr w:rsidR="008A3314" w:rsidRPr="00C011B2" w14:paraId="301C83A2" w14:textId="77777777" w:rsidTr="00824DB5">
              <w:tc>
                <w:tcPr>
                  <w:tcW w:w="754" w:type="dxa"/>
                  <w:shd w:val="clear" w:color="auto" w:fill="auto"/>
                  <w:hideMark/>
                </w:tcPr>
                <w:p w14:paraId="0ACCCA4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PLA</w:t>
                  </w:r>
                  <w:r w:rsidRPr="00C011B2">
                    <w:rPr>
                      <w:rFonts w:ascii="Times New Roman" w:hAnsi="Times New Roman" w:cs="Times New Roman"/>
                      <w:i/>
                      <w:iCs/>
                      <w:color w:val="000000" w:themeColor="text1"/>
                      <w:vertAlign w:val="subscript"/>
                      <w:lang w:val="ro-MD"/>
                    </w:rPr>
                    <w:t>addon</w:t>
                  </w:r>
                </w:p>
              </w:tc>
              <w:tc>
                <w:tcPr>
                  <w:tcW w:w="3969" w:type="dxa"/>
                  <w:shd w:val="clear" w:color="auto" w:fill="auto"/>
                  <w:hideMark/>
                </w:tcPr>
                <w:p w14:paraId="6D78031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cerința de fonduri proprii suplimentare menționată la articolul 325bg alineatul (2);</w:t>
                  </w:r>
                </w:p>
              </w:tc>
            </w:tr>
          </w:tbl>
          <w:p w14:paraId="50F2A51C"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037"/>
              <w:gridCol w:w="3828"/>
            </w:tblGrid>
            <w:tr w:rsidR="008A3314" w:rsidRPr="00C011B2" w14:paraId="0B6267C6" w14:textId="77777777" w:rsidTr="00824DB5">
              <w:tc>
                <w:tcPr>
                  <w:tcW w:w="1037" w:type="dxa"/>
                  <w:shd w:val="clear" w:color="auto" w:fill="auto"/>
                  <w:hideMark/>
                </w:tcPr>
                <w:p w14:paraId="07B4F3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ASA</w:t>
                  </w:r>
                  <w:r w:rsidRPr="00C011B2">
                    <w:rPr>
                      <w:rFonts w:ascii="Times New Roman" w:hAnsi="Times New Roman" w:cs="Times New Roman"/>
                      <w:i/>
                      <w:iCs/>
                      <w:color w:val="000000" w:themeColor="text1"/>
                      <w:vertAlign w:val="subscript"/>
                      <w:lang w:val="ro-MD"/>
                    </w:rPr>
                    <w:t>non-aima</w:t>
                  </w:r>
                </w:p>
              </w:tc>
              <w:tc>
                <w:tcPr>
                  <w:tcW w:w="3828" w:type="dxa"/>
                  <w:shd w:val="clear" w:color="auto" w:fill="auto"/>
                  <w:hideMark/>
                </w:tcPr>
                <w:p w14:paraId="43DCDEF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cerințele de fonduri proprii pentru riscul de piață calculate conform abordării standardizate alternative, astfel cum este menționată la articolul 325 alineatul (1) litera (a), pentru portofoliul cuprinzând pozițiile din portofoliul de tranzacționare și pozițiile din afara portofoliului de tranzacționare care generează un risc valutar sau un risc de marfă în cazul cărora instituția utilizează abordarea standardizată alternativă pentru a calcula cerințele de fonduri proprii pentru riscul de piață;</w:t>
                  </w:r>
                </w:p>
              </w:tc>
            </w:tr>
          </w:tbl>
          <w:p w14:paraId="5933D9B1"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1179"/>
              <w:gridCol w:w="3544"/>
            </w:tblGrid>
            <w:tr w:rsidR="008A3314" w:rsidRPr="00C011B2" w14:paraId="5ED958FF" w14:textId="77777777" w:rsidTr="00824DB5">
              <w:tc>
                <w:tcPr>
                  <w:tcW w:w="1179" w:type="dxa"/>
                  <w:shd w:val="clear" w:color="auto" w:fill="auto"/>
                  <w:hideMark/>
                </w:tcPr>
                <w:p w14:paraId="35332F1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ASA</w:t>
                  </w:r>
                  <w:r w:rsidRPr="00C011B2">
                    <w:rPr>
                      <w:rFonts w:ascii="Times New Roman" w:hAnsi="Times New Roman" w:cs="Times New Roman"/>
                      <w:i/>
                      <w:iCs/>
                      <w:color w:val="000000" w:themeColor="text1"/>
                      <w:vertAlign w:val="subscript"/>
                      <w:lang w:val="ro-MD"/>
                    </w:rPr>
                    <w:t>totportofoliul</w:t>
                  </w:r>
                </w:p>
              </w:tc>
              <w:tc>
                <w:tcPr>
                  <w:tcW w:w="3544" w:type="dxa"/>
                  <w:shd w:val="clear" w:color="auto" w:fill="auto"/>
                  <w:hideMark/>
                </w:tcPr>
                <w:p w14:paraId="07A1A23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cerințele de fonduri proprii pentru riscul de piață calculate conform abordării standardizate alternative, astfel cum este menționată la articolul 325 alineatul (1) litera (a), pentru portofoliul cuprinzând toate pozițiile din portofoliul </w:t>
                  </w:r>
                  <w:r w:rsidRPr="00C011B2">
                    <w:rPr>
                      <w:rFonts w:ascii="Times New Roman" w:hAnsi="Times New Roman" w:cs="Times New Roman"/>
                      <w:color w:val="000000" w:themeColor="text1"/>
                      <w:lang w:val="ro-MD"/>
                    </w:rPr>
                    <w:lastRenderedPageBreak/>
                    <w:t>de tranzacționare și toate pozițiile din afara portofoliului de tranzacționare care generează un risc valutar sau un risc de marfă;</w:t>
                  </w:r>
                </w:p>
              </w:tc>
            </w:tr>
          </w:tbl>
          <w:p w14:paraId="533804E1"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896"/>
              <w:gridCol w:w="3827"/>
            </w:tblGrid>
            <w:tr w:rsidR="008A3314" w:rsidRPr="00C011B2" w14:paraId="5323AC40" w14:textId="77777777" w:rsidTr="00824DB5">
              <w:tc>
                <w:tcPr>
                  <w:tcW w:w="896" w:type="dxa"/>
                  <w:shd w:val="clear" w:color="auto" w:fill="auto"/>
                  <w:hideMark/>
                </w:tcPr>
                <w:p w14:paraId="2720083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ASA</w:t>
                  </w:r>
                  <w:r w:rsidRPr="00C011B2">
                    <w:rPr>
                      <w:rFonts w:ascii="Times New Roman" w:hAnsi="Times New Roman" w:cs="Times New Roman"/>
                      <w:i/>
                      <w:iCs/>
                      <w:color w:val="000000" w:themeColor="text1"/>
                      <w:vertAlign w:val="subscript"/>
                      <w:lang w:val="ro-MD"/>
                    </w:rPr>
                    <w:t>aima</w:t>
                  </w:r>
                </w:p>
              </w:tc>
              <w:tc>
                <w:tcPr>
                  <w:tcW w:w="3827" w:type="dxa"/>
                  <w:shd w:val="clear" w:color="auto" w:fill="auto"/>
                  <w:hideMark/>
                </w:tcPr>
                <w:p w14:paraId="12E76BE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cerințele de fonduri proprii pentru riscul de piață calculate conform abordării standardizate alternative, astfel cum este menționată la articolul 325 alineatul (1) litera (a), pentru portofoliul cuprinzând pozițiile din portofoliul de tranzacționare și pozițiile din afara portofoliului de tranzacționare care generează un risc valutar sau un risc de marfă în cazul cărora instituția utilizează abordarea menționată la articolul 325 alineatul (1) litera (b) pentru a calcula cerințele de fonduri proprii pentru riscul de piață;</w:t>
                  </w:r>
                </w:p>
              </w:tc>
            </w:tr>
          </w:tbl>
          <w:p w14:paraId="7E62FDE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D90A2F9" w14:textId="04E4EB8C" w:rsidR="008A3314" w:rsidRPr="00C011B2" w:rsidRDefault="00B45819" w:rsidP="008A3314">
            <w:pPr>
              <w:spacing w:after="0" w:line="276" w:lineRule="auto"/>
              <w:jc w:val="both"/>
              <w:rPr>
                <w:rFonts w:ascii="Times New Roman" w:hAnsi="Times New Roman" w:cs="Times New Roman"/>
                <w:color w:val="000000" w:themeColor="text1"/>
                <w:lang w:val="ro-MD"/>
              </w:rPr>
            </w:pPr>
            <w:bookmarkStart w:id="341" w:name="_Hlk223535509"/>
            <w:r w:rsidRPr="00C011B2">
              <w:rPr>
                <w:rFonts w:ascii="Times New Roman" w:hAnsi="Times New Roman" w:cs="Times New Roman"/>
                <w:color w:val="000000" w:themeColor="text1"/>
                <w:lang w:val="ro-MD"/>
              </w:rPr>
              <w:lastRenderedPageBreak/>
              <w:t>343.</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care utilizează un model intern alternativ calculează cerințele de fonduri proprii totale pentru riscul de piață pentru toate pozițiile din portofoliul de tranzacționare și pentru toate pozițiile din afara portofoliului de tranzacționare care generează un risc valutar sau un risc de marfă în conformitate cu următoarea formulă:</w:t>
            </w:r>
          </w:p>
          <w:p w14:paraId="20C8F08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2B5FAE73" wp14:editId="10B445ED">
                  <wp:extent cx="3055620" cy="342900"/>
                  <wp:effectExtent l="0" t="0" r="0" b="0"/>
                  <wp:docPr id="174" name="Picture 1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055620" cy="342900"/>
                          </a:xfrm>
                          <a:prstGeom prst="rect">
                            <a:avLst/>
                          </a:prstGeom>
                          <a:noFill/>
                          <a:ln>
                            <a:noFill/>
                          </a:ln>
                        </pic:spPr>
                      </pic:pic>
                    </a:graphicData>
                  </a:graphic>
                </wp:inline>
              </w:drawing>
            </w:r>
          </w:p>
          <w:p w14:paraId="57BFCB6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723" w:type="dxa"/>
              <w:tblLayout w:type="fixed"/>
              <w:tblCellMar>
                <w:left w:w="0" w:type="dxa"/>
                <w:right w:w="0" w:type="dxa"/>
              </w:tblCellMar>
              <w:tblLook w:val="04A0" w:firstRow="1" w:lastRow="0" w:firstColumn="1" w:lastColumn="0" w:noHBand="0" w:noVBand="1"/>
            </w:tblPr>
            <w:tblGrid>
              <w:gridCol w:w="612"/>
              <w:gridCol w:w="4111"/>
            </w:tblGrid>
            <w:tr w:rsidR="008A3314" w:rsidRPr="00C011B2" w14:paraId="3ECD4B55" w14:textId="77777777" w:rsidTr="001E785F">
              <w:tc>
                <w:tcPr>
                  <w:tcW w:w="612" w:type="dxa"/>
                  <w:shd w:val="clear" w:color="auto" w:fill="auto"/>
                  <w:hideMark/>
                </w:tcPr>
                <w:p w14:paraId="73EBD56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AIMA</w:t>
                  </w:r>
                </w:p>
              </w:tc>
              <w:tc>
                <w:tcPr>
                  <w:tcW w:w="4111" w:type="dxa"/>
                  <w:shd w:val="clear" w:color="auto" w:fill="auto"/>
                  <w:hideMark/>
                </w:tcPr>
                <w:p w14:paraId="3966FB8E" w14:textId="24936BD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suma cerințelor de fonduri proprii menționate la </w:t>
                  </w:r>
                  <w:r w:rsidR="00B45819" w:rsidRPr="00C011B2">
                    <w:rPr>
                      <w:rFonts w:ascii="Times New Roman" w:hAnsi="Times New Roman" w:cs="Times New Roman"/>
                      <w:color w:val="000000" w:themeColor="text1"/>
                      <w:lang w:val="ro-MD"/>
                    </w:rPr>
                    <w:t>pct.339-340</w:t>
                  </w:r>
                  <w:r w:rsidRPr="00C011B2">
                    <w:rPr>
                      <w:rFonts w:ascii="Times New Roman" w:hAnsi="Times New Roman" w:cs="Times New Roman"/>
                      <w:color w:val="000000" w:themeColor="text1"/>
                      <w:lang w:val="ro-MD"/>
                    </w:rPr>
                    <w:t xml:space="preserve"> și </w:t>
                  </w:r>
                  <w:r w:rsidR="00B45819" w:rsidRPr="00C011B2">
                    <w:rPr>
                      <w:rFonts w:ascii="Times New Roman" w:hAnsi="Times New Roman" w:cs="Times New Roman"/>
                      <w:color w:val="000000" w:themeColor="text1"/>
                      <w:lang w:val="ro-MD"/>
                    </w:rPr>
                    <w:t>341-342</w:t>
                  </w:r>
                  <w:r w:rsidRPr="00C011B2">
                    <w:rPr>
                      <w:rFonts w:ascii="Times New Roman" w:hAnsi="Times New Roman" w:cs="Times New Roman"/>
                      <w:color w:val="000000" w:themeColor="text1"/>
                      <w:lang w:val="ro-MD"/>
                    </w:rPr>
                    <w:t>;</w:t>
                  </w:r>
                </w:p>
              </w:tc>
            </w:tr>
          </w:tbl>
          <w:p w14:paraId="64CFC01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754"/>
              <w:gridCol w:w="3969"/>
            </w:tblGrid>
            <w:tr w:rsidR="008A3314" w:rsidRPr="00C011B2" w14:paraId="3AB59D98" w14:textId="77777777" w:rsidTr="001E785F">
              <w:tc>
                <w:tcPr>
                  <w:tcW w:w="754" w:type="dxa"/>
                  <w:shd w:val="clear" w:color="auto" w:fill="auto"/>
                  <w:hideMark/>
                </w:tcPr>
                <w:p w14:paraId="11080A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PLA</w:t>
                  </w:r>
                  <w:r w:rsidRPr="00C011B2">
                    <w:rPr>
                      <w:rFonts w:ascii="Times New Roman" w:hAnsi="Times New Roman" w:cs="Times New Roman"/>
                      <w:i/>
                      <w:iCs/>
                      <w:color w:val="000000" w:themeColor="text1"/>
                      <w:vertAlign w:val="subscript"/>
                      <w:lang w:val="ro-MD"/>
                    </w:rPr>
                    <w:t>addon</w:t>
                  </w:r>
                </w:p>
              </w:tc>
              <w:tc>
                <w:tcPr>
                  <w:tcW w:w="3969" w:type="dxa"/>
                  <w:shd w:val="clear" w:color="auto" w:fill="auto"/>
                  <w:hideMark/>
                </w:tcPr>
                <w:p w14:paraId="7C96A7F0" w14:textId="1520B18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cerința de fonduri proprii suplimentare menționată la</w:t>
                  </w:r>
                  <w:r w:rsidR="0065263D" w:rsidRPr="00C011B2">
                    <w:rPr>
                      <w:rFonts w:ascii="Times New Roman" w:hAnsi="Times New Roman" w:cs="Times New Roman"/>
                      <w:color w:val="000000" w:themeColor="text1"/>
                      <w:lang w:val="ro-MD"/>
                    </w:rPr>
                    <w:t xml:space="preserve"> pct.378</w:t>
                  </w:r>
                  <w:r w:rsidRPr="00C011B2">
                    <w:rPr>
                      <w:rFonts w:ascii="Times New Roman" w:hAnsi="Times New Roman" w:cs="Times New Roman"/>
                      <w:color w:val="000000" w:themeColor="text1"/>
                      <w:lang w:val="ro-MD"/>
                    </w:rPr>
                    <w:t>;</w:t>
                  </w:r>
                </w:p>
              </w:tc>
            </w:tr>
          </w:tbl>
          <w:p w14:paraId="646BB05A"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037"/>
              <w:gridCol w:w="3828"/>
            </w:tblGrid>
            <w:tr w:rsidR="008A3314" w:rsidRPr="00C011B2" w14:paraId="5C8A96ED" w14:textId="77777777" w:rsidTr="001E785F">
              <w:tc>
                <w:tcPr>
                  <w:tcW w:w="1037" w:type="dxa"/>
                  <w:shd w:val="clear" w:color="auto" w:fill="auto"/>
                  <w:hideMark/>
                </w:tcPr>
                <w:p w14:paraId="1259484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ASA</w:t>
                  </w:r>
                  <w:r w:rsidRPr="00C011B2">
                    <w:rPr>
                      <w:rFonts w:ascii="Times New Roman" w:hAnsi="Times New Roman" w:cs="Times New Roman"/>
                      <w:i/>
                      <w:iCs/>
                      <w:color w:val="000000" w:themeColor="text1"/>
                      <w:vertAlign w:val="subscript"/>
                      <w:lang w:val="ro-MD"/>
                    </w:rPr>
                    <w:t>non-aima</w:t>
                  </w:r>
                </w:p>
              </w:tc>
              <w:tc>
                <w:tcPr>
                  <w:tcW w:w="3828" w:type="dxa"/>
                  <w:shd w:val="clear" w:color="auto" w:fill="auto"/>
                  <w:hideMark/>
                </w:tcPr>
                <w:p w14:paraId="0635E479" w14:textId="0709381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cerințele de fonduri proprii pentru riscul de piață calculate conform abordării standardizate alternative, astfel cum este menționată la</w:t>
                  </w:r>
                  <w:r w:rsidR="0065263D" w:rsidRPr="00C011B2">
                    <w:rPr>
                      <w:rFonts w:ascii="Times New Roman" w:hAnsi="Times New Roman" w:cs="Times New Roman"/>
                      <w:color w:val="000000" w:themeColor="text1"/>
                      <w:lang w:val="ro-MD"/>
                    </w:rPr>
                    <w:t xml:space="preserve"> subpct.69.1</w:t>
                  </w:r>
                  <w:r w:rsidRPr="00C011B2">
                    <w:rPr>
                      <w:rFonts w:ascii="Times New Roman" w:hAnsi="Times New Roman" w:cs="Times New Roman"/>
                      <w:color w:val="000000" w:themeColor="text1"/>
                      <w:lang w:val="ro-MD"/>
                    </w:rPr>
                    <w:t xml:space="preserve">, pentru portofoliul cuprinzând pozițiile din portofoliul de tranzacționare și pozițiile din afara portofoliului de tranzacționare care generează un risc valutar sau un risc de marfă în cazul cărora </w:t>
                  </w:r>
                  <w:r w:rsidR="0017556B" w:rsidRPr="00C011B2">
                    <w:rPr>
                      <w:rFonts w:ascii="Times New Roman" w:hAnsi="Times New Roman" w:cs="Times New Roman"/>
                      <w:color w:val="000000" w:themeColor="text1"/>
                      <w:lang w:val="ro-MD"/>
                    </w:rPr>
                    <w:t xml:space="preserve">banca </w:t>
                  </w:r>
                  <w:r w:rsidRPr="00C011B2">
                    <w:rPr>
                      <w:rFonts w:ascii="Times New Roman" w:hAnsi="Times New Roman" w:cs="Times New Roman"/>
                      <w:color w:val="000000" w:themeColor="text1"/>
                      <w:lang w:val="ro-MD"/>
                    </w:rPr>
                    <w:t>utilizează abordarea standardizată alternativă pentru a calcula cerințele de fonduri proprii pentru riscul de piață;</w:t>
                  </w:r>
                </w:p>
              </w:tc>
            </w:tr>
          </w:tbl>
          <w:p w14:paraId="4BCCD8F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1179"/>
              <w:gridCol w:w="3544"/>
            </w:tblGrid>
            <w:tr w:rsidR="008A3314" w:rsidRPr="00C011B2" w14:paraId="5FE47F2D" w14:textId="77777777" w:rsidTr="001E785F">
              <w:tc>
                <w:tcPr>
                  <w:tcW w:w="1179" w:type="dxa"/>
                  <w:shd w:val="clear" w:color="auto" w:fill="auto"/>
                  <w:hideMark/>
                </w:tcPr>
                <w:p w14:paraId="0CAB5D0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ASA</w:t>
                  </w:r>
                  <w:r w:rsidRPr="00C011B2">
                    <w:rPr>
                      <w:rFonts w:ascii="Times New Roman" w:hAnsi="Times New Roman" w:cs="Times New Roman"/>
                      <w:i/>
                      <w:iCs/>
                      <w:color w:val="000000" w:themeColor="text1"/>
                      <w:vertAlign w:val="subscript"/>
                      <w:lang w:val="ro-MD"/>
                    </w:rPr>
                    <w:t>totportofoliul</w:t>
                  </w:r>
                </w:p>
              </w:tc>
              <w:tc>
                <w:tcPr>
                  <w:tcW w:w="3544" w:type="dxa"/>
                  <w:shd w:val="clear" w:color="auto" w:fill="auto"/>
                  <w:hideMark/>
                </w:tcPr>
                <w:p w14:paraId="251CE0B0" w14:textId="07BA9E3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cerințele de fonduri proprii pentru riscul de piață calculate conform abordării standardizate alternative, astfel cum este menționată la </w:t>
                  </w:r>
                  <w:r w:rsidR="0065263D" w:rsidRPr="00C011B2">
                    <w:rPr>
                      <w:rFonts w:ascii="Times New Roman" w:hAnsi="Times New Roman" w:cs="Times New Roman"/>
                      <w:color w:val="000000" w:themeColor="text1"/>
                      <w:lang w:val="ro-MD"/>
                    </w:rPr>
                    <w:t>subpct.69.1</w:t>
                  </w:r>
                  <w:r w:rsidRPr="00C011B2">
                    <w:rPr>
                      <w:rFonts w:ascii="Times New Roman" w:hAnsi="Times New Roman" w:cs="Times New Roman"/>
                      <w:color w:val="000000" w:themeColor="text1"/>
                      <w:lang w:val="ro-MD"/>
                    </w:rPr>
                    <w:t xml:space="preserve">, pentru portofoliul cuprinzând toate pozițiile din portofoliul de </w:t>
                  </w:r>
                  <w:r w:rsidRPr="00C011B2">
                    <w:rPr>
                      <w:rFonts w:ascii="Times New Roman" w:hAnsi="Times New Roman" w:cs="Times New Roman"/>
                      <w:color w:val="000000" w:themeColor="text1"/>
                      <w:lang w:val="ro-MD"/>
                    </w:rPr>
                    <w:lastRenderedPageBreak/>
                    <w:t>tranzacționare și toate pozițiile din afara portofoliului de tranzacționare care generează un risc valutar sau un risc de marfă;</w:t>
                  </w:r>
                </w:p>
              </w:tc>
            </w:tr>
          </w:tbl>
          <w:p w14:paraId="5BEFC6E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827"/>
              <w:gridCol w:w="3896"/>
            </w:tblGrid>
            <w:tr w:rsidR="008A3314" w:rsidRPr="00C011B2" w14:paraId="772A432B" w14:textId="77777777" w:rsidTr="00F262EC">
              <w:tc>
                <w:tcPr>
                  <w:tcW w:w="827" w:type="dxa"/>
                  <w:shd w:val="clear" w:color="auto" w:fill="auto"/>
                  <w:hideMark/>
                </w:tcPr>
                <w:p w14:paraId="18AD5DF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ASA</w:t>
                  </w:r>
                  <w:r w:rsidRPr="00C011B2">
                    <w:rPr>
                      <w:rFonts w:ascii="Times New Roman" w:hAnsi="Times New Roman" w:cs="Times New Roman"/>
                      <w:i/>
                      <w:iCs/>
                      <w:color w:val="000000" w:themeColor="text1"/>
                      <w:vertAlign w:val="subscript"/>
                      <w:lang w:val="ro-MD"/>
                    </w:rPr>
                    <w:t>aima</w:t>
                  </w:r>
                </w:p>
              </w:tc>
              <w:tc>
                <w:tcPr>
                  <w:tcW w:w="3896" w:type="dxa"/>
                  <w:shd w:val="clear" w:color="auto" w:fill="auto"/>
                  <w:hideMark/>
                </w:tcPr>
                <w:p w14:paraId="4DF97C81" w14:textId="300BF53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cerințele de fonduri proprii pentru riscul de piață calculate conform abordării standardizate alternative, astfel cum este menționată la </w:t>
                  </w:r>
                  <w:r w:rsidR="0065263D" w:rsidRPr="00C011B2">
                    <w:rPr>
                      <w:rFonts w:ascii="Times New Roman" w:hAnsi="Times New Roman" w:cs="Times New Roman"/>
                      <w:color w:val="000000" w:themeColor="text1"/>
                      <w:lang w:val="ro-MD"/>
                    </w:rPr>
                    <w:t>subpct.69.1</w:t>
                  </w:r>
                  <w:r w:rsidRPr="00C011B2">
                    <w:rPr>
                      <w:rFonts w:ascii="Times New Roman" w:hAnsi="Times New Roman" w:cs="Times New Roman"/>
                      <w:color w:val="000000" w:themeColor="text1"/>
                      <w:lang w:val="ro-MD"/>
                    </w:rPr>
                    <w:t xml:space="preserve">, pentru portofoliul cuprinzând pozițiile din portofoliul de tranzacționare și pozițiile din afara portofoliului de tranzacționare care generează un risc valutar sau un risc de marfă în cazul cărora </w:t>
                  </w:r>
                  <w:r w:rsidR="003E7B2D" w:rsidRPr="00C011B2">
                    <w:rPr>
                      <w:rFonts w:ascii="Times New Roman" w:hAnsi="Times New Roman" w:cs="Times New Roman"/>
                      <w:color w:val="000000" w:themeColor="text1"/>
                      <w:lang w:val="ro-MD"/>
                    </w:rPr>
                    <w:t xml:space="preserve">banca </w:t>
                  </w:r>
                  <w:r w:rsidRPr="00C011B2">
                    <w:rPr>
                      <w:rFonts w:ascii="Times New Roman" w:hAnsi="Times New Roman" w:cs="Times New Roman"/>
                      <w:color w:val="000000" w:themeColor="text1"/>
                      <w:lang w:val="ro-MD"/>
                    </w:rPr>
                    <w:t xml:space="preserve">utilizează abordarea menționată la </w:t>
                  </w:r>
                  <w:r w:rsidR="00AF7B8C" w:rsidRPr="00C011B2">
                    <w:rPr>
                      <w:rFonts w:ascii="Times New Roman" w:hAnsi="Times New Roman" w:cs="Times New Roman"/>
                      <w:color w:val="000000" w:themeColor="text1"/>
                      <w:lang w:val="ro-MD"/>
                    </w:rPr>
                    <w:t>subpct.69.2</w:t>
                  </w:r>
                  <w:r w:rsidRPr="00C011B2">
                    <w:rPr>
                      <w:rFonts w:ascii="Times New Roman" w:hAnsi="Times New Roman" w:cs="Times New Roman"/>
                      <w:color w:val="000000" w:themeColor="text1"/>
                      <w:lang w:val="ro-MD"/>
                    </w:rPr>
                    <w:t xml:space="preserve"> pentru a calcula cerințele de fonduri proprii pentru riscul de piață;</w:t>
                  </w:r>
                </w:p>
              </w:tc>
            </w:tr>
            <w:bookmarkEnd w:id="341"/>
          </w:tbl>
          <w:p w14:paraId="36B284F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79A4DF9C" w14:textId="1347488B" w:rsidR="008A3314" w:rsidRPr="00C011B2" w:rsidRDefault="0040307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5234D9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DF468F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FFEF32B"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83" w:tooltip="32019R0876: INSERTED" w:history="1">
              <w:r w:rsidR="008A3314" w:rsidRPr="00C011B2">
                <w:rPr>
                  <w:rStyle w:val="Hyperlink"/>
                  <w:rFonts w:ascii="Times New Roman" w:hAnsi="Times New Roman" w:cs="Times New Roman"/>
                  <w:b/>
                  <w:bCs/>
                  <w:lang w:val="ro-MD"/>
                </w:rPr>
                <w:t>▼M8</w:t>
              </w:r>
            </w:hyperlink>
          </w:p>
          <w:p w14:paraId="02C3A0A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2</w:t>
            </w:r>
          </w:p>
          <w:p w14:paraId="25F5D219"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generale</w:t>
            </w:r>
          </w:p>
          <w:p w14:paraId="6289D6DC"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325bb</w:t>
            </w:r>
          </w:p>
          <w:p w14:paraId="7AF082E7" w14:textId="23D80D1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Măsura valorii la risc condiționate</w:t>
            </w:r>
          </w:p>
        </w:tc>
        <w:tc>
          <w:tcPr>
            <w:tcW w:w="1692" w:type="pct"/>
            <w:shd w:val="clear" w:color="auto" w:fill="auto"/>
          </w:tcPr>
          <w:p w14:paraId="5332223D"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bookmarkStart w:id="342" w:name="_Hlk195098619"/>
            <w:r w:rsidRPr="00C011B2">
              <w:rPr>
                <w:rFonts w:ascii="Times New Roman" w:hAnsi="Times New Roman" w:cs="Times New Roman"/>
                <w:b/>
                <w:bCs/>
                <w:color w:val="000000" w:themeColor="text1"/>
                <w:lang w:val="ro-MD"/>
              </w:rPr>
              <w:t>Secțiunea 2</w:t>
            </w:r>
          </w:p>
          <w:p w14:paraId="4558565A"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generale</w:t>
            </w:r>
          </w:p>
          <w:p w14:paraId="77DAC77C" w14:textId="49D3748D" w:rsidR="008A3314" w:rsidRPr="00C011B2" w:rsidRDefault="00406E9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Subsecțiunea 1. </w:t>
            </w:r>
            <w:r w:rsidR="008A3314" w:rsidRPr="00C011B2">
              <w:rPr>
                <w:rFonts w:ascii="Times New Roman" w:hAnsi="Times New Roman" w:cs="Times New Roman"/>
                <w:b/>
                <w:bCs/>
                <w:color w:val="000000" w:themeColor="text1"/>
                <w:lang w:val="ro-MD"/>
              </w:rPr>
              <w:t>Măsura valorii la risc condiționate</w:t>
            </w:r>
            <w:bookmarkEnd w:id="342"/>
          </w:p>
        </w:tc>
        <w:tc>
          <w:tcPr>
            <w:tcW w:w="450" w:type="pct"/>
          </w:tcPr>
          <w:p w14:paraId="1F23CBB9"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3B4B2C6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509791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484669"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84" w:tooltip="32019R0876R(11): REPLACED" w:history="1">
              <w:r w:rsidR="008A3314" w:rsidRPr="00C011B2">
                <w:rPr>
                  <w:rStyle w:val="Hyperlink"/>
                  <w:rFonts w:ascii="Times New Roman" w:hAnsi="Times New Roman" w:cs="Times New Roman"/>
                  <w:b/>
                  <w:bCs/>
                  <w:lang w:val="ro-MD"/>
                </w:rPr>
                <w:t>▼C7</w:t>
              </w:r>
            </w:hyperlink>
          </w:p>
          <w:p w14:paraId="52199575" w14:textId="799C4FF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Instituțiile calculează măsura valorii la risc condiționate menționată la articolul 325ba alineatul (1) </w:t>
            </w:r>
            <w:r w:rsidRPr="00C011B2">
              <w:rPr>
                <w:rFonts w:ascii="Times New Roman" w:hAnsi="Times New Roman" w:cs="Times New Roman"/>
                <w:color w:val="000000" w:themeColor="text1"/>
                <w:lang w:val="ro-MD"/>
              </w:rPr>
              <w:lastRenderedPageBreak/>
              <w:t>litera (a) pentru orice dată „t” și orice portofoliu de poziții din portofoliul de tranzacționare și poziții din afara portofoliului de tranzacționare care prezintă un risc valutar sau un risc de marfă după cum urmează:</w:t>
            </w:r>
          </w:p>
          <w:p w14:paraId="3A87867E"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85" w:tooltip="32019R0876: INSERTED" w:history="1">
              <w:r w:rsidR="008A3314" w:rsidRPr="00C011B2">
                <w:rPr>
                  <w:rStyle w:val="Hyperlink"/>
                  <w:rFonts w:ascii="Times New Roman" w:hAnsi="Times New Roman" w:cs="Times New Roman"/>
                  <w:b/>
                  <w:bCs/>
                  <w:lang w:val="ro-MD"/>
                </w:rPr>
                <w:t>▼M8</w:t>
              </w:r>
            </w:hyperlink>
          </w:p>
          <w:p w14:paraId="7C3F5335" w14:textId="1CC8B2A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F7AA480" wp14:editId="6E2501F3">
                  <wp:extent cx="3055620" cy="481330"/>
                  <wp:effectExtent l="0" t="0" r="0" b="0"/>
                  <wp:docPr id="81" name="Picture 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55620" cy="481330"/>
                          </a:xfrm>
                          <a:prstGeom prst="rect">
                            <a:avLst/>
                          </a:prstGeom>
                          <a:noFill/>
                          <a:ln>
                            <a:noFill/>
                          </a:ln>
                        </pic:spPr>
                      </pic:pic>
                    </a:graphicData>
                  </a:graphic>
                </wp:inline>
              </w:drawing>
            </w:r>
          </w:p>
          <w:p w14:paraId="2468046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918" w:type="dxa"/>
              <w:tblLayout w:type="fixed"/>
              <w:tblCellMar>
                <w:left w:w="0" w:type="dxa"/>
                <w:right w:w="0" w:type="dxa"/>
              </w:tblCellMar>
              <w:tblLook w:val="04A0" w:firstRow="1" w:lastRow="0" w:firstColumn="1" w:lastColumn="0" w:noHBand="0" w:noVBand="1"/>
            </w:tblPr>
            <w:tblGrid>
              <w:gridCol w:w="470"/>
              <w:gridCol w:w="170"/>
              <w:gridCol w:w="4278"/>
            </w:tblGrid>
            <w:tr w:rsidR="008A3314" w:rsidRPr="00C011B2" w14:paraId="0F323288" w14:textId="77777777" w:rsidTr="00824DB5">
              <w:tc>
                <w:tcPr>
                  <w:tcW w:w="470" w:type="dxa"/>
                  <w:shd w:val="clear" w:color="auto" w:fill="auto"/>
                  <w:hideMark/>
                </w:tcPr>
                <w:p w14:paraId="457CB4E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w:t>
                  </w:r>
                  <w:r w:rsidRPr="00C011B2">
                    <w:rPr>
                      <w:rFonts w:ascii="Times New Roman" w:hAnsi="Times New Roman" w:cs="Times New Roman"/>
                      <w:color w:val="000000" w:themeColor="text1"/>
                      <w:vertAlign w:val="subscript"/>
                      <w:lang w:val="ro-MD"/>
                    </w:rPr>
                    <w:t>t</w:t>
                  </w:r>
                </w:p>
              </w:tc>
              <w:tc>
                <w:tcPr>
                  <w:tcW w:w="170" w:type="dxa"/>
                  <w:shd w:val="clear" w:color="auto" w:fill="auto"/>
                  <w:hideMark/>
                </w:tcPr>
                <w:p w14:paraId="5C3526E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78" w:type="dxa"/>
                  <w:shd w:val="clear" w:color="auto" w:fill="auto"/>
                  <w:hideMark/>
                </w:tcPr>
                <w:p w14:paraId="7E22916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w:t>
                  </w:r>
                </w:p>
              </w:tc>
            </w:tr>
          </w:tbl>
          <w:p w14:paraId="13C951C4"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3"/>
              <w:gridCol w:w="76"/>
              <w:gridCol w:w="4693"/>
            </w:tblGrid>
            <w:tr w:rsidR="008A3314" w:rsidRPr="00C011B2" w14:paraId="43819431" w14:textId="77777777" w:rsidTr="00824DB5">
              <w:tc>
                <w:tcPr>
                  <w:tcW w:w="67" w:type="dxa"/>
                  <w:shd w:val="clear" w:color="auto" w:fill="auto"/>
                  <w:hideMark/>
                </w:tcPr>
                <w:p w14:paraId="2D52952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133" w:type="dxa"/>
                  <w:shd w:val="clear" w:color="auto" w:fill="auto"/>
                  <w:hideMark/>
                </w:tcPr>
                <w:p w14:paraId="543202C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489" w:type="dxa"/>
                  <w:shd w:val="clear" w:color="auto" w:fill="auto"/>
                  <w:hideMark/>
                </w:tcPr>
                <w:p w14:paraId="1DA0F91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cele cinci categorii generale de factori de risc enumerate în tabelul 2 prima coloană de la articolul 325bd;</w:t>
                  </w:r>
                </w:p>
              </w:tc>
            </w:tr>
          </w:tbl>
          <w:p w14:paraId="5D1F00A7"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470"/>
              <w:gridCol w:w="82"/>
              <w:gridCol w:w="4171"/>
            </w:tblGrid>
            <w:tr w:rsidR="008A3314" w:rsidRPr="00C011B2" w14:paraId="7B9A3914" w14:textId="77777777" w:rsidTr="00824DB5">
              <w:tc>
                <w:tcPr>
                  <w:tcW w:w="470" w:type="dxa"/>
                  <w:shd w:val="clear" w:color="auto" w:fill="auto"/>
                  <w:hideMark/>
                </w:tcPr>
                <w:p w14:paraId="0968F33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UES</w:t>
                  </w:r>
                  <w:r w:rsidRPr="00C011B2">
                    <w:rPr>
                      <w:rFonts w:ascii="Times New Roman" w:hAnsi="Times New Roman" w:cs="Times New Roman"/>
                      <w:color w:val="000000" w:themeColor="text1"/>
                      <w:vertAlign w:val="subscript"/>
                      <w:lang w:val="ro-MD"/>
                    </w:rPr>
                    <w:t>t</w:t>
                  </w:r>
                </w:p>
              </w:tc>
              <w:tc>
                <w:tcPr>
                  <w:tcW w:w="82" w:type="dxa"/>
                  <w:shd w:val="clear" w:color="auto" w:fill="auto"/>
                  <w:hideMark/>
                </w:tcPr>
                <w:p w14:paraId="1A484C9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71" w:type="dxa"/>
                  <w:shd w:val="clear" w:color="auto" w:fill="auto"/>
                  <w:hideMark/>
                </w:tcPr>
                <w:p w14:paraId="62AE359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nerestricționată, calculată după cum urmează:</w:t>
                  </w:r>
                </w:p>
                <w:p w14:paraId="504B80D5" w14:textId="5DBDC63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F05B032" wp14:editId="23C1D2B9">
                        <wp:extent cx="3055620" cy="681990"/>
                        <wp:effectExtent l="0" t="0" r="0" b="3810"/>
                        <wp:docPr id="80" name="Picture 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55620" cy="681990"/>
                                </a:xfrm>
                                <a:prstGeom prst="rect">
                                  <a:avLst/>
                                </a:prstGeom>
                                <a:noFill/>
                                <a:ln>
                                  <a:noFill/>
                                </a:ln>
                              </pic:spPr>
                            </pic:pic>
                          </a:graphicData>
                        </a:graphic>
                      </wp:inline>
                    </w:drawing>
                  </w:r>
                </w:p>
              </w:tc>
            </w:tr>
          </w:tbl>
          <w:p w14:paraId="668C9BF7"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037"/>
              <w:gridCol w:w="76"/>
              <w:gridCol w:w="3752"/>
            </w:tblGrid>
            <w:tr w:rsidR="008A3314" w:rsidRPr="00C011B2" w14:paraId="10C1B445" w14:textId="77777777" w:rsidTr="00824DB5">
              <w:tc>
                <w:tcPr>
                  <w:tcW w:w="1037" w:type="dxa"/>
                  <w:shd w:val="clear" w:color="auto" w:fill="auto"/>
                  <w:hideMark/>
                </w:tcPr>
                <w:p w14:paraId="3B483B8E" w14:textId="06A3433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8454502" wp14:editId="4B5E95BD">
                        <wp:extent cx="603250" cy="381000"/>
                        <wp:effectExtent l="0" t="0" r="6350" b="0"/>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tc>
              <w:tc>
                <w:tcPr>
                  <w:tcW w:w="76" w:type="dxa"/>
                  <w:shd w:val="clear" w:color="auto" w:fill="auto"/>
                  <w:hideMark/>
                </w:tcPr>
                <w:p w14:paraId="5D2194D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752" w:type="dxa"/>
                  <w:shd w:val="clear" w:color="auto" w:fill="auto"/>
                  <w:hideMark/>
                </w:tcPr>
                <w:p w14:paraId="6C580FA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nerestricționată pentru categoria generală de factori de risc i, calculată după cum urmează:</w:t>
                  </w:r>
                </w:p>
                <w:p w14:paraId="095CD302" w14:textId="288497C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64752535" wp14:editId="6AC1D13A">
                        <wp:extent cx="3055620" cy="645795"/>
                        <wp:effectExtent l="0" t="0" r="0" b="1905"/>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055620" cy="645795"/>
                                </a:xfrm>
                                <a:prstGeom prst="rect">
                                  <a:avLst/>
                                </a:prstGeom>
                                <a:noFill/>
                                <a:ln>
                                  <a:noFill/>
                                </a:ln>
                              </pic:spPr>
                            </pic:pic>
                          </a:graphicData>
                        </a:graphic>
                      </wp:inline>
                    </w:drawing>
                  </w:r>
                </w:p>
                <w:tbl>
                  <w:tblPr>
                    <w:tblW w:w="3613" w:type="dxa"/>
                    <w:tblLayout w:type="fixed"/>
                    <w:tblCellMar>
                      <w:left w:w="0" w:type="dxa"/>
                      <w:right w:w="0" w:type="dxa"/>
                    </w:tblCellMar>
                    <w:tblLook w:val="04A0" w:firstRow="1" w:lastRow="0" w:firstColumn="1" w:lastColumn="0" w:noHBand="0" w:noVBand="1"/>
                  </w:tblPr>
                  <w:tblGrid>
                    <w:gridCol w:w="353"/>
                    <w:gridCol w:w="76"/>
                    <w:gridCol w:w="3184"/>
                  </w:tblGrid>
                  <w:tr w:rsidR="008A3314" w:rsidRPr="00C011B2" w14:paraId="4BDBFC01" w14:textId="77777777" w:rsidTr="00824DB5">
                    <w:tc>
                      <w:tcPr>
                        <w:tcW w:w="353" w:type="dxa"/>
                        <w:shd w:val="clear" w:color="auto" w:fill="auto"/>
                        <w:hideMark/>
                      </w:tcPr>
                      <w:p w14:paraId="4917B1B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ρ</w:t>
                        </w:r>
                      </w:p>
                    </w:tc>
                    <w:tc>
                      <w:tcPr>
                        <w:tcW w:w="76" w:type="dxa"/>
                        <w:shd w:val="clear" w:color="auto" w:fill="auto"/>
                        <w:hideMark/>
                      </w:tcPr>
                      <w:p w14:paraId="2D08B57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184" w:type="dxa"/>
                        <w:shd w:val="clear" w:color="auto" w:fill="auto"/>
                        <w:hideMark/>
                      </w:tcPr>
                      <w:p w14:paraId="4226216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factorul de corelare impus de autoritățile de supraveghere pentru toate categoriile generale de risc; ρ = 50 %;</w:t>
                        </w:r>
                      </w:p>
                    </w:tc>
                  </w:tr>
                </w:tbl>
                <w:p w14:paraId="515F83CF"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3755" w:type="dxa"/>
                    <w:tblLayout w:type="fixed"/>
                    <w:tblCellMar>
                      <w:left w:w="0" w:type="dxa"/>
                      <w:right w:w="0" w:type="dxa"/>
                    </w:tblCellMar>
                    <w:tblLook w:val="04A0" w:firstRow="1" w:lastRow="0" w:firstColumn="1" w:lastColumn="0" w:noHBand="0" w:noVBand="1"/>
                  </w:tblPr>
                  <w:tblGrid>
                    <w:gridCol w:w="1203"/>
                    <w:gridCol w:w="76"/>
                    <w:gridCol w:w="2476"/>
                  </w:tblGrid>
                  <w:tr w:rsidR="008A3314" w:rsidRPr="00C011B2" w14:paraId="1AE077D3" w14:textId="77777777" w:rsidTr="00824DB5">
                    <w:tc>
                      <w:tcPr>
                        <w:tcW w:w="1203" w:type="dxa"/>
                        <w:shd w:val="clear" w:color="auto" w:fill="auto"/>
                        <w:hideMark/>
                      </w:tcPr>
                      <w:p w14:paraId="5850870C" w14:textId="7E0CA69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D214707" wp14:editId="49AFF311">
                              <wp:extent cx="755650" cy="381000"/>
                              <wp:effectExtent l="0" t="0" r="6350" b="0"/>
                              <wp:docPr id="77" name="Picture 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tc>
                    <w:tc>
                      <w:tcPr>
                        <w:tcW w:w="76" w:type="dxa"/>
                        <w:shd w:val="clear" w:color="auto" w:fill="auto"/>
                        <w:hideMark/>
                      </w:tcPr>
                      <w:p w14:paraId="2459B1F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2476" w:type="dxa"/>
                        <w:shd w:val="clear" w:color="auto" w:fill="auto"/>
                        <w:hideMark/>
                      </w:tcPr>
                      <w:p w14:paraId="200C81E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parțială care se calculează pentru toate pozițiile din portofoliu în conformitate cu articolul 325bc alineatul (2);</w:t>
                        </w:r>
                      </w:p>
                    </w:tc>
                  </w:tr>
                </w:tbl>
                <w:p w14:paraId="3061ABA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3755" w:type="dxa"/>
                    <w:tblLayout w:type="fixed"/>
                    <w:tblCellMar>
                      <w:left w:w="0" w:type="dxa"/>
                      <w:right w:w="0" w:type="dxa"/>
                    </w:tblCellMar>
                    <w:tblLook w:val="04A0" w:firstRow="1" w:lastRow="0" w:firstColumn="1" w:lastColumn="0" w:noHBand="0" w:noVBand="1"/>
                  </w:tblPr>
                  <w:tblGrid>
                    <w:gridCol w:w="1203"/>
                    <w:gridCol w:w="69"/>
                    <w:gridCol w:w="2483"/>
                  </w:tblGrid>
                  <w:tr w:rsidR="008A3314" w:rsidRPr="00C011B2" w14:paraId="361734D2" w14:textId="77777777" w:rsidTr="00824DB5">
                    <w:tc>
                      <w:tcPr>
                        <w:tcW w:w="1203" w:type="dxa"/>
                        <w:shd w:val="clear" w:color="auto" w:fill="auto"/>
                        <w:hideMark/>
                      </w:tcPr>
                      <w:p w14:paraId="2E01E807" w14:textId="6ECAD9C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0AEE383" wp14:editId="2AFAB3A7">
                              <wp:extent cx="774700" cy="381000"/>
                              <wp:effectExtent l="0" t="0" r="6350" b="0"/>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tc>
                    <w:tc>
                      <w:tcPr>
                        <w:tcW w:w="69" w:type="dxa"/>
                        <w:shd w:val="clear" w:color="auto" w:fill="auto"/>
                        <w:hideMark/>
                      </w:tcPr>
                      <w:p w14:paraId="1A2F124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2483" w:type="dxa"/>
                        <w:shd w:val="clear" w:color="auto" w:fill="auto"/>
                        <w:hideMark/>
                      </w:tcPr>
                      <w:p w14:paraId="1ADD47C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parțială care se calculează pentru toate pozițiile din portofoliu în conformitate cu articolul 325bc alineatul (3);</w:t>
                        </w:r>
                      </w:p>
                    </w:tc>
                  </w:tr>
                </w:tbl>
                <w:p w14:paraId="3352377A"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3755" w:type="dxa"/>
                    <w:tblLayout w:type="fixed"/>
                    <w:tblCellMar>
                      <w:left w:w="0" w:type="dxa"/>
                      <w:right w:w="0" w:type="dxa"/>
                    </w:tblCellMar>
                    <w:tblLook w:val="04A0" w:firstRow="1" w:lastRow="0" w:firstColumn="1" w:lastColumn="0" w:noHBand="0" w:noVBand="1"/>
                  </w:tblPr>
                  <w:tblGrid>
                    <w:gridCol w:w="1203"/>
                    <w:gridCol w:w="69"/>
                    <w:gridCol w:w="2483"/>
                  </w:tblGrid>
                  <w:tr w:rsidR="008A3314" w:rsidRPr="00C011B2" w14:paraId="7E2BCB26" w14:textId="77777777" w:rsidTr="00824DB5">
                    <w:tc>
                      <w:tcPr>
                        <w:tcW w:w="1203" w:type="dxa"/>
                        <w:shd w:val="clear" w:color="auto" w:fill="auto"/>
                        <w:hideMark/>
                      </w:tcPr>
                      <w:p w14:paraId="74271F54" w14:textId="2BA78A0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05AD7C1" wp14:editId="269E8D82">
                              <wp:extent cx="762000" cy="381000"/>
                              <wp:effectExtent l="0" t="0" r="0" b="0"/>
                              <wp:docPr id="75" name="Picture 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tc>
                    <w:tc>
                      <w:tcPr>
                        <w:tcW w:w="69" w:type="dxa"/>
                        <w:shd w:val="clear" w:color="auto" w:fill="auto"/>
                        <w:hideMark/>
                      </w:tcPr>
                      <w:p w14:paraId="1BE9DBD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2483" w:type="dxa"/>
                        <w:shd w:val="clear" w:color="auto" w:fill="auto"/>
                        <w:hideMark/>
                      </w:tcPr>
                      <w:p w14:paraId="75A2B5F7" w14:textId="676012E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condiționate parțială care se calculează pentru toate </w:t>
                        </w:r>
                        <w:r w:rsidRPr="00C011B2">
                          <w:rPr>
                            <w:rFonts w:ascii="Times New Roman" w:hAnsi="Times New Roman" w:cs="Times New Roman"/>
                            <w:color w:val="000000" w:themeColor="text1"/>
                            <w:lang w:val="ro-MD"/>
                          </w:rPr>
                          <w:lastRenderedPageBreak/>
                          <w:t>pozițiile din portofoliu în conformitate cu articolul 325bc alineatul (4);</w:t>
                        </w:r>
                      </w:p>
                    </w:tc>
                  </w:tr>
                </w:tbl>
                <w:p w14:paraId="711D6BE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r>
          </w:tbl>
          <w:p w14:paraId="722D80D2"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463"/>
              <w:gridCol w:w="76"/>
              <w:gridCol w:w="3326"/>
            </w:tblGrid>
            <w:tr w:rsidR="008A3314" w:rsidRPr="00C011B2" w14:paraId="6B9F94FE" w14:textId="77777777" w:rsidTr="00031A08">
              <w:tc>
                <w:tcPr>
                  <w:tcW w:w="1463" w:type="dxa"/>
                  <w:shd w:val="clear" w:color="auto" w:fill="auto"/>
                  <w:hideMark/>
                </w:tcPr>
                <w:p w14:paraId="56B3FC9D" w14:textId="127DC2F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813E5AC" wp14:editId="7080A66E">
                        <wp:extent cx="850900" cy="393700"/>
                        <wp:effectExtent l="0" t="0" r="6350" b="6350"/>
                        <wp:docPr id="74" name="Picture 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tc>
              <w:tc>
                <w:tcPr>
                  <w:tcW w:w="76" w:type="dxa"/>
                  <w:shd w:val="clear" w:color="auto" w:fill="auto"/>
                  <w:hideMark/>
                </w:tcPr>
                <w:p w14:paraId="51EEE47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326" w:type="dxa"/>
                  <w:shd w:val="clear" w:color="auto" w:fill="auto"/>
                  <w:hideMark/>
                </w:tcPr>
                <w:p w14:paraId="54C02D8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parțială pentru categoria generală de factori de risc i care se calculează pentru toate pozițiile din portofoliu în conformitate cu articolul 325bc alineatul (2);</w:t>
                  </w:r>
                </w:p>
              </w:tc>
            </w:tr>
          </w:tbl>
          <w:p w14:paraId="6423C543"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321"/>
              <w:gridCol w:w="76"/>
              <w:gridCol w:w="3468"/>
            </w:tblGrid>
            <w:tr w:rsidR="008A3314" w:rsidRPr="00C011B2" w14:paraId="46C71465" w14:textId="77777777" w:rsidTr="00031A08">
              <w:tc>
                <w:tcPr>
                  <w:tcW w:w="1321" w:type="dxa"/>
                  <w:shd w:val="clear" w:color="auto" w:fill="auto"/>
                  <w:hideMark/>
                </w:tcPr>
                <w:p w14:paraId="4B53983F" w14:textId="5C205A9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E5EE5A1" wp14:editId="6ACD2C10">
                        <wp:extent cx="876300" cy="393700"/>
                        <wp:effectExtent l="0" t="0" r="0" b="6350"/>
                        <wp:docPr id="73" name="Picture 7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tc>
              <w:tc>
                <w:tcPr>
                  <w:tcW w:w="76" w:type="dxa"/>
                  <w:shd w:val="clear" w:color="auto" w:fill="auto"/>
                  <w:hideMark/>
                </w:tcPr>
                <w:p w14:paraId="61047AD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468" w:type="dxa"/>
                  <w:shd w:val="clear" w:color="auto" w:fill="auto"/>
                  <w:hideMark/>
                </w:tcPr>
                <w:p w14:paraId="03EA18D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parțială pentru categoria generală de factori de risc i care se calculează pentru toate pozițiile din portofoliu în conformitate cu articolul 325bc alineatul (3); și</w:t>
                  </w:r>
                </w:p>
              </w:tc>
            </w:tr>
          </w:tbl>
          <w:p w14:paraId="5E6633F1"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179"/>
              <w:gridCol w:w="76"/>
              <w:gridCol w:w="3610"/>
            </w:tblGrid>
            <w:tr w:rsidR="008A3314" w:rsidRPr="00C011B2" w14:paraId="11385FBE" w14:textId="77777777" w:rsidTr="00031A08">
              <w:tc>
                <w:tcPr>
                  <w:tcW w:w="1179" w:type="dxa"/>
                  <w:shd w:val="clear" w:color="auto" w:fill="auto"/>
                  <w:hideMark/>
                </w:tcPr>
                <w:p w14:paraId="11E388CF" w14:textId="6872ABA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99C2BC7" wp14:editId="0E6C367A">
                        <wp:extent cx="869950" cy="393700"/>
                        <wp:effectExtent l="0" t="0" r="6350" b="6350"/>
                        <wp:docPr id="72" name="Picture 7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tc>
              <w:tc>
                <w:tcPr>
                  <w:tcW w:w="76" w:type="dxa"/>
                  <w:shd w:val="clear" w:color="auto" w:fill="auto"/>
                  <w:hideMark/>
                </w:tcPr>
                <w:p w14:paraId="6104220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610" w:type="dxa"/>
                  <w:shd w:val="clear" w:color="auto" w:fill="auto"/>
                  <w:hideMark/>
                </w:tcPr>
                <w:p w14:paraId="769A1C3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parțială pentru categoria generală de factori de risc i care se calculează pentru toate pozițiile din portofoliu în conformitate cu articolul 325bc alineatul (4).</w:t>
                  </w:r>
                </w:p>
              </w:tc>
            </w:tr>
          </w:tbl>
          <w:p w14:paraId="1B0ED0B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709A495" w14:textId="76A64ED6" w:rsidR="008A3314" w:rsidRPr="00C011B2" w:rsidRDefault="00406E9A" w:rsidP="008A3314">
            <w:pPr>
              <w:spacing w:after="0" w:line="276" w:lineRule="auto"/>
              <w:jc w:val="both"/>
              <w:rPr>
                <w:rFonts w:ascii="Times New Roman" w:hAnsi="Times New Roman" w:cs="Times New Roman"/>
                <w:color w:val="000000" w:themeColor="text1"/>
                <w:lang w:val="ro-MD"/>
              </w:rPr>
            </w:pPr>
            <w:bookmarkStart w:id="343" w:name="_Hlk223539885"/>
            <w:r w:rsidRPr="00C011B2">
              <w:rPr>
                <w:rFonts w:ascii="Times New Roman" w:hAnsi="Times New Roman" w:cs="Times New Roman"/>
                <w:color w:val="000000" w:themeColor="text1"/>
                <w:lang w:val="ro-MD"/>
              </w:rPr>
              <w:lastRenderedPageBreak/>
              <w:t>344.</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calculează măsura valorii la risc condiționate menționată la </w:t>
            </w:r>
            <w:r w:rsidRPr="00C011B2">
              <w:rPr>
                <w:rFonts w:ascii="Times New Roman" w:hAnsi="Times New Roman" w:cs="Times New Roman"/>
                <w:color w:val="000000" w:themeColor="text1"/>
                <w:lang w:val="ro-MD"/>
              </w:rPr>
              <w:t>subpct.339.1</w:t>
            </w:r>
            <w:r w:rsidR="008A3314" w:rsidRPr="00C011B2">
              <w:rPr>
                <w:rFonts w:ascii="Times New Roman" w:hAnsi="Times New Roman" w:cs="Times New Roman"/>
                <w:color w:val="000000" w:themeColor="text1"/>
                <w:lang w:val="ro-MD"/>
              </w:rPr>
              <w:t xml:space="preserve"> pentru orice dată „t” și orice portofoliu de poziții din portofoliul de tranzacționare și </w:t>
            </w:r>
            <w:r w:rsidR="008A3314" w:rsidRPr="00C011B2">
              <w:rPr>
                <w:rFonts w:ascii="Times New Roman" w:hAnsi="Times New Roman" w:cs="Times New Roman"/>
                <w:color w:val="000000" w:themeColor="text1"/>
                <w:lang w:val="ro-MD"/>
              </w:rPr>
              <w:lastRenderedPageBreak/>
              <w:t>poziții din afara portofoliului de tranzacționare care prezintă un risc valutar sau un risc de marfă după cum urmează:</w:t>
            </w:r>
          </w:p>
          <w:p w14:paraId="5D2DFCB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82E887E" wp14:editId="7C36F3F4">
                  <wp:extent cx="3055620" cy="481330"/>
                  <wp:effectExtent l="0" t="0" r="0" b="0"/>
                  <wp:docPr id="175" name="Picture 17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55620" cy="481330"/>
                          </a:xfrm>
                          <a:prstGeom prst="rect">
                            <a:avLst/>
                          </a:prstGeom>
                          <a:noFill/>
                          <a:ln>
                            <a:noFill/>
                          </a:ln>
                        </pic:spPr>
                      </pic:pic>
                    </a:graphicData>
                  </a:graphic>
                </wp:inline>
              </w:drawing>
            </w:r>
          </w:p>
          <w:p w14:paraId="4844F2F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918" w:type="dxa"/>
              <w:tblLayout w:type="fixed"/>
              <w:tblCellMar>
                <w:left w:w="0" w:type="dxa"/>
                <w:right w:w="0" w:type="dxa"/>
              </w:tblCellMar>
              <w:tblLook w:val="04A0" w:firstRow="1" w:lastRow="0" w:firstColumn="1" w:lastColumn="0" w:noHBand="0" w:noVBand="1"/>
            </w:tblPr>
            <w:tblGrid>
              <w:gridCol w:w="470"/>
              <w:gridCol w:w="170"/>
              <w:gridCol w:w="4278"/>
            </w:tblGrid>
            <w:tr w:rsidR="008A3314" w:rsidRPr="00C011B2" w14:paraId="3E51CE87" w14:textId="77777777" w:rsidTr="001E785F">
              <w:tc>
                <w:tcPr>
                  <w:tcW w:w="470" w:type="dxa"/>
                  <w:shd w:val="clear" w:color="auto" w:fill="auto"/>
                  <w:hideMark/>
                </w:tcPr>
                <w:p w14:paraId="182AAD1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ES</w:t>
                  </w:r>
                  <w:r w:rsidRPr="00C011B2">
                    <w:rPr>
                      <w:rFonts w:ascii="Times New Roman" w:hAnsi="Times New Roman" w:cs="Times New Roman"/>
                      <w:color w:val="000000" w:themeColor="text1"/>
                      <w:vertAlign w:val="subscript"/>
                      <w:lang w:val="ro-MD"/>
                    </w:rPr>
                    <w:t>t</w:t>
                  </w:r>
                </w:p>
              </w:tc>
              <w:tc>
                <w:tcPr>
                  <w:tcW w:w="170" w:type="dxa"/>
                  <w:shd w:val="clear" w:color="auto" w:fill="auto"/>
                  <w:hideMark/>
                </w:tcPr>
                <w:p w14:paraId="383E919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78" w:type="dxa"/>
                  <w:shd w:val="clear" w:color="auto" w:fill="auto"/>
                  <w:hideMark/>
                </w:tcPr>
                <w:p w14:paraId="5363FF9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w:t>
                  </w:r>
                </w:p>
              </w:tc>
            </w:tr>
          </w:tbl>
          <w:p w14:paraId="636CD62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5"/>
              <w:gridCol w:w="79"/>
              <w:gridCol w:w="4987"/>
            </w:tblGrid>
            <w:tr w:rsidR="008A3314" w:rsidRPr="00C011B2" w14:paraId="6FF7F5FE" w14:textId="77777777" w:rsidTr="001E785F">
              <w:tc>
                <w:tcPr>
                  <w:tcW w:w="67" w:type="dxa"/>
                  <w:shd w:val="clear" w:color="auto" w:fill="auto"/>
                  <w:hideMark/>
                </w:tcPr>
                <w:p w14:paraId="615F759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w:t>
                  </w:r>
                </w:p>
              </w:tc>
              <w:tc>
                <w:tcPr>
                  <w:tcW w:w="133" w:type="dxa"/>
                  <w:shd w:val="clear" w:color="auto" w:fill="auto"/>
                  <w:hideMark/>
                </w:tcPr>
                <w:p w14:paraId="262F3E9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489" w:type="dxa"/>
                  <w:shd w:val="clear" w:color="auto" w:fill="auto"/>
                  <w:hideMark/>
                </w:tcPr>
                <w:p w14:paraId="7D8199D8" w14:textId="4C200D9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indicele care desemnează cele cinci categorii generale de factori de risc enumerate în tabelul 2 prima coloană de la </w:t>
                  </w:r>
                  <w:r w:rsidR="00EC135A" w:rsidRPr="00C011B2">
                    <w:rPr>
                      <w:rFonts w:ascii="Times New Roman" w:hAnsi="Times New Roman" w:cs="Times New Roman"/>
                      <w:color w:val="000000" w:themeColor="text1"/>
                      <w:lang w:val="ro-MD"/>
                    </w:rPr>
                    <w:t>subsecțiunea 3</w:t>
                  </w:r>
                  <w:r w:rsidRPr="00C011B2">
                    <w:rPr>
                      <w:rFonts w:ascii="Times New Roman" w:hAnsi="Times New Roman" w:cs="Times New Roman"/>
                      <w:color w:val="000000" w:themeColor="text1"/>
                      <w:lang w:val="ro-MD"/>
                    </w:rPr>
                    <w:t>;</w:t>
                  </w:r>
                </w:p>
              </w:tc>
            </w:tr>
          </w:tbl>
          <w:p w14:paraId="16A4FB4D"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470"/>
              <w:gridCol w:w="82"/>
              <w:gridCol w:w="4171"/>
            </w:tblGrid>
            <w:tr w:rsidR="008A3314" w:rsidRPr="00C011B2" w14:paraId="38523603" w14:textId="77777777" w:rsidTr="001E785F">
              <w:tc>
                <w:tcPr>
                  <w:tcW w:w="470" w:type="dxa"/>
                  <w:shd w:val="clear" w:color="auto" w:fill="auto"/>
                  <w:hideMark/>
                </w:tcPr>
                <w:p w14:paraId="52496D5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UES</w:t>
                  </w:r>
                  <w:r w:rsidRPr="00C011B2">
                    <w:rPr>
                      <w:rFonts w:ascii="Times New Roman" w:hAnsi="Times New Roman" w:cs="Times New Roman"/>
                      <w:color w:val="000000" w:themeColor="text1"/>
                      <w:vertAlign w:val="subscript"/>
                      <w:lang w:val="ro-MD"/>
                    </w:rPr>
                    <w:t>t</w:t>
                  </w:r>
                </w:p>
              </w:tc>
              <w:tc>
                <w:tcPr>
                  <w:tcW w:w="82" w:type="dxa"/>
                  <w:shd w:val="clear" w:color="auto" w:fill="auto"/>
                  <w:hideMark/>
                </w:tcPr>
                <w:p w14:paraId="65F4C7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71" w:type="dxa"/>
                  <w:shd w:val="clear" w:color="auto" w:fill="auto"/>
                  <w:hideMark/>
                </w:tcPr>
                <w:p w14:paraId="7AA590D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nerestricționată, calculată după cum urmează:</w:t>
                  </w:r>
                </w:p>
                <w:p w14:paraId="3CB2F4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339E1F5" wp14:editId="3E9E59D5">
                        <wp:extent cx="3055620" cy="681990"/>
                        <wp:effectExtent l="0" t="0" r="0" b="3810"/>
                        <wp:docPr id="176" name="Picture 1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55620" cy="681990"/>
                                </a:xfrm>
                                <a:prstGeom prst="rect">
                                  <a:avLst/>
                                </a:prstGeom>
                                <a:noFill/>
                                <a:ln>
                                  <a:noFill/>
                                </a:ln>
                              </pic:spPr>
                            </pic:pic>
                          </a:graphicData>
                        </a:graphic>
                      </wp:inline>
                    </w:drawing>
                  </w:r>
                </w:p>
              </w:tc>
            </w:tr>
          </w:tbl>
          <w:p w14:paraId="44EEF259"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037"/>
              <w:gridCol w:w="76"/>
              <w:gridCol w:w="3752"/>
            </w:tblGrid>
            <w:tr w:rsidR="008A3314" w:rsidRPr="00C011B2" w14:paraId="750BD659" w14:textId="77777777" w:rsidTr="001E785F">
              <w:tc>
                <w:tcPr>
                  <w:tcW w:w="1037" w:type="dxa"/>
                  <w:shd w:val="clear" w:color="auto" w:fill="auto"/>
                  <w:hideMark/>
                </w:tcPr>
                <w:p w14:paraId="1DD4115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BE91472" wp14:editId="17C251FA">
                        <wp:extent cx="603250" cy="381000"/>
                        <wp:effectExtent l="0" t="0" r="6350" b="0"/>
                        <wp:docPr id="177" name="Picture 1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tc>
              <w:tc>
                <w:tcPr>
                  <w:tcW w:w="76" w:type="dxa"/>
                  <w:shd w:val="clear" w:color="auto" w:fill="auto"/>
                  <w:hideMark/>
                </w:tcPr>
                <w:p w14:paraId="6BA9AAE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752" w:type="dxa"/>
                  <w:shd w:val="clear" w:color="auto" w:fill="auto"/>
                  <w:hideMark/>
                </w:tcPr>
                <w:p w14:paraId="670EC65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nerestricționată pentru categoria generală de factori de risc i, calculată după cum urmează:</w:t>
                  </w:r>
                </w:p>
                <w:p w14:paraId="3CDB269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4CFA144" wp14:editId="7C6A5F14">
                        <wp:extent cx="3055620" cy="645795"/>
                        <wp:effectExtent l="0" t="0" r="0" b="1905"/>
                        <wp:docPr id="178" name="Picture 1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055620" cy="645795"/>
                                </a:xfrm>
                                <a:prstGeom prst="rect">
                                  <a:avLst/>
                                </a:prstGeom>
                                <a:noFill/>
                                <a:ln>
                                  <a:noFill/>
                                </a:ln>
                              </pic:spPr>
                            </pic:pic>
                          </a:graphicData>
                        </a:graphic>
                      </wp:inline>
                    </w:drawing>
                  </w:r>
                </w:p>
                <w:tbl>
                  <w:tblPr>
                    <w:tblW w:w="3613" w:type="dxa"/>
                    <w:tblLayout w:type="fixed"/>
                    <w:tblCellMar>
                      <w:left w:w="0" w:type="dxa"/>
                      <w:right w:w="0" w:type="dxa"/>
                    </w:tblCellMar>
                    <w:tblLook w:val="04A0" w:firstRow="1" w:lastRow="0" w:firstColumn="1" w:lastColumn="0" w:noHBand="0" w:noVBand="1"/>
                  </w:tblPr>
                  <w:tblGrid>
                    <w:gridCol w:w="353"/>
                    <w:gridCol w:w="76"/>
                    <w:gridCol w:w="3184"/>
                  </w:tblGrid>
                  <w:tr w:rsidR="008A3314" w:rsidRPr="00C011B2" w14:paraId="4FD10975" w14:textId="77777777" w:rsidTr="001E785F">
                    <w:tc>
                      <w:tcPr>
                        <w:tcW w:w="353" w:type="dxa"/>
                        <w:shd w:val="clear" w:color="auto" w:fill="auto"/>
                        <w:hideMark/>
                      </w:tcPr>
                      <w:p w14:paraId="3E64FAF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ρ</w:t>
                        </w:r>
                      </w:p>
                    </w:tc>
                    <w:tc>
                      <w:tcPr>
                        <w:tcW w:w="76" w:type="dxa"/>
                        <w:shd w:val="clear" w:color="auto" w:fill="auto"/>
                        <w:hideMark/>
                      </w:tcPr>
                      <w:p w14:paraId="42FC12A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184" w:type="dxa"/>
                        <w:shd w:val="clear" w:color="auto" w:fill="auto"/>
                        <w:hideMark/>
                      </w:tcPr>
                      <w:p w14:paraId="5B651485" w14:textId="04B656B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factorul de corelare impus de </w:t>
                        </w:r>
                        <w:r w:rsidR="00EC135A" w:rsidRPr="00C011B2">
                          <w:rPr>
                            <w:rFonts w:ascii="Times New Roman" w:hAnsi="Times New Roman" w:cs="Times New Roman"/>
                            <w:color w:val="000000" w:themeColor="text1"/>
                            <w:lang w:val="ro-MD"/>
                          </w:rPr>
                          <w:t>BNM</w:t>
                        </w:r>
                        <w:r w:rsidRPr="00C011B2">
                          <w:rPr>
                            <w:rFonts w:ascii="Times New Roman" w:hAnsi="Times New Roman" w:cs="Times New Roman"/>
                            <w:color w:val="000000" w:themeColor="text1"/>
                            <w:lang w:val="ro-MD"/>
                          </w:rPr>
                          <w:t xml:space="preserve"> pentru toate categoriile generale de risc; ρ = 50 %;</w:t>
                        </w:r>
                      </w:p>
                    </w:tc>
                  </w:tr>
                </w:tbl>
                <w:p w14:paraId="2164B0DC"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3755" w:type="dxa"/>
                    <w:tblLayout w:type="fixed"/>
                    <w:tblCellMar>
                      <w:left w:w="0" w:type="dxa"/>
                      <w:right w:w="0" w:type="dxa"/>
                    </w:tblCellMar>
                    <w:tblLook w:val="04A0" w:firstRow="1" w:lastRow="0" w:firstColumn="1" w:lastColumn="0" w:noHBand="0" w:noVBand="1"/>
                  </w:tblPr>
                  <w:tblGrid>
                    <w:gridCol w:w="1203"/>
                    <w:gridCol w:w="73"/>
                    <w:gridCol w:w="2479"/>
                  </w:tblGrid>
                  <w:tr w:rsidR="008A3314" w:rsidRPr="00C011B2" w14:paraId="03A02D68" w14:textId="77777777" w:rsidTr="00F262EC">
                    <w:tc>
                      <w:tcPr>
                        <w:tcW w:w="1203" w:type="dxa"/>
                        <w:shd w:val="clear" w:color="auto" w:fill="auto"/>
                        <w:hideMark/>
                      </w:tcPr>
                      <w:p w14:paraId="2EE1BC3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7CE7702" wp14:editId="66B83B33">
                              <wp:extent cx="755650" cy="381000"/>
                              <wp:effectExtent l="0" t="0" r="6350" b="0"/>
                              <wp:docPr id="179" name="Picture 1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tc>
                    <w:tc>
                      <w:tcPr>
                        <w:tcW w:w="73" w:type="dxa"/>
                        <w:shd w:val="clear" w:color="auto" w:fill="auto"/>
                        <w:hideMark/>
                      </w:tcPr>
                      <w:p w14:paraId="24FE711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2479" w:type="dxa"/>
                        <w:shd w:val="clear" w:color="auto" w:fill="auto"/>
                        <w:hideMark/>
                      </w:tcPr>
                      <w:p w14:paraId="50450A12" w14:textId="42B971B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condiționate parțială care se calculează pentru toate pozițiile din portofoliu în conformitate cu</w:t>
                        </w:r>
                        <w:r w:rsidR="00A34689" w:rsidRPr="00C011B2">
                          <w:rPr>
                            <w:rFonts w:ascii="Times New Roman" w:hAnsi="Times New Roman" w:cs="Times New Roman"/>
                            <w:color w:val="000000" w:themeColor="text1"/>
                            <w:lang w:val="ro-MD"/>
                          </w:rPr>
                          <w:t xml:space="preserve"> </w:t>
                        </w:r>
                        <w:r w:rsidR="00AF7B8C" w:rsidRPr="00C011B2">
                          <w:rPr>
                            <w:rFonts w:ascii="Times New Roman" w:hAnsi="Times New Roman" w:cs="Times New Roman"/>
                            <w:color w:val="000000" w:themeColor="text1"/>
                            <w:lang w:val="ro-MD"/>
                          </w:rPr>
                          <w:t>pct.349</w:t>
                        </w:r>
                        <w:r w:rsidRPr="00C011B2">
                          <w:rPr>
                            <w:rFonts w:ascii="Times New Roman" w:hAnsi="Times New Roman" w:cs="Times New Roman"/>
                            <w:color w:val="000000" w:themeColor="text1"/>
                            <w:lang w:val="ro-MD"/>
                          </w:rPr>
                          <w:t>;</w:t>
                        </w:r>
                      </w:p>
                    </w:tc>
                  </w:tr>
                </w:tbl>
                <w:p w14:paraId="32FAB298"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3755" w:type="dxa"/>
                    <w:tblLayout w:type="fixed"/>
                    <w:tblCellMar>
                      <w:left w:w="0" w:type="dxa"/>
                      <w:right w:w="0" w:type="dxa"/>
                    </w:tblCellMar>
                    <w:tblLook w:val="04A0" w:firstRow="1" w:lastRow="0" w:firstColumn="1" w:lastColumn="0" w:noHBand="0" w:noVBand="1"/>
                  </w:tblPr>
                  <w:tblGrid>
                    <w:gridCol w:w="1203"/>
                    <w:gridCol w:w="69"/>
                    <w:gridCol w:w="2483"/>
                  </w:tblGrid>
                  <w:tr w:rsidR="008A3314" w:rsidRPr="00C011B2" w14:paraId="5472BB05" w14:textId="77777777" w:rsidTr="001E785F">
                    <w:tc>
                      <w:tcPr>
                        <w:tcW w:w="1203" w:type="dxa"/>
                        <w:shd w:val="clear" w:color="auto" w:fill="auto"/>
                        <w:hideMark/>
                      </w:tcPr>
                      <w:p w14:paraId="56A2337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4C40B90" wp14:editId="2FFC6CB4">
                              <wp:extent cx="774700" cy="381000"/>
                              <wp:effectExtent l="0" t="0" r="6350" b="0"/>
                              <wp:docPr id="180" name="Picture 18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tc>
                    <w:tc>
                      <w:tcPr>
                        <w:tcW w:w="69" w:type="dxa"/>
                        <w:shd w:val="clear" w:color="auto" w:fill="auto"/>
                        <w:hideMark/>
                      </w:tcPr>
                      <w:p w14:paraId="279CD8D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2483" w:type="dxa"/>
                        <w:shd w:val="clear" w:color="auto" w:fill="auto"/>
                        <w:hideMark/>
                      </w:tcPr>
                      <w:p w14:paraId="47384318" w14:textId="434EB89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condiționate parțială care se calculează pentru toate pozițiile din portofoliu în conformitate cu </w:t>
                        </w:r>
                        <w:r w:rsidR="00AF7B8C" w:rsidRPr="00C011B2">
                          <w:rPr>
                            <w:rFonts w:ascii="Times New Roman" w:hAnsi="Times New Roman" w:cs="Times New Roman"/>
                            <w:color w:val="000000" w:themeColor="text1"/>
                            <w:lang w:val="ro-MD"/>
                          </w:rPr>
                          <w:t>pct.350</w:t>
                        </w:r>
                        <w:r w:rsidRPr="00C011B2">
                          <w:rPr>
                            <w:rFonts w:ascii="Times New Roman" w:hAnsi="Times New Roman" w:cs="Times New Roman"/>
                            <w:color w:val="000000" w:themeColor="text1"/>
                            <w:lang w:val="ro-MD"/>
                          </w:rPr>
                          <w:t>;</w:t>
                        </w:r>
                      </w:p>
                    </w:tc>
                  </w:tr>
                </w:tbl>
                <w:p w14:paraId="507D9DB6"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3755" w:type="dxa"/>
                    <w:tblLayout w:type="fixed"/>
                    <w:tblCellMar>
                      <w:left w:w="0" w:type="dxa"/>
                      <w:right w:w="0" w:type="dxa"/>
                    </w:tblCellMar>
                    <w:tblLook w:val="04A0" w:firstRow="1" w:lastRow="0" w:firstColumn="1" w:lastColumn="0" w:noHBand="0" w:noVBand="1"/>
                  </w:tblPr>
                  <w:tblGrid>
                    <w:gridCol w:w="1203"/>
                    <w:gridCol w:w="69"/>
                    <w:gridCol w:w="2483"/>
                  </w:tblGrid>
                  <w:tr w:rsidR="008A3314" w:rsidRPr="00C011B2" w14:paraId="485E9E5C" w14:textId="77777777" w:rsidTr="001E785F">
                    <w:tc>
                      <w:tcPr>
                        <w:tcW w:w="1203" w:type="dxa"/>
                        <w:shd w:val="clear" w:color="auto" w:fill="auto"/>
                        <w:hideMark/>
                      </w:tcPr>
                      <w:p w14:paraId="7E18225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1E3039F" wp14:editId="7D0E9026">
                              <wp:extent cx="762000" cy="381000"/>
                              <wp:effectExtent l="0" t="0" r="0" b="0"/>
                              <wp:docPr id="181" name="Picture 1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tc>
                    <w:tc>
                      <w:tcPr>
                        <w:tcW w:w="69" w:type="dxa"/>
                        <w:shd w:val="clear" w:color="auto" w:fill="auto"/>
                        <w:hideMark/>
                      </w:tcPr>
                      <w:p w14:paraId="7EEB1C0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2483" w:type="dxa"/>
                        <w:shd w:val="clear" w:color="auto" w:fill="auto"/>
                        <w:hideMark/>
                      </w:tcPr>
                      <w:p w14:paraId="1CA03003" w14:textId="3E0B9CC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condiționate parțială care se calculează pentru toate pozițiile din portofoliu în conformitate cu </w:t>
                        </w:r>
                        <w:r w:rsidR="00AF7B8C" w:rsidRPr="00C011B2">
                          <w:rPr>
                            <w:rFonts w:ascii="Times New Roman" w:hAnsi="Times New Roman" w:cs="Times New Roman"/>
                            <w:color w:val="000000" w:themeColor="text1"/>
                            <w:lang w:val="ro-MD"/>
                          </w:rPr>
                          <w:t>pct.351</w:t>
                        </w:r>
                        <w:r w:rsidRPr="00C011B2">
                          <w:rPr>
                            <w:rFonts w:ascii="Times New Roman" w:hAnsi="Times New Roman" w:cs="Times New Roman"/>
                            <w:color w:val="000000" w:themeColor="text1"/>
                            <w:lang w:val="ro-MD"/>
                          </w:rPr>
                          <w:t>;</w:t>
                        </w:r>
                      </w:p>
                    </w:tc>
                  </w:tr>
                </w:tbl>
                <w:p w14:paraId="70EDFC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r>
          </w:tbl>
          <w:p w14:paraId="622B0998"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463"/>
              <w:gridCol w:w="76"/>
              <w:gridCol w:w="3326"/>
            </w:tblGrid>
            <w:tr w:rsidR="008A3314" w:rsidRPr="00C011B2" w14:paraId="03F4ADE1" w14:textId="77777777" w:rsidTr="001E785F">
              <w:tc>
                <w:tcPr>
                  <w:tcW w:w="1463" w:type="dxa"/>
                  <w:shd w:val="clear" w:color="auto" w:fill="auto"/>
                  <w:hideMark/>
                </w:tcPr>
                <w:p w14:paraId="281BF06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2BCF426" wp14:editId="15EF2768">
                        <wp:extent cx="850900" cy="393700"/>
                        <wp:effectExtent l="0" t="0" r="6350" b="6350"/>
                        <wp:docPr id="182" name="Picture 1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tc>
              <w:tc>
                <w:tcPr>
                  <w:tcW w:w="76" w:type="dxa"/>
                  <w:shd w:val="clear" w:color="auto" w:fill="auto"/>
                  <w:hideMark/>
                </w:tcPr>
                <w:p w14:paraId="52E24D4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326" w:type="dxa"/>
                  <w:shd w:val="clear" w:color="auto" w:fill="auto"/>
                  <w:hideMark/>
                </w:tcPr>
                <w:p w14:paraId="4EBB5690" w14:textId="5E8A025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condiționate parțială pentru categoria generală de factori de risc i care se calculează pentru toate pozițiile din portofoliu în conformitate cu </w:t>
                  </w:r>
                  <w:r w:rsidR="00AF7B8C" w:rsidRPr="00C011B2">
                    <w:rPr>
                      <w:rFonts w:ascii="Times New Roman" w:hAnsi="Times New Roman" w:cs="Times New Roman"/>
                      <w:color w:val="000000" w:themeColor="text1"/>
                      <w:lang w:val="ro-MD"/>
                    </w:rPr>
                    <w:t>pct.349</w:t>
                  </w:r>
                  <w:r w:rsidRPr="00C011B2">
                    <w:rPr>
                      <w:rFonts w:ascii="Times New Roman" w:hAnsi="Times New Roman" w:cs="Times New Roman"/>
                      <w:color w:val="000000" w:themeColor="text1"/>
                      <w:lang w:val="ro-MD"/>
                    </w:rPr>
                    <w:t>;</w:t>
                  </w:r>
                </w:p>
              </w:tc>
            </w:tr>
          </w:tbl>
          <w:p w14:paraId="5CBF42DD"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321"/>
              <w:gridCol w:w="76"/>
              <w:gridCol w:w="3468"/>
            </w:tblGrid>
            <w:tr w:rsidR="008A3314" w:rsidRPr="00C011B2" w14:paraId="1FFDFBF6" w14:textId="77777777" w:rsidTr="001E785F">
              <w:tc>
                <w:tcPr>
                  <w:tcW w:w="1321" w:type="dxa"/>
                  <w:shd w:val="clear" w:color="auto" w:fill="auto"/>
                  <w:hideMark/>
                </w:tcPr>
                <w:p w14:paraId="307505F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2C76CD8" wp14:editId="07A74675">
                        <wp:extent cx="876300" cy="393700"/>
                        <wp:effectExtent l="0" t="0" r="0" b="6350"/>
                        <wp:docPr id="183" name="Picture 1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tc>
              <w:tc>
                <w:tcPr>
                  <w:tcW w:w="76" w:type="dxa"/>
                  <w:shd w:val="clear" w:color="auto" w:fill="auto"/>
                  <w:hideMark/>
                </w:tcPr>
                <w:p w14:paraId="1473450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468" w:type="dxa"/>
                  <w:shd w:val="clear" w:color="auto" w:fill="auto"/>
                  <w:hideMark/>
                </w:tcPr>
                <w:p w14:paraId="252BE507" w14:textId="6F88961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condiționate parțială pentru categoria generală de </w:t>
                  </w:r>
                  <w:r w:rsidRPr="00C011B2">
                    <w:rPr>
                      <w:rFonts w:ascii="Times New Roman" w:hAnsi="Times New Roman" w:cs="Times New Roman"/>
                      <w:color w:val="000000" w:themeColor="text1"/>
                      <w:lang w:val="ro-MD"/>
                    </w:rPr>
                    <w:lastRenderedPageBreak/>
                    <w:t xml:space="preserve">factori de risc i care se calculează pentru toate pozițiile din portofoliu în conformitate cu </w:t>
                  </w:r>
                  <w:r w:rsidR="00AF7B8C" w:rsidRPr="00C011B2">
                    <w:rPr>
                      <w:rFonts w:ascii="Times New Roman" w:hAnsi="Times New Roman" w:cs="Times New Roman"/>
                      <w:color w:val="000000" w:themeColor="text1"/>
                      <w:lang w:val="ro-MD"/>
                    </w:rPr>
                    <w:t>pct.350</w:t>
                  </w:r>
                  <w:r w:rsidRPr="00C011B2">
                    <w:rPr>
                      <w:rFonts w:ascii="Times New Roman" w:hAnsi="Times New Roman" w:cs="Times New Roman"/>
                      <w:color w:val="000000" w:themeColor="text1"/>
                      <w:lang w:val="ro-MD"/>
                    </w:rPr>
                    <w:t>; și</w:t>
                  </w:r>
                </w:p>
              </w:tc>
            </w:tr>
          </w:tbl>
          <w:p w14:paraId="6DB7CB9B"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179"/>
              <w:gridCol w:w="76"/>
              <w:gridCol w:w="3610"/>
            </w:tblGrid>
            <w:tr w:rsidR="008A3314" w:rsidRPr="00C011B2" w14:paraId="477254DD" w14:textId="77777777" w:rsidTr="001E785F">
              <w:tc>
                <w:tcPr>
                  <w:tcW w:w="1179" w:type="dxa"/>
                  <w:shd w:val="clear" w:color="auto" w:fill="auto"/>
                  <w:hideMark/>
                </w:tcPr>
                <w:p w14:paraId="3F0ADED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7469B85" wp14:editId="2AC90CD1">
                        <wp:extent cx="869950" cy="393700"/>
                        <wp:effectExtent l="0" t="0" r="6350" b="6350"/>
                        <wp:docPr id="184" name="Picture 1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tc>
              <w:tc>
                <w:tcPr>
                  <w:tcW w:w="76" w:type="dxa"/>
                  <w:shd w:val="clear" w:color="auto" w:fill="auto"/>
                  <w:hideMark/>
                </w:tcPr>
                <w:p w14:paraId="1F13966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610" w:type="dxa"/>
                  <w:shd w:val="clear" w:color="auto" w:fill="auto"/>
                  <w:hideMark/>
                </w:tcPr>
                <w:p w14:paraId="4D7CCA86" w14:textId="65F33CC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condiționate parțială pentru categoria generală de factori de risc i care se calculează pentru toate pozițiile din portofoliu în conformitate cu </w:t>
                  </w:r>
                  <w:r w:rsidR="00AF7B8C" w:rsidRPr="00C011B2">
                    <w:rPr>
                      <w:rFonts w:ascii="Times New Roman" w:hAnsi="Times New Roman" w:cs="Times New Roman"/>
                      <w:color w:val="000000" w:themeColor="text1"/>
                      <w:lang w:val="ro-MD"/>
                    </w:rPr>
                    <w:t>pct.351</w:t>
                  </w:r>
                  <w:r w:rsidRPr="00C011B2">
                    <w:rPr>
                      <w:rFonts w:ascii="Times New Roman" w:hAnsi="Times New Roman" w:cs="Times New Roman"/>
                      <w:color w:val="000000" w:themeColor="text1"/>
                      <w:lang w:val="ro-MD"/>
                    </w:rPr>
                    <w:t>.</w:t>
                  </w:r>
                </w:p>
              </w:tc>
            </w:tr>
            <w:bookmarkEnd w:id="343"/>
          </w:tbl>
          <w:p w14:paraId="226A3A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6041CD54" w14:textId="0928B6BC" w:rsidR="008A3314" w:rsidRPr="00C011B2" w:rsidRDefault="0040307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76EE9B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7A85B0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13A185" w14:textId="79E991D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(2)   Instituțiile aplică doar scenarii ale unor șocuri viitoare setului specific de factori de risc modelabili aplicabil fiecărei valori la risc condiționată parțială, </w:t>
            </w:r>
            <w:r w:rsidRPr="00C011B2">
              <w:rPr>
                <w:rFonts w:ascii="Times New Roman" w:hAnsi="Times New Roman" w:cs="Times New Roman"/>
                <w:color w:val="000000" w:themeColor="text1"/>
                <w:lang w:val="ro-MD"/>
              </w:rPr>
              <w:lastRenderedPageBreak/>
              <w:t>astfel cum se prevede la articolul 325bc, atunci când determină valoarea fiecărui deficit preconizat parțial pentru calcularea măsurii valorii la risc condiționate în conformitate cu alineatul (1).</w:t>
            </w:r>
          </w:p>
        </w:tc>
        <w:tc>
          <w:tcPr>
            <w:tcW w:w="1692" w:type="pct"/>
            <w:shd w:val="clear" w:color="auto" w:fill="auto"/>
          </w:tcPr>
          <w:p w14:paraId="2C28357F" w14:textId="30CBD2B7" w:rsidR="008A3314" w:rsidRPr="00C011B2" w:rsidRDefault="00EC135A" w:rsidP="008A3314">
            <w:pPr>
              <w:spacing w:after="0" w:line="276" w:lineRule="auto"/>
              <w:jc w:val="both"/>
              <w:rPr>
                <w:rFonts w:ascii="Times New Roman" w:hAnsi="Times New Roman" w:cs="Times New Roman"/>
                <w:color w:val="000000" w:themeColor="text1"/>
                <w:lang w:val="ro-MD"/>
              </w:rPr>
            </w:pPr>
            <w:bookmarkStart w:id="344" w:name="_Hlk223540154"/>
            <w:r w:rsidRPr="00C011B2">
              <w:rPr>
                <w:rFonts w:ascii="Times New Roman" w:hAnsi="Times New Roman" w:cs="Times New Roman"/>
                <w:color w:val="000000" w:themeColor="text1"/>
                <w:lang w:val="ro-MD"/>
              </w:rPr>
              <w:lastRenderedPageBreak/>
              <w:t>345.</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aplică doar scenarii ale unor șocuri viitoare setului specific de factori de risc modelabili aplicabil fiecărei valori la risc condiționată parțială, astfel cum se </w:t>
            </w:r>
            <w:r w:rsidR="008A3314" w:rsidRPr="00C011B2">
              <w:rPr>
                <w:rFonts w:ascii="Times New Roman" w:hAnsi="Times New Roman" w:cs="Times New Roman"/>
                <w:color w:val="000000" w:themeColor="text1"/>
                <w:lang w:val="ro-MD"/>
              </w:rPr>
              <w:lastRenderedPageBreak/>
              <w:t xml:space="preserve">prevede la </w:t>
            </w:r>
            <w:r w:rsidRPr="00C011B2">
              <w:rPr>
                <w:rFonts w:ascii="Times New Roman" w:hAnsi="Times New Roman" w:cs="Times New Roman"/>
                <w:color w:val="000000" w:themeColor="text1"/>
                <w:lang w:val="ro-MD"/>
              </w:rPr>
              <w:t>subsecțiunea 2</w:t>
            </w:r>
            <w:r w:rsidR="008A3314" w:rsidRPr="00C011B2">
              <w:rPr>
                <w:rFonts w:ascii="Times New Roman" w:hAnsi="Times New Roman" w:cs="Times New Roman"/>
                <w:color w:val="000000" w:themeColor="text1"/>
                <w:lang w:val="ro-MD"/>
              </w:rPr>
              <w:t xml:space="preserve">, atunci când determină valoarea fiecărui deficit preconizat parțial pentru calcularea măsurii valorii la risc condiționate în conformitate cu </w:t>
            </w:r>
            <w:r w:rsidRPr="00C011B2">
              <w:rPr>
                <w:rFonts w:ascii="Times New Roman" w:hAnsi="Times New Roman" w:cs="Times New Roman"/>
                <w:color w:val="000000" w:themeColor="text1"/>
                <w:lang w:val="ro-MD"/>
              </w:rPr>
              <w:t>pct.344</w:t>
            </w:r>
            <w:r w:rsidR="008A3314" w:rsidRPr="00C011B2">
              <w:rPr>
                <w:rFonts w:ascii="Times New Roman" w:hAnsi="Times New Roman" w:cs="Times New Roman"/>
                <w:color w:val="000000" w:themeColor="text1"/>
                <w:lang w:val="ro-MD"/>
              </w:rPr>
              <w:t>.</w:t>
            </w:r>
            <w:bookmarkEnd w:id="344"/>
          </w:p>
        </w:tc>
        <w:tc>
          <w:tcPr>
            <w:tcW w:w="450" w:type="pct"/>
          </w:tcPr>
          <w:p w14:paraId="1D991C3C" w14:textId="39FA02F8" w:rsidR="008A3314" w:rsidRPr="00C011B2" w:rsidRDefault="008319EA"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5DCEE2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235769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C5C12A" w14:textId="53DD0B8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în care cel puțin o tranzacție din portofoliu are cel puțin un factor de risc modelabil care a fost încadrat în categoria generală de factori de risc i în conformitate cu articolul 325bd, instituțiile calculează măsura valorii la risc condiționate nerestricționată pentru categoria generală de factori de risc i și o includ în formula măsurii valorii la risc condiționate menționată la alineatul (1) de la prezentul articol.</w:t>
            </w:r>
          </w:p>
        </w:tc>
        <w:tc>
          <w:tcPr>
            <w:tcW w:w="1692" w:type="pct"/>
            <w:shd w:val="clear" w:color="auto" w:fill="auto"/>
          </w:tcPr>
          <w:p w14:paraId="15903F54" w14:textId="42909EC0" w:rsidR="008A3314" w:rsidRPr="00C011B2" w:rsidRDefault="00EC135A" w:rsidP="008A3314">
            <w:pPr>
              <w:spacing w:after="0" w:line="276" w:lineRule="auto"/>
              <w:jc w:val="both"/>
              <w:rPr>
                <w:rFonts w:ascii="Times New Roman" w:hAnsi="Times New Roman" w:cs="Times New Roman"/>
                <w:color w:val="000000" w:themeColor="text1"/>
                <w:lang w:val="ro-MD"/>
              </w:rPr>
            </w:pPr>
            <w:bookmarkStart w:id="345" w:name="_Hlk223540177"/>
            <w:r w:rsidRPr="00C011B2">
              <w:rPr>
                <w:rFonts w:ascii="Times New Roman" w:hAnsi="Times New Roman" w:cs="Times New Roman"/>
                <w:color w:val="000000" w:themeColor="text1"/>
                <w:lang w:val="ro-MD"/>
              </w:rPr>
              <w:t>346.</w:t>
            </w:r>
            <w:r w:rsidR="008A3314" w:rsidRPr="00C011B2">
              <w:rPr>
                <w:rFonts w:ascii="Times New Roman" w:hAnsi="Times New Roman" w:cs="Times New Roman"/>
                <w:color w:val="000000" w:themeColor="text1"/>
                <w:lang w:val="ro-MD"/>
              </w:rPr>
              <w:t xml:space="preserve">   În cazul în care cel puțin o tranzacție din portofoliu are cel puțin un factor de risc modelabil care a fost încadrat în categoria generală de factori de risc i în conformitate cu </w:t>
            </w:r>
            <w:r w:rsidRPr="00C011B2">
              <w:rPr>
                <w:rFonts w:ascii="Times New Roman" w:hAnsi="Times New Roman" w:cs="Times New Roman"/>
                <w:color w:val="000000" w:themeColor="text1"/>
                <w:lang w:val="ro-MD"/>
              </w:rPr>
              <w:t>subsecțiunea 3</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calculează măsura valorii la risc condiționate nerestricționată pentru categoria generală de factori de risc i și o includ în formula măsurii valorii la risc condiționate menționată la </w:t>
            </w:r>
            <w:r w:rsidRPr="00C011B2">
              <w:rPr>
                <w:rFonts w:ascii="Times New Roman" w:hAnsi="Times New Roman" w:cs="Times New Roman"/>
                <w:color w:val="000000" w:themeColor="text1"/>
                <w:lang w:val="ro-MD"/>
              </w:rPr>
              <w:t>pct.344</w:t>
            </w:r>
            <w:r w:rsidR="008A3314" w:rsidRPr="00C011B2">
              <w:rPr>
                <w:rFonts w:ascii="Times New Roman" w:hAnsi="Times New Roman" w:cs="Times New Roman"/>
                <w:color w:val="000000" w:themeColor="text1"/>
                <w:lang w:val="ro-MD"/>
              </w:rPr>
              <w:t>.</w:t>
            </w:r>
            <w:bookmarkEnd w:id="345"/>
          </w:p>
        </w:tc>
        <w:tc>
          <w:tcPr>
            <w:tcW w:w="450" w:type="pct"/>
          </w:tcPr>
          <w:p w14:paraId="59DA2F8A" w14:textId="4750AE0C" w:rsidR="008A3314" w:rsidRPr="00C011B2" w:rsidRDefault="008319EA"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25E998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8FF628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F36814D" w14:textId="65294A7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Prin derogare de la dispozițiile alineatului (1), o instituție poate reduce frecvența calculării măsurii valorii la risc condiționată nerestricționată</w:t>
            </w:r>
          </w:p>
          <w:p w14:paraId="390B0E76" w14:textId="6B425C4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9CB0EDE" wp14:editId="24910A3C">
                  <wp:extent cx="603250" cy="381000"/>
                  <wp:effectExtent l="0" t="0" r="6350" b="0"/>
                  <wp:docPr id="90" name="Picture 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p w14:paraId="7836942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 a măsurii valorii la risc condiționată parțială</w:t>
            </w:r>
          </w:p>
          <w:p w14:paraId="60DE09A9" w14:textId="76FDF44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E066078" wp14:editId="70AEA507">
                  <wp:extent cx="850900" cy="393700"/>
                  <wp:effectExtent l="0" t="0" r="6350" b="6350"/>
                  <wp:docPr id="89" name="Picture 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4125777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p w14:paraId="5565706A" w14:textId="50384D2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5AFC551" wp14:editId="308DEFE1">
                  <wp:extent cx="876300" cy="393700"/>
                  <wp:effectExtent l="0" t="0" r="0" b="635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2F967E5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3B7944F7" w14:textId="6ED4F43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533199A7" wp14:editId="3199A829">
                  <wp:extent cx="869950" cy="393700"/>
                  <wp:effectExtent l="0" t="0" r="6350" b="6350"/>
                  <wp:docPr id="87" name="Picture 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3657998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pentru toate categoriile generale de factori de risc i de la zilnic la săptămânal, dacă sunt îndeplinite cumulativ următoarele două condiții:</w:t>
            </w:r>
          </w:p>
          <w:p w14:paraId="46247AEB" w14:textId="7C1A0BD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instituția poate demonstra autorității sale competente că calcularea măsurii valorii la risc condiționată nerestricționată</w:t>
            </w:r>
          </w:p>
          <w:p w14:paraId="008C58F3" w14:textId="7AD70EC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0E084B8" wp14:editId="476EA5AF">
                  <wp:extent cx="603250" cy="381000"/>
                  <wp:effectExtent l="0" t="0" r="6350" b="0"/>
                  <wp:docPr id="86" name="Picture 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p w14:paraId="233D120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nu subestimează riscul de piață al pozițiilor relevante din portofoliul de tranzacționare;</w:t>
            </w:r>
          </w:p>
          <w:p w14:paraId="10187B61" w14:textId="0E45572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instituția poate mări frecvența calculării</w:t>
            </w:r>
          </w:p>
          <w:p w14:paraId="1642027F" w14:textId="38A7F9F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05053A6" wp14:editId="5C3D59B9">
                  <wp:extent cx="603250" cy="381000"/>
                  <wp:effectExtent l="0" t="0" r="6350" b="0"/>
                  <wp:docPr id="85" name="Picture 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p w14:paraId="7D6675D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p w14:paraId="5EC37951" w14:textId="6CD6D07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4A5C1C0" wp14:editId="1E959DE3">
                  <wp:extent cx="850900" cy="393700"/>
                  <wp:effectExtent l="0" t="0" r="6350" b="6350"/>
                  <wp:docPr id="84" name="Picture 8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0C120B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p w14:paraId="2B5F0026" w14:textId="15E1912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606B04D" wp14:editId="5445D3F7">
                  <wp:extent cx="876300" cy="393700"/>
                  <wp:effectExtent l="0" t="0" r="0" b="6350"/>
                  <wp:docPr id="83" name="Picture 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76956ED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5DCB3C46" w14:textId="4D63CF7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39A653BD" wp14:editId="707ED950">
                  <wp:extent cx="869950" cy="393700"/>
                  <wp:effectExtent l="0" t="0" r="6350" b="6350"/>
                  <wp:docPr id="82" name="Picture 8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7CB5F9A5" w14:textId="152D4C6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de la săptămânal la zilnic atunci când autoritatea competentă solicită acest lucru.</w:t>
            </w:r>
          </w:p>
        </w:tc>
        <w:tc>
          <w:tcPr>
            <w:tcW w:w="1692" w:type="pct"/>
            <w:shd w:val="clear" w:color="auto" w:fill="auto"/>
          </w:tcPr>
          <w:p w14:paraId="7506B379" w14:textId="3E0D90AE" w:rsidR="008A3314" w:rsidRPr="00C011B2" w:rsidRDefault="00EC135A" w:rsidP="008A3314">
            <w:pPr>
              <w:spacing w:after="0" w:line="276" w:lineRule="auto"/>
              <w:jc w:val="both"/>
              <w:rPr>
                <w:rFonts w:ascii="Times New Roman" w:hAnsi="Times New Roman" w:cs="Times New Roman"/>
                <w:color w:val="000000" w:themeColor="text1"/>
                <w:lang w:val="ro-MD"/>
              </w:rPr>
            </w:pPr>
            <w:bookmarkStart w:id="346" w:name="_Hlk223540238"/>
            <w:r w:rsidRPr="00C011B2">
              <w:rPr>
                <w:rFonts w:ascii="Times New Roman" w:hAnsi="Times New Roman" w:cs="Times New Roman"/>
                <w:color w:val="000000" w:themeColor="text1"/>
                <w:lang w:val="ro-MD"/>
              </w:rPr>
              <w:lastRenderedPageBreak/>
              <w:t>347.</w:t>
            </w:r>
            <w:r w:rsidR="008A3314" w:rsidRPr="00C011B2">
              <w:rPr>
                <w:rFonts w:ascii="Times New Roman" w:hAnsi="Times New Roman" w:cs="Times New Roman"/>
                <w:color w:val="000000" w:themeColor="text1"/>
                <w:lang w:val="ro-MD"/>
              </w:rPr>
              <w:t xml:space="preserve">   Prin derogare de la dispozițiile </w:t>
            </w:r>
            <w:r w:rsidRPr="00C011B2">
              <w:rPr>
                <w:rFonts w:ascii="Times New Roman" w:hAnsi="Times New Roman" w:cs="Times New Roman"/>
                <w:color w:val="000000" w:themeColor="text1"/>
                <w:lang w:val="ro-MD"/>
              </w:rPr>
              <w:t>pct.344</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poate reduce frecvența calculării măsurii valorii la risc condiționată nerestricționată</w:t>
            </w:r>
          </w:p>
          <w:p w14:paraId="1D20154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B7C7FCC" wp14:editId="523FA7E6">
                  <wp:extent cx="603250" cy="381000"/>
                  <wp:effectExtent l="0" t="0" r="6350" b="0"/>
                  <wp:docPr id="185" name="Picture 1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p w14:paraId="72DE296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 a măsurii valorii la risc condiționată parțială</w:t>
            </w:r>
          </w:p>
          <w:p w14:paraId="4FE6321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F1906E2" wp14:editId="2E29EE42">
                  <wp:extent cx="850900" cy="393700"/>
                  <wp:effectExtent l="0" t="0" r="6350" b="6350"/>
                  <wp:docPr id="186" name="Picture 18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4D1DBEF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p w14:paraId="0934765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9A63205" wp14:editId="17D9ADB4">
                  <wp:extent cx="876300" cy="393700"/>
                  <wp:effectExtent l="0" t="0" r="0" b="6350"/>
                  <wp:docPr id="187" name="Picture 1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3CAD4C5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5F57545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14E99B99" wp14:editId="610301D0">
                  <wp:extent cx="869950" cy="393700"/>
                  <wp:effectExtent l="0" t="0" r="6350" b="6350"/>
                  <wp:docPr id="188" name="Picture 1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344A7AA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pentru toate categoriile generale de factori de risc i de la zilnic la săptămânal, dacă sunt îndeplinite cumulativ următoarele două condiții:</w:t>
            </w:r>
          </w:p>
          <w:p w14:paraId="2850EAC2" w14:textId="670C7A49" w:rsidR="008A3314" w:rsidRPr="00C011B2" w:rsidRDefault="00EC135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347.1.</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poate demonstra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că calcularea măsurii valorii la risc condiționată nerestricționată</w:t>
            </w:r>
          </w:p>
          <w:p w14:paraId="434AD8E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B698278" wp14:editId="29BF23BD">
                  <wp:extent cx="603250" cy="381000"/>
                  <wp:effectExtent l="0" t="0" r="6350" b="0"/>
                  <wp:docPr id="189" name="Picture 1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p w14:paraId="296F501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nu subestimează riscul de piață al pozițiilor relevante din portofoliul de tranzacționare;</w:t>
            </w:r>
          </w:p>
          <w:p w14:paraId="2E602ABE" w14:textId="24728F3A" w:rsidR="008A3314" w:rsidRPr="00C011B2" w:rsidRDefault="00EC135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347.2.</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poate mări frecvența calculării</w:t>
            </w:r>
          </w:p>
          <w:p w14:paraId="3A54913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4CAE3F3" wp14:editId="1697B666">
                  <wp:extent cx="603250" cy="381000"/>
                  <wp:effectExtent l="0" t="0" r="6350" b="0"/>
                  <wp:docPr id="190" name="Picture 19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3250" cy="381000"/>
                          </a:xfrm>
                          <a:prstGeom prst="rect">
                            <a:avLst/>
                          </a:prstGeom>
                          <a:noFill/>
                          <a:ln>
                            <a:noFill/>
                          </a:ln>
                        </pic:spPr>
                      </pic:pic>
                    </a:graphicData>
                  </a:graphic>
                </wp:inline>
              </w:drawing>
            </w:r>
          </w:p>
          <w:p w14:paraId="5952DA4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p w14:paraId="5A8D52C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53D27B8" wp14:editId="26298E52">
                  <wp:extent cx="850900" cy="393700"/>
                  <wp:effectExtent l="0" t="0" r="6350" b="6350"/>
                  <wp:docPr id="191" name="Picture 1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7AAC71F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p w14:paraId="449D890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345966A" wp14:editId="3FA823F2">
                  <wp:extent cx="876300" cy="393700"/>
                  <wp:effectExtent l="0" t="0" r="0" b="6350"/>
                  <wp:docPr id="192" name="Picture 1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6A9F435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7AE719F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077C0AC" wp14:editId="7D276471">
                  <wp:extent cx="869950" cy="393700"/>
                  <wp:effectExtent l="0" t="0" r="6350" b="6350"/>
                  <wp:docPr id="193" name="Picture 1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6C372912" w14:textId="59ED6DE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de la săptămânal la zilnic atunci când </w:t>
            </w:r>
            <w:r w:rsidR="00EC135A" w:rsidRPr="00C011B2">
              <w:rPr>
                <w:rFonts w:ascii="Times New Roman" w:hAnsi="Times New Roman" w:cs="Times New Roman"/>
                <w:color w:val="000000" w:themeColor="text1"/>
                <w:lang w:val="ro-MD"/>
              </w:rPr>
              <w:t xml:space="preserve">BNM </w:t>
            </w:r>
            <w:r w:rsidRPr="00C011B2">
              <w:rPr>
                <w:rFonts w:ascii="Times New Roman" w:hAnsi="Times New Roman" w:cs="Times New Roman"/>
                <w:color w:val="000000" w:themeColor="text1"/>
                <w:lang w:val="ro-MD"/>
              </w:rPr>
              <w:t>solicită acest lucru.</w:t>
            </w:r>
            <w:bookmarkEnd w:id="346"/>
          </w:p>
        </w:tc>
        <w:tc>
          <w:tcPr>
            <w:tcW w:w="450" w:type="pct"/>
          </w:tcPr>
          <w:p w14:paraId="1B2F9ABE" w14:textId="7D31E6E9" w:rsidR="008A3314" w:rsidRPr="00C011B2" w:rsidRDefault="008319EA"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C50209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05D91D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F209101"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325bc</w:t>
            </w:r>
          </w:p>
          <w:p w14:paraId="45C1334F" w14:textId="6C771B7E"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b/>
                <w:bCs/>
                <w:color w:val="000000" w:themeColor="text1"/>
                <w:lang w:val="ro-MD"/>
              </w:rPr>
              <w:t>Calcularea valorilor la risc condiționate parțiale</w:t>
            </w:r>
          </w:p>
        </w:tc>
        <w:tc>
          <w:tcPr>
            <w:tcW w:w="1692" w:type="pct"/>
            <w:shd w:val="clear" w:color="auto" w:fill="auto"/>
          </w:tcPr>
          <w:p w14:paraId="1FDA2BED" w14:textId="163BE937" w:rsidR="008A3314" w:rsidRPr="00C011B2" w:rsidRDefault="00EC135A" w:rsidP="008A3314">
            <w:pPr>
              <w:spacing w:after="0" w:line="276" w:lineRule="auto"/>
              <w:jc w:val="both"/>
              <w:rPr>
                <w:rFonts w:ascii="Times New Roman" w:hAnsi="Times New Roman" w:cs="Times New Roman"/>
                <w:i/>
                <w:iCs/>
                <w:color w:val="000000" w:themeColor="text1"/>
                <w:lang w:val="ro-MD"/>
              </w:rPr>
            </w:pPr>
            <w:bookmarkStart w:id="347" w:name="_Hlk195098712"/>
            <w:r w:rsidRPr="00C011B2">
              <w:rPr>
                <w:rFonts w:ascii="Times New Roman" w:hAnsi="Times New Roman" w:cs="Times New Roman"/>
                <w:i/>
                <w:iCs/>
                <w:color w:val="000000" w:themeColor="text1"/>
                <w:lang w:val="ro-MD"/>
              </w:rPr>
              <w:t xml:space="preserve">Subsecțiunea 2. </w:t>
            </w:r>
            <w:r w:rsidR="008A3314" w:rsidRPr="00C011B2">
              <w:rPr>
                <w:rFonts w:ascii="Times New Roman" w:hAnsi="Times New Roman" w:cs="Times New Roman"/>
                <w:b/>
                <w:bCs/>
                <w:color w:val="000000" w:themeColor="text1"/>
                <w:lang w:val="ro-MD"/>
              </w:rPr>
              <w:t>Calcularea valorilor la risc condiționate parțiale</w:t>
            </w:r>
            <w:bookmarkEnd w:id="347"/>
          </w:p>
        </w:tc>
        <w:tc>
          <w:tcPr>
            <w:tcW w:w="450" w:type="pct"/>
          </w:tcPr>
          <w:p w14:paraId="0FD3EED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507EED2C"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ADB167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056BD49" w14:textId="24AECC6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calculează toate măsurile valorii la risc condiționată parțială menționate la articolul 325bb alineatul (1) după cum urmează:</w:t>
            </w:r>
          </w:p>
          <w:p w14:paraId="55E960F2" w14:textId="571E872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calcule zilnice ale măsurilor valorii la risc condiționată parțială;</w:t>
            </w:r>
          </w:p>
          <w:p w14:paraId="278B19DB" w14:textId="4933FF9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un interval de încredere unilateral la 97,5 centile;</w:t>
            </w:r>
          </w:p>
          <w:p w14:paraId="65F514F1" w14:textId="0482010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w:t>
            </w:r>
            <w:hyperlink r:id="rId196" w:tooltip="32019R0876R(11): REPLACED" w:history="1">
              <w:r w:rsidRPr="00C011B2">
                <w:rPr>
                  <w:rStyle w:val="Hyperlink"/>
                  <w:rFonts w:ascii="Times New Roman" w:hAnsi="Times New Roman" w:cs="Times New Roman"/>
                  <w:b/>
                  <w:bCs/>
                  <w:lang w:val="ro-MD"/>
                </w:rPr>
                <w:t>▼C7</w:t>
              </w:r>
            </w:hyperlink>
            <w:r w:rsidRPr="00C011B2">
              <w:rPr>
                <w:rFonts w:ascii="Times New Roman" w:hAnsi="Times New Roman" w:cs="Times New Roman"/>
                <w:color w:val="000000" w:themeColor="text1"/>
                <w:lang w:val="ro-MD"/>
              </w:rPr>
              <w:t xml:space="preserve"> pentru un anumit portofoliu de poziții din portofoliul de tranzacționare și poziții din afara portofoliului de tranzacționare care prezintă un risc valutar sau un risc de marfă, instituțiile calculează măsura valorii la risc condiționată parțială la momentul „t” ES</w:t>
            </w:r>
            <w:r w:rsidRPr="00C011B2">
              <w:rPr>
                <w:rFonts w:ascii="Times New Roman" w:hAnsi="Times New Roman" w:cs="Times New Roman"/>
                <w:color w:val="000000" w:themeColor="text1"/>
                <w:vertAlign w:val="subscript"/>
                <w:lang w:val="ro-MD"/>
              </w:rPr>
              <w:t>t</w:t>
            </w:r>
            <w:r w:rsidRPr="00C011B2">
              <w:rPr>
                <w:rFonts w:ascii="Times New Roman" w:hAnsi="Times New Roman" w:cs="Times New Roman"/>
                <w:color w:val="000000" w:themeColor="text1"/>
                <w:lang w:val="ro-MD"/>
              </w:rPr>
              <w:t> în conformitate cu următoarea formulă:</w:t>
            </w:r>
          </w:p>
          <w:p w14:paraId="06315FBC" w14:textId="1C914FC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41E2D7C" wp14:editId="2F0EA268">
                  <wp:extent cx="3055620" cy="561340"/>
                  <wp:effectExtent l="0" t="0" r="0" b="0"/>
                  <wp:docPr id="91" name="Picture 9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055620" cy="561340"/>
                          </a:xfrm>
                          <a:prstGeom prst="rect">
                            <a:avLst/>
                          </a:prstGeom>
                          <a:noFill/>
                          <a:ln>
                            <a:noFill/>
                          </a:ln>
                        </pic:spPr>
                      </pic:pic>
                    </a:graphicData>
                  </a:graphic>
                </wp:inline>
              </w:drawing>
            </w:r>
          </w:p>
          <w:p w14:paraId="2F325E47"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198" w:tooltip="32019R0876: INSERTED" w:history="1">
              <w:r w:rsidR="008A3314" w:rsidRPr="00C011B2">
                <w:rPr>
                  <w:rStyle w:val="Hyperlink"/>
                  <w:rFonts w:ascii="Times New Roman" w:hAnsi="Times New Roman" w:cs="Times New Roman"/>
                  <w:b/>
                  <w:bCs/>
                  <w:lang w:val="ro-MD"/>
                </w:rPr>
                <w:t>▼M8</w:t>
              </w:r>
            </w:hyperlink>
          </w:p>
          <w:p w14:paraId="3A579F5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865" w:type="dxa"/>
              <w:tblLayout w:type="fixed"/>
              <w:tblCellMar>
                <w:left w:w="0" w:type="dxa"/>
                <w:right w:w="0" w:type="dxa"/>
              </w:tblCellMar>
              <w:tblLook w:val="04A0" w:firstRow="1" w:lastRow="0" w:firstColumn="1" w:lastColumn="0" w:noHBand="0" w:noVBand="1"/>
            </w:tblPr>
            <w:tblGrid>
              <w:gridCol w:w="470"/>
              <w:gridCol w:w="116"/>
              <w:gridCol w:w="4279"/>
            </w:tblGrid>
            <w:tr w:rsidR="008A3314" w:rsidRPr="00C011B2" w14:paraId="00271FED" w14:textId="77777777" w:rsidTr="00554096">
              <w:tc>
                <w:tcPr>
                  <w:tcW w:w="470" w:type="dxa"/>
                  <w:shd w:val="clear" w:color="auto" w:fill="auto"/>
                  <w:hideMark/>
                </w:tcPr>
                <w:p w14:paraId="4E8976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PES</w:t>
                  </w:r>
                  <w:r w:rsidRPr="00C011B2">
                    <w:rPr>
                      <w:rFonts w:ascii="Times New Roman" w:hAnsi="Times New Roman" w:cs="Times New Roman"/>
                      <w:color w:val="000000" w:themeColor="text1"/>
                      <w:vertAlign w:val="subscript"/>
                      <w:lang w:val="ro-MD"/>
                    </w:rPr>
                    <w:t>t</w:t>
                  </w:r>
                </w:p>
              </w:tc>
              <w:tc>
                <w:tcPr>
                  <w:tcW w:w="116" w:type="dxa"/>
                  <w:shd w:val="clear" w:color="auto" w:fill="auto"/>
                  <w:hideMark/>
                </w:tcPr>
                <w:p w14:paraId="0AA30D4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79" w:type="dxa"/>
                  <w:shd w:val="clear" w:color="auto" w:fill="auto"/>
                  <w:hideMark/>
                </w:tcPr>
                <w:p w14:paraId="2C42223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la risc condiționată parțială la momentul „t”;</w:t>
                  </w:r>
                </w:p>
              </w:tc>
            </w:tr>
          </w:tbl>
          <w:p w14:paraId="7800845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1"/>
              <w:gridCol w:w="76"/>
              <w:gridCol w:w="4695"/>
            </w:tblGrid>
            <w:tr w:rsidR="008A3314" w:rsidRPr="00C011B2" w14:paraId="40664EB0" w14:textId="77777777" w:rsidTr="00554096">
              <w:tc>
                <w:tcPr>
                  <w:tcW w:w="64" w:type="dxa"/>
                  <w:shd w:val="clear" w:color="auto" w:fill="auto"/>
                  <w:hideMark/>
                </w:tcPr>
                <w:p w14:paraId="46E0DA4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j</w:t>
                  </w:r>
                </w:p>
              </w:tc>
              <w:tc>
                <w:tcPr>
                  <w:tcW w:w="133" w:type="dxa"/>
                  <w:shd w:val="clear" w:color="auto" w:fill="auto"/>
                  <w:hideMark/>
                </w:tcPr>
                <w:p w14:paraId="3B22257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492" w:type="dxa"/>
                  <w:shd w:val="clear" w:color="auto" w:fill="auto"/>
                  <w:hideMark/>
                </w:tcPr>
                <w:p w14:paraId="28041A0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cele cinci orizonturi de lichiditate enumerate în prima coloană din tabelul 1;</w:t>
                  </w:r>
                </w:p>
              </w:tc>
            </w:tr>
          </w:tbl>
          <w:p w14:paraId="2FE583DD"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470"/>
              <w:gridCol w:w="82"/>
              <w:gridCol w:w="4313"/>
            </w:tblGrid>
            <w:tr w:rsidR="008A3314" w:rsidRPr="00C011B2" w14:paraId="7E11FD7D" w14:textId="77777777" w:rsidTr="00554096">
              <w:tc>
                <w:tcPr>
                  <w:tcW w:w="470" w:type="dxa"/>
                  <w:shd w:val="clear" w:color="auto" w:fill="auto"/>
                  <w:hideMark/>
                </w:tcPr>
                <w:p w14:paraId="13008B8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p>
              </w:tc>
              <w:tc>
                <w:tcPr>
                  <w:tcW w:w="82" w:type="dxa"/>
                  <w:shd w:val="clear" w:color="auto" w:fill="auto"/>
                  <w:hideMark/>
                </w:tcPr>
                <w:p w14:paraId="16F5968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13" w:type="dxa"/>
                  <w:shd w:val="clear" w:color="auto" w:fill="auto"/>
                  <w:hideMark/>
                </w:tcPr>
                <w:p w14:paraId="669BB23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lungimea orizonturilor de lichiditate j astfel cum este exprimată în zile în tabelul 1;</w:t>
                  </w:r>
                </w:p>
              </w:tc>
            </w:tr>
          </w:tbl>
          <w:p w14:paraId="1336A61D"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57"/>
              <w:gridCol w:w="146"/>
              <w:gridCol w:w="4509"/>
            </w:tblGrid>
            <w:tr w:rsidR="008A3314" w:rsidRPr="00C011B2" w14:paraId="6E290174" w14:textId="77777777" w:rsidTr="00554096">
              <w:tc>
                <w:tcPr>
                  <w:tcW w:w="297" w:type="dxa"/>
                  <w:shd w:val="clear" w:color="auto" w:fill="auto"/>
                  <w:hideMark/>
                </w:tcPr>
                <w:p w14:paraId="328F6A3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w:t>
                  </w:r>
                </w:p>
              </w:tc>
              <w:tc>
                <w:tcPr>
                  <w:tcW w:w="275" w:type="dxa"/>
                  <w:shd w:val="clear" w:color="auto" w:fill="auto"/>
                  <w:hideMark/>
                </w:tcPr>
                <w:p w14:paraId="42E9DAD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17" w:type="dxa"/>
                  <w:shd w:val="clear" w:color="auto" w:fill="auto"/>
                  <w:hideMark/>
                </w:tcPr>
                <w:p w14:paraId="207CC89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orizontul de timp de bază, unde T = 10 zile;</w:t>
                  </w:r>
                </w:p>
              </w:tc>
            </w:tr>
          </w:tbl>
          <w:p w14:paraId="3629B7DA"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754"/>
              <w:gridCol w:w="76"/>
              <w:gridCol w:w="4035"/>
            </w:tblGrid>
            <w:tr w:rsidR="008A3314" w:rsidRPr="00C011B2" w14:paraId="67E3DC96" w14:textId="77777777" w:rsidTr="00554096">
              <w:tc>
                <w:tcPr>
                  <w:tcW w:w="754" w:type="dxa"/>
                  <w:shd w:val="clear" w:color="auto" w:fill="auto"/>
                  <w:hideMark/>
                </w:tcPr>
                <w:p w14:paraId="797EF1A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PES</w:t>
                  </w:r>
                  <w:r w:rsidRPr="00C011B2">
                    <w:rPr>
                      <w:rFonts w:ascii="Times New Roman" w:hAnsi="Times New Roman" w:cs="Times New Roman"/>
                      <w:color w:val="000000" w:themeColor="text1"/>
                      <w:vertAlign w:val="subscript"/>
                      <w:lang w:val="ro-MD"/>
                    </w:rPr>
                    <w:t>t</w:t>
                  </w:r>
                  <w:r w:rsidRPr="00C011B2">
                    <w:rPr>
                      <w:rFonts w:ascii="Times New Roman" w:hAnsi="Times New Roman" w:cs="Times New Roman"/>
                      <w:color w:val="000000" w:themeColor="text1"/>
                      <w:lang w:val="ro-MD"/>
                    </w:rPr>
                    <w:t>(T)</w:t>
                  </w:r>
                </w:p>
              </w:tc>
              <w:tc>
                <w:tcPr>
                  <w:tcW w:w="76" w:type="dxa"/>
                  <w:shd w:val="clear" w:color="auto" w:fill="auto"/>
                  <w:hideMark/>
                </w:tcPr>
                <w:p w14:paraId="160943C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035" w:type="dxa"/>
                  <w:shd w:val="clear" w:color="auto" w:fill="auto"/>
                  <w:hideMark/>
                </w:tcPr>
                <w:p w14:paraId="7C79CE1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măsura valorii la risc condiționată parțială determinată prin aplicarea scenariilor unor șocuri viitoare cu un orizont de timp de 10 zile numai setului specific de factori de risc modelabili aferenți pozițiilor din portofoliu prevăzut la alineatele (2), (3) și (4) pentru fiecare măsură a valorii la risc condiționată parțială menționată la articolul 325bb alineatul (1); și</w:t>
                  </w:r>
                </w:p>
              </w:tc>
            </w:tr>
          </w:tbl>
          <w:p w14:paraId="2B924222"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896"/>
              <w:gridCol w:w="76"/>
              <w:gridCol w:w="3893"/>
            </w:tblGrid>
            <w:tr w:rsidR="008A3314" w:rsidRPr="00C011B2" w14:paraId="3FBC9916" w14:textId="77777777" w:rsidTr="00554096">
              <w:tc>
                <w:tcPr>
                  <w:tcW w:w="896" w:type="dxa"/>
                  <w:shd w:val="clear" w:color="auto" w:fill="auto"/>
                  <w:hideMark/>
                </w:tcPr>
                <w:p w14:paraId="24FFCB7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PES</w:t>
                  </w:r>
                  <w:r w:rsidRPr="00C011B2">
                    <w:rPr>
                      <w:rFonts w:ascii="Times New Roman" w:hAnsi="Times New Roman" w:cs="Times New Roman"/>
                      <w:color w:val="000000" w:themeColor="text1"/>
                      <w:vertAlign w:val="subscript"/>
                      <w:lang w:val="ro-MD"/>
                    </w:rPr>
                    <w:t>t</w:t>
                  </w:r>
                  <w:r w:rsidRPr="00C011B2">
                    <w:rPr>
                      <w:rFonts w:ascii="Times New Roman" w:hAnsi="Times New Roman" w:cs="Times New Roman"/>
                      <w:color w:val="000000" w:themeColor="text1"/>
                      <w:lang w:val="ro-MD"/>
                    </w:rPr>
                    <w:t>(T, j)</w:t>
                  </w:r>
                </w:p>
              </w:tc>
              <w:tc>
                <w:tcPr>
                  <w:tcW w:w="76" w:type="dxa"/>
                  <w:shd w:val="clear" w:color="auto" w:fill="auto"/>
                  <w:hideMark/>
                </w:tcPr>
                <w:p w14:paraId="042CBDF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893" w:type="dxa"/>
                  <w:shd w:val="clear" w:color="auto" w:fill="auto"/>
                  <w:hideMark/>
                </w:tcPr>
                <w:p w14:paraId="43816A2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condiționată parțială determinată prin aplicarea scenariilor unor șocuri viitoare cu un orizont de timp de 10 zile numai setului specific de factori de risc modelabili aferenți pozițiilor din portofoliu prevăzut la alineatele (2), (3) și (4) pentru fiecare măsură a valorii la risc condiționată parțială menționată la articolul 325bb alineatul (1) și pentru care orizontul de lichiditate efectiv, determinat în </w:t>
                  </w:r>
                  <w:r w:rsidRPr="00C011B2">
                    <w:rPr>
                      <w:rFonts w:ascii="Times New Roman" w:hAnsi="Times New Roman" w:cs="Times New Roman"/>
                      <w:color w:val="000000" w:themeColor="text1"/>
                      <w:lang w:val="ro-MD"/>
                    </w:rPr>
                    <w:lastRenderedPageBreak/>
                    <w:t>conformitate cu articolul 325bd alineatul (2) este mai mare sau egal cu 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w:t>
                  </w:r>
                </w:p>
                <w:p w14:paraId="737B6440"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75"/>
                    <w:gridCol w:w="2025"/>
                  </w:tblGrid>
                  <w:tr w:rsidR="008A3314" w:rsidRPr="00C011B2" w14:paraId="30F8B4D9" w14:textId="77777777">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C1E58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Orizontul de lichiditate j</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F7D0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Lungimea orizontului de lichiditate j</w:t>
                        </w:r>
                      </w:p>
                      <w:p w14:paraId="17BC619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(în zile)</w:t>
                        </w:r>
                      </w:p>
                    </w:tc>
                  </w:tr>
                  <w:tr w:rsidR="008A3314" w:rsidRPr="00C011B2" w14:paraId="5CEDFA5F" w14:textId="77777777">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3EBE4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1579C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0BC312C3" w14:textId="77777777">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AAECF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52CE5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3E275C86" w14:textId="77777777">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B381E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8C5F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515C7C7E" w14:textId="77777777">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15629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4E40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7124A807" w14:textId="77777777">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0BE1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9942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bl>
                <w:p w14:paraId="264EFFE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r>
          </w:tbl>
          <w:p w14:paraId="3A85A90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09041053" w14:textId="3E92B3BC" w:rsidR="008A3314" w:rsidRPr="00C011B2" w:rsidRDefault="00EC135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348.</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calculează toate măsurile valorii la risc condiționată parțială menționate la </w:t>
            </w:r>
            <w:r w:rsidRPr="00C011B2">
              <w:rPr>
                <w:rFonts w:ascii="Times New Roman" w:hAnsi="Times New Roman" w:cs="Times New Roman"/>
                <w:color w:val="000000" w:themeColor="text1"/>
                <w:lang w:val="ro-MD"/>
              </w:rPr>
              <w:t>pct.344</w:t>
            </w:r>
            <w:r w:rsidR="008A3314" w:rsidRPr="00C011B2">
              <w:rPr>
                <w:rFonts w:ascii="Times New Roman" w:hAnsi="Times New Roman" w:cs="Times New Roman"/>
                <w:color w:val="000000" w:themeColor="text1"/>
                <w:lang w:val="ro-MD"/>
              </w:rPr>
              <w:t xml:space="preserve"> după cum urmează:</w:t>
            </w:r>
          </w:p>
          <w:p w14:paraId="7BF2E683" w14:textId="1D0602F3" w:rsidR="008A3314" w:rsidRPr="00C011B2" w:rsidRDefault="00EC135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348.1.</w:t>
            </w:r>
            <w:r w:rsidR="008A3314" w:rsidRPr="00C011B2">
              <w:rPr>
                <w:rFonts w:ascii="Times New Roman" w:hAnsi="Times New Roman" w:cs="Times New Roman"/>
                <w:color w:val="000000" w:themeColor="text1"/>
                <w:lang w:val="ro-MD"/>
              </w:rPr>
              <w:t xml:space="preserve"> calcule zilnice ale măsurilor valorii la risc condiționată parțială;</w:t>
            </w:r>
          </w:p>
          <w:p w14:paraId="30822FCB" w14:textId="0AABDAFB" w:rsidR="008A3314" w:rsidRPr="00C011B2" w:rsidRDefault="00EC135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348.2.</w:t>
            </w:r>
            <w:r w:rsidR="008A3314" w:rsidRPr="00C011B2">
              <w:rPr>
                <w:rFonts w:ascii="Times New Roman" w:hAnsi="Times New Roman" w:cs="Times New Roman"/>
                <w:color w:val="000000" w:themeColor="text1"/>
                <w:lang w:val="ro-MD"/>
              </w:rPr>
              <w:t> un interval de încredere unilateral la 97,5 centile;</w:t>
            </w:r>
          </w:p>
          <w:p w14:paraId="0D70507F" w14:textId="39FBB317" w:rsidR="008A3314" w:rsidRPr="00C011B2" w:rsidRDefault="00EC135A"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348.3.</w:t>
            </w:r>
            <w:r w:rsidR="008A3314" w:rsidRPr="00C011B2">
              <w:rPr>
                <w:rFonts w:ascii="Times New Roman" w:hAnsi="Times New Roman" w:cs="Times New Roman"/>
                <w:color w:val="000000" w:themeColor="text1"/>
                <w:lang w:val="ro-MD"/>
              </w:rPr>
              <w:t xml:space="preserve"> pentru un anumit portofoliu de poziții din portofoliul de tranzacționare și poziții din afara portofoliului de tranzacționare care prezintă un risc valutar sau un risc de marfă, </w:t>
            </w:r>
            <w:r w:rsidR="009C09FF"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calculează măsura valorii la risc condiționată parțială la momentul „t” ES</w:t>
            </w:r>
            <w:r w:rsidR="008A3314" w:rsidRPr="00C011B2">
              <w:rPr>
                <w:rFonts w:ascii="Times New Roman" w:hAnsi="Times New Roman" w:cs="Times New Roman"/>
                <w:color w:val="000000" w:themeColor="text1"/>
                <w:vertAlign w:val="subscript"/>
                <w:lang w:val="ro-MD"/>
              </w:rPr>
              <w:t>t</w:t>
            </w:r>
            <w:r w:rsidR="008A3314" w:rsidRPr="00C011B2">
              <w:rPr>
                <w:rFonts w:ascii="Times New Roman" w:hAnsi="Times New Roman" w:cs="Times New Roman"/>
                <w:color w:val="000000" w:themeColor="text1"/>
                <w:lang w:val="ro-MD"/>
              </w:rPr>
              <w:t> în conformitate cu următoarea formulă:</w:t>
            </w:r>
          </w:p>
          <w:p w14:paraId="28CCD22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FE48D2C" wp14:editId="2FFD9A21">
                  <wp:extent cx="3055620" cy="561340"/>
                  <wp:effectExtent l="0" t="0" r="0" b="0"/>
                  <wp:docPr id="194" name="Picture 1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055620" cy="561340"/>
                          </a:xfrm>
                          <a:prstGeom prst="rect">
                            <a:avLst/>
                          </a:prstGeom>
                          <a:noFill/>
                          <a:ln>
                            <a:noFill/>
                          </a:ln>
                        </pic:spPr>
                      </pic:pic>
                    </a:graphicData>
                  </a:graphic>
                </wp:inline>
              </w:drawing>
            </w:r>
          </w:p>
          <w:p w14:paraId="060450A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4865" w:type="dxa"/>
              <w:tblLayout w:type="fixed"/>
              <w:tblCellMar>
                <w:left w:w="0" w:type="dxa"/>
                <w:right w:w="0" w:type="dxa"/>
              </w:tblCellMar>
              <w:tblLook w:val="04A0" w:firstRow="1" w:lastRow="0" w:firstColumn="1" w:lastColumn="0" w:noHBand="0" w:noVBand="1"/>
            </w:tblPr>
            <w:tblGrid>
              <w:gridCol w:w="470"/>
              <w:gridCol w:w="116"/>
              <w:gridCol w:w="4279"/>
            </w:tblGrid>
            <w:tr w:rsidR="008A3314" w:rsidRPr="00C011B2" w14:paraId="45E687C2" w14:textId="77777777" w:rsidTr="001E785F">
              <w:tc>
                <w:tcPr>
                  <w:tcW w:w="470" w:type="dxa"/>
                  <w:shd w:val="clear" w:color="auto" w:fill="auto"/>
                  <w:hideMark/>
                </w:tcPr>
                <w:p w14:paraId="6E961F4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PES</w:t>
                  </w:r>
                  <w:r w:rsidRPr="00C011B2">
                    <w:rPr>
                      <w:rFonts w:ascii="Times New Roman" w:hAnsi="Times New Roman" w:cs="Times New Roman"/>
                      <w:color w:val="000000" w:themeColor="text1"/>
                      <w:vertAlign w:val="subscript"/>
                      <w:lang w:val="ro-MD"/>
                    </w:rPr>
                    <w:t>t</w:t>
                  </w:r>
                </w:p>
              </w:tc>
              <w:tc>
                <w:tcPr>
                  <w:tcW w:w="116" w:type="dxa"/>
                  <w:shd w:val="clear" w:color="auto" w:fill="auto"/>
                  <w:hideMark/>
                </w:tcPr>
                <w:p w14:paraId="103BE5F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279" w:type="dxa"/>
                  <w:shd w:val="clear" w:color="auto" w:fill="auto"/>
                  <w:hideMark/>
                </w:tcPr>
                <w:p w14:paraId="64F27E5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la risc condiționată parțială la momentul „t”;</w:t>
                  </w:r>
                </w:p>
              </w:tc>
            </w:tr>
          </w:tbl>
          <w:p w14:paraId="37F2EC60"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3"/>
              <w:gridCol w:w="79"/>
              <w:gridCol w:w="4989"/>
            </w:tblGrid>
            <w:tr w:rsidR="008A3314" w:rsidRPr="00C011B2" w14:paraId="7219DAD2" w14:textId="77777777" w:rsidTr="001E785F">
              <w:tc>
                <w:tcPr>
                  <w:tcW w:w="64" w:type="dxa"/>
                  <w:shd w:val="clear" w:color="auto" w:fill="auto"/>
                  <w:hideMark/>
                </w:tcPr>
                <w:p w14:paraId="7D6302F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j</w:t>
                  </w:r>
                </w:p>
              </w:tc>
              <w:tc>
                <w:tcPr>
                  <w:tcW w:w="133" w:type="dxa"/>
                  <w:shd w:val="clear" w:color="auto" w:fill="auto"/>
                  <w:hideMark/>
                </w:tcPr>
                <w:p w14:paraId="5A76246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492" w:type="dxa"/>
                  <w:shd w:val="clear" w:color="auto" w:fill="auto"/>
                  <w:hideMark/>
                </w:tcPr>
                <w:p w14:paraId="01609AA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indicele care desemnează cele cinci orizonturi de lichiditate enumerate în prima coloană din tabelul 1;</w:t>
                  </w:r>
                </w:p>
              </w:tc>
            </w:tr>
          </w:tbl>
          <w:p w14:paraId="64ECA88B"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470"/>
              <w:gridCol w:w="82"/>
              <w:gridCol w:w="4313"/>
            </w:tblGrid>
            <w:tr w:rsidR="008A3314" w:rsidRPr="00C011B2" w14:paraId="6FC2E166" w14:textId="77777777" w:rsidTr="001E785F">
              <w:tc>
                <w:tcPr>
                  <w:tcW w:w="470" w:type="dxa"/>
                  <w:shd w:val="clear" w:color="auto" w:fill="auto"/>
                  <w:hideMark/>
                </w:tcPr>
                <w:p w14:paraId="660AC46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p>
              </w:tc>
              <w:tc>
                <w:tcPr>
                  <w:tcW w:w="82" w:type="dxa"/>
                  <w:shd w:val="clear" w:color="auto" w:fill="auto"/>
                  <w:hideMark/>
                </w:tcPr>
                <w:p w14:paraId="461E3A9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313" w:type="dxa"/>
                  <w:shd w:val="clear" w:color="auto" w:fill="auto"/>
                  <w:hideMark/>
                </w:tcPr>
                <w:p w14:paraId="10BAF7D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lungimea orizonturilor de lichiditate j astfel cum este exprimată în zile în tabelul 1;</w:t>
                  </w:r>
                </w:p>
              </w:tc>
            </w:tr>
          </w:tbl>
          <w:p w14:paraId="224DEE48"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165"/>
              <w:gridCol w:w="154"/>
              <w:gridCol w:w="4792"/>
            </w:tblGrid>
            <w:tr w:rsidR="008A3314" w:rsidRPr="00C011B2" w14:paraId="5A0B12C7" w14:textId="77777777" w:rsidTr="001E785F">
              <w:tc>
                <w:tcPr>
                  <w:tcW w:w="297" w:type="dxa"/>
                  <w:shd w:val="clear" w:color="auto" w:fill="auto"/>
                  <w:hideMark/>
                </w:tcPr>
                <w:p w14:paraId="22BB0D1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w:t>
                  </w:r>
                </w:p>
              </w:tc>
              <w:tc>
                <w:tcPr>
                  <w:tcW w:w="275" w:type="dxa"/>
                  <w:shd w:val="clear" w:color="auto" w:fill="auto"/>
                  <w:hideMark/>
                </w:tcPr>
                <w:p w14:paraId="7CF2B38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17" w:type="dxa"/>
                  <w:shd w:val="clear" w:color="auto" w:fill="auto"/>
                  <w:hideMark/>
                </w:tcPr>
                <w:p w14:paraId="05DF13E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orizontul de timp de bază, unde T = 10 zile;</w:t>
                  </w:r>
                </w:p>
              </w:tc>
            </w:tr>
          </w:tbl>
          <w:p w14:paraId="75DC4D48"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754"/>
              <w:gridCol w:w="76"/>
              <w:gridCol w:w="4035"/>
            </w:tblGrid>
            <w:tr w:rsidR="008A3314" w:rsidRPr="00C011B2" w14:paraId="668E8D5D" w14:textId="77777777" w:rsidTr="001E785F">
              <w:tc>
                <w:tcPr>
                  <w:tcW w:w="754" w:type="dxa"/>
                  <w:shd w:val="clear" w:color="auto" w:fill="auto"/>
                  <w:hideMark/>
                </w:tcPr>
                <w:p w14:paraId="1F8DC01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PES</w:t>
                  </w:r>
                  <w:r w:rsidRPr="00C011B2">
                    <w:rPr>
                      <w:rFonts w:ascii="Times New Roman" w:hAnsi="Times New Roman" w:cs="Times New Roman"/>
                      <w:color w:val="000000" w:themeColor="text1"/>
                      <w:vertAlign w:val="subscript"/>
                      <w:lang w:val="ro-MD"/>
                    </w:rPr>
                    <w:t>t</w:t>
                  </w:r>
                  <w:r w:rsidRPr="00C011B2">
                    <w:rPr>
                      <w:rFonts w:ascii="Times New Roman" w:hAnsi="Times New Roman" w:cs="Times New Roman"/>
                      <w:color w:val="000000" w:themeColor="text1"/>
                      <w:lang w:val="ro-MD"/>
                    </w:rPr>
                    <w:t>(T)</w:t>
                  </w:r>
                </w:p>
              </w:tc>
              <w:tc>
                <w:tcPr>
                  <w:tcW w:w="76" w:type="dxa"/>
                  <w:shd w:val="clear" w:color="auto" w:fill="auto"/>
                  <w:hideMark/>
                </w:tcPr>
                <w:p w14:paraId="1C0DF7D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035" w:type="dxa"/>
                  <w:shd w:val="clear" w:color="auto" w:fill="auto"/>
                  <w:hideMark/>
                </w:tcPr>
                <w:p w14:paraId="5EEA88CA" w14:textId="58E6C5E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condiționată parțială determinată prin aplicarea scenariilor unor șocuri viitoare cu un orizont de timp de 10 zile numai setului specific de factori de risc modelabili aferenți pozițiilor din portofoliu prevăzut la </w:t>
                  </w:r>
                  <w:r w:rsidR="00C8074C" w:rsidRPr="00C011B2">
                    <w:rPr>
                      <w:rFonts w:ascii="Times New Roman" w:hAnsi="Times New Roman" w:cs="Times New Roman"/>
                      <w:color w:val="000000" w:themeColor="text1"/>
                      <w:lang w:val="ro-MD"/>
                    </w:rPr>
                    <w:t xml:space="preserve">pct.349, 350 și 351  </w:t>
                  </w:r>
                  <w:r w:rsidRPr="00C011B2">
                    <w:rPr>
                      <w:rFonts w:ascii="Times New Roman" w:hAnsi="Times New Roman" w:cs="Times New Roman"/>
                      <w:color w:val="000000" w:themeColor="text1"/>
                      <w:lang w:val="ro-MD"/>
                    </w:rPr>
                    <w:t>pentru fiecare măsură a valorii la risc condiționată parțială menționată la</w:t>
                  </w:r>
                  <w:r w:rsidR="00A34689" w:rsidRPr="00C011B2">
                    <w:rPr>
                      <w:rFonts w:ascii="Times New Roman" w:hAnsi="Times New Roman" w:cs="Times New Roman"/>
                      <w:color w:val="000000" w:themeColor="text1"/>
                      <w:lang w:val="ro-MD"/>
                    </w:rPr>
                    <w:t xml:space="preserve"> </w:t>
                  </w:r>
                  <w:r w:rsidR="009C09FF" w:rsidRPr="00C011B2">
                    <w:rPr>
                      <w:rFonts w:ascii="Times New Roman" w:hAnsi="Times New Roman" w:cs="Times New Roman"/>
                      <w:color w:val="000000" w:themeColor="text1"/>
                      <w:lang w:val="ro-MD"/>
                    </w:rPr>
                    <w:t>pct.344</w:t>
                  </w:r>
                  <w:r w:rsidRPr="00C011B2">
                    <w:rPr>
                      <w:rFonts w:ascii="Times New Roman" w:hAnsi="Times New Roman" w:cs="Times New Roman"/>
                      <w:color w:val="000000" w:themeColor="text1"/>
                      <w:lang w:val="ro-MD"/>
                    </w:rPr>
                    <w:t>; și</w:t>
                  </w:r>
                </w:p>
              </w:tc>
            </w:tr>
          </w:tbl>
          <w:p w14:paraId="05D21CC7"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896"/>
              <w:gridCol w:w="76"/>
              <w:gridCol w:w="3893"/>
            </w:tblGrid>
            <w:tr w:rsidR="008A3314" w:rsidRPr="00C011B2" w14:paraId="29BF030B" w14:textId="77777777" w:rsidTr="001E785F">
              <w:tc>
                <w:tcPr>
                  <w:tcW w:w="896" w:type="dxa"/>
                  <w:shd w:val="clear" w:color="auto" w:fill="auto"/>
                  <w:hideMark/>
                </w:tcPr>
                <w:p w14:paraId="68A6B8A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PES</w:t>
                  </w:r>
                  <w:r w:rsidRPr="00C011B2">
                    <w:rPr>
                      <w:rFonts w:ascii="Times New Roman" w:hAnsi="Times New Roman" w:cs="Times New Roman"/>
                      <w:color w:val="000000" w:themeColor="text1"/>
                      <w:vertAlign w:val="subscript"/>
                      <w:lang w:val="ro-MD"/>
                    </w:rPr>
                    <w:t>t</w:t>
                  </w:r>
                  <w:r w:rsidRPr="00C011B2">
                    <w:rPr>
                      <w:rFonts w:ascii="Times New Roman" w:hAnsi="Times New Roman" w:cs="Times New Roman"/>
                      <w:color w:val="000000" w:themeColor="text1"/>
                      <w:lang w:val="ro-MD"/>
                    </w:rPr>
                    <w:t>(T, j)</w:t>
                  </w:r>
                </w:p>
              </w:tc>
              <w:tc>
                <w:tcPr>
                  <w:tcW w:w="76" w:type="dxa"/>
                  <w:shd w:val="clear" w:color="auto" w:fill="auto"/>
                  <w:hideMark/>
                </w:tcPr>
                <w:p w14:paraId="5F07185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893" w:type="dxa"/>
                  <w:shd w:val="clear" w:color="auto" w:fill="auto"/>
                  <w:hideMark/>
                </w:tcPr>
                <w:p w14:paraId="2E3D9F7E" w14:textId="1FB8CCE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măsura valorii la risc condiționată parțială determinată prin aplicarea scenariilor unor șocuri viitoare cu un orizont de timp de 10 zile numai setului specific de factori de risc modelabili aferenți pozițiilor din portofoliu prevăzut la </w:t>
                  </w:r>
                  <w:r w:rsidR="00C8074C" w:rsidRPr="00C011B2">
                    <w:rPr>
                      <w:rFonts w:ascii="Times New Roman" w:hAnsi="Times New Roman" w:cs="Times New Roman"/>
                      <w:color w:val="000000" w:themeColor="text1"/>
                      <w:lang w:val="ro-MD"/>
                    </w:rPr>
                    <w:t xml:space="preserve">pct.349, 350 și 351 </w:t>
                  </w:r>
                  <w:r w:rsidRPr="00C011B2">
                    <w:rPr>
                      <w:rFonts w:ascii="Times New Roman" w:hAnsi="Times New Roman" w:cs="Times New Roman"/>
                      <w:color w:val="000000" w:themeColor="text1"/>
                      <w:lang w:val="ro-MD"/>
                    </w:rPr>
                    <w:t xml:space="preserve">pentru fiecare măsură a valorii la risc condiționată parțială menționată la </w:t>
                  </w:r>
                  <w:r w:rsidR="009C09FF" w:rsidRPr="00C011B2">
                    <w:rPr>
                      <w:rFonts w:ascii="Times New Roman" w:hAnsi="Times New Roman" w:cs="Times New Roman"/>
                      <w:color w:val="000000" w:themeColor="text1"/>
                      <w:lang w:val="ro-MD"/>
                    </w:rPr>
                    <w:t>pct.344</w:t>
                  </w:r>
                  <w:r w:rsidRPr="00C011B2">
                    <w:rPr>
                      <w:rFonts w:ascii="Times New Roman" w:hAnsi="Times New Roman" w:cs="Times New Roman"/>
                      <w:color w:val="000000" w:themeColor="text1"/>
                      <w:lang w:val="ro-MD"/>
                    </w:rPr>
                    <w:t xml:space="preserve"> și pentru care orizontul de lichiditate efectiv, determinat în conformitate cu </w:t>
                  </w:r>
                  <w:r w:rsidR="00180B8D" w:rsidRPr="00C011B2">
                    <w:rPr>
                      <w:rFonts w:ascii="Times New Roman" w:hAnsi="Times New Roman" w:cs="Times New Roman"/>
                      <w:color w:val="000000" w:themeColor="text1"/>
                      <w:lang w:val="ro-MD"/>
                    </w:rPr>
                    <w:t>pct.354</w:t>
                  </w:r>
                  <w:r w:rsidRPr="00C011B2">
                    <w:rPr>
                      <w:rFonts w:ascii="Times New Roman" w:hAnsi="Times New Roman" w:cs="Times New Roman"/>
                      <w:color w:val="000000" w:themeColor="text1"/>
                      <w:lang w:val="ro-MD"/>
                    </w:rPr>
                    <w:t xml:space="preserve"> este mai mare sau egal cu 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w:t>
                  </w:r>
                </w:p>
                <w:p w14:paraId="0D1C6F1B"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75"/>
                    <w:gridCol w:w="2025"/>
                  </w:tblGrid>
                  <w:tr w:rsidR="008A3314" w:rsidRPr="00C011B2" w14:paraId="499AB27E" w14:textId="77777777" w:rsidTr="001E785F">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DF197B"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Orizontul de lichiditate j</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13FC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Lungimea orizontului de lichiditate j</w:t>
                        </w:r>
                      </w:p>
                      <w:p w14:paraId="675882B1"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(în zile)</w:t>
                        </w:r>
                      </w:p>
                    </w:tc>
                  </w:tr>
                  <w:tr w:rsidR="008A3314" w:rsidRPr="00C011B2" w14:paraId="7A2C3033" w14:textId="77777777" w:rsidTr="001E785F">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E5EB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44959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6D7E91B8" w14:textId="77777777" w:rsidTr="001E785F">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20D1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FCE8D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7DC188E8" w14:textId="77777777" w:rsidTr="001E785F">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9307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4F90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5BCA6AD0" w14:textId="77777777" w:rsidTr="001E785F">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AE1B8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3C00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6FE7FA76" w14:textId="77777777" w:rsidTr="001E785F">
                    <w:trPr>
                      <w:jc w:val="center"/>
                    </w:trPr>
                    <w:tc>
                      <w:tcPr>
                        <w:tcW w:w="15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0961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20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AB2B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bl>
                <w:p w14:paraId="3180801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r>
          </w:tbl>
          <w:p w14:paraId="34B379A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644E7692" w14:textId="7E746FB4" w:rsidR="008A3314" w:rsidRPr="00C011B2" w:rsidRDefault="008319EA"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127B1C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8B8FB7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276631B" w14:textId="64F4FDC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În scopul calculării măsurilor valorilor la risc condiționate parțiale</w:t>
            </w:r>
          </w:p>
          <w:p w14:paraId="32C4CD83" w14:textId="08A6BC5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BBDEB7D" wp14:editId="5EAC0773">
                  <wp:extent cx="755650" cy="381000"/>
                  <wp:effectExtent l="0" t="0" r="6350" b="0"/>
                  <wp:docPr id="98" name="Picture 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p w14:paraId="430CF81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6396CB4B" w14:textId="5518354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FFFF9DE" wp14:editId="29705276">
                  <wp:extent cx="850900" cy="393700"/>
                  <wp:effectExtent l="0" t="0" r="6350" b="6350"/>
                  <wp:docPr id="97" name="Picture 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2B01F1E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menționate la articolul 325bb alineatul (1), instituțiile îndeplinesc, în plus față de cerințele stabilite la alineatul (1) de la prezentul articol, următoarele cerințe:</w:t>
            </w:r>
          </w:p>
          <w:p w14:paraId="6DC95795" w14:textId="25B9B5C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la calcularea</w:t>
            </w:r>
          </w:p>
          <w:p w14:paraId="6031D541" w14:textId="416D125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4A21A35F" wp14:editId="0B39BF50">
                  <wp:extent cx="755650" cy="381000"/>
                  <wp:effectExtent l="0" t="0" r="6350" b="0"/>
                  <wp:docPr id="96" name="Picture 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p w14:paraId="72CF0EA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instituțiile aplică scenarii ale unor șocuri viitoare numai unui subset de factori de risc modelabili aferenți pozițiilor din portofoliu care a fost ales de instituții, într-un mod pe care autoritățile competente îl consideră satisfăcător, astfel încât următoarea condiție să fie îndeplinită, suma fiind preluată din cele 60 de zile lucrătoare anterioare:</w:t>
            </w:r>
          </w:p>
          <w:p w14:paraId="0C712589" w14:textId="1D35822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78558BE" wp14:editId="3FEDB495">
                  <wp:extent cx="2413000" cy="762000"/>
                  <wp:effectExtent l="0" t="0" r="6350" b="0"/>
                  <wp:docPr id="95" name="Picture 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413000" cy="762000"/>
                          </a:xfrm>
                          <a:prstGeom prst="rect">
                            <a:avLst/>
                          </a:prstGeom>
                          <a:noFill/>
                          <a:ln>
                            <a:noFill/>
                          </a:ln>
                        </pic:spPr>
                      </pic:pic>
                    </a:graphicData>
                  </a:graphic>
                </wp:inline>
              </w:drawing>
            </w:r>
          </w:p>
          <w:p w14:paraId="6BB9B3B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O instituție care nu mai îndeplinește cerința prevăzută la primul paragraf de la prezenta literă notifică imediat acest fapt autorităților competente și actualizează subsetul de factori de risc modelabili în termen de două săptămâni astfel încât să îndeplinească cerința respectivă; în cazul în care, după două săptămâni, instituția nu a îndeplinit această cerință, instituția revine la abordarea prevăzută în capitolul 1a pentru a calcula cerințele de fonduri proprii pentru riscul de piață pentru anumite birouri de tranzacționare, până în momentul în care respectiva instituție este în măsură să demonstreze autorității competente că îndeplinește </w:t>
            </w:r>
            <w:r w:rsidRPr="00C011B2">
              <w:rPr>
                <w:rFonts w:ascii="Times New Roman" w:hAnsi="Times New Roman" w:cs="Times New Roman"/>
                <w:color w:val="000000" w:themeColor="text1"/>
                <w:lang w:val="ro-MD"/>
              </w:rPr>
              <w:lastRenderedPageBreak/>
              <w:t>cerința prevăzută la primul paragraf de la prezenta literă;</w:t>
            </w:r>
          </w:p>
          <w:p w14:paraId="5049AA8E" w14:textId="607E98D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la calcularea</w:t>
            </w:r>
          </w:p>
          <w:p w14:paraId="3520E4D9" w14:textId="2431D72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1AA33B6" wp14:editId="1BE7BC5C">
                  <wp:extent cx="850900" cy="393700"/>
                  <wp:effectExtent l="0" t="0" r="6350" b="6350"/>
                  <wp:docPr id="94" name="Picture 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49F83BD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instituțiile aplică scenarii ale unor șocuri viitoare numai subsetului de factori de risc modelabili aferenți pozițiilor din portofoliu ales de instituție în sensul literei (a) de la prezentul alineat și care au fost încadrați în categoria generală de factori de risc „i” în conformitate cu articolul 325bd;</w:t>
            </w:r>
          </w:p>
          <w:p w14:paraId="5EFFC894" w14:textId="73BB116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datele de intrare utilizate pentru a determina scenariile unor șocuri viitoare aplicate factorilor de risc modelabili menționați la literele (a) și (b) sunt calibrate în raport cu datele istorice dintr-o perioadă continuă de 12 luni de criză financiară care este identificată de instituție pentru a maximiza valoarea</w:t>
            </w:r>
          </w:p>
          <w:p w14:paraId="15BED1B3" w14:textId="729294B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198E99EC" wp14:editId="49699554">
                  <wp:extent cx="755650" cy="381000"/>
                  <wp:effectExtent l="0" t="0" r="6350" b="0"/>
                  <wp:docPr id="93" name="Picture 9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p w14:paraId="547F842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în scopul identificării perioadei de criză respective, instituțiile utilizează o perioadă de observație care începe cel târziu la 1 ianuarie 2007, într-un mod pe care autoritățile competente îl consideră satisfăcător; și</w:t>
            </w:r>
          </w:p>
          <w:p w14:paraId="197B4DE4" w14:textId="6A97825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datele de intrare pentru</w:t>
            </w:r>
          </w:p>
          <w:p w14:paraId="2A67D223" w14:textId="08C2F34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0EB3AD2F" wp14:editId="2D4D47A9">
                  <wp:extent cx="850900" cy="393700"/>
                  <wp:effectExtent l="0" t="0" r="6350" b="6350"/>
                  <wp:docPr id="92" name="Picture 9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0FC9A1FF" w14:textId="516F5ED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sunt calibrate în raport cu perioada de criză de 12 luni care a fost identificată de către instituție în sensul literei (c).</w:t>
            </w:r>
          </w:p>
        </w:tc>
        <w:tc>
          <w:tcPr>
            <w:tcW w:w="1692" w:type="pct"/>
            <w:shd w:val="clear" w:color="auto" w:fill="auto"/>
          </w:tcPr>
          <w:p w14:paraId="49D99D00" w14:textId="0F9A30B3" w:rsidR="008A3314" w:rsidRPr="00C011B2" w:rsidRDefault="009C09F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349.</w:t>
            </w:r>
            <w:r w:rsidR="008A3314" w:rsidRPr="00C011B2">
              <w:rPr>
                <w:rFonts w:ascii="Times New Roman" w:hAnsi="Times New Roman" w:cs="Times New Roman"/>
                <w:color w:val="000000" w:themeColor="text1"/>
                <w:lang w:val="ro-MD"/>
              </w:rPr>
              <w:t>   În scopul calculării măsurilor valorilor la risc condiționate parțiale</w:t>
            </w:r>
          </w:p>
          <w:p w14:paraId="3C68F3A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F8BC3DD" wp14:editId="2FE5E228">
                  <wp:extent cx="755650" cy="381000"/>
                  <wp:effectExtent l="0" t="0" r="6350" b="0"/>
                  <wp:docPr id="195" name="Picture 1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p w14:paraId="215706C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22AD0A3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121EF86" wp14:editId="2DEEBD19">
                  <wp:extent cx="850900" cy="393700"/>
                  <wp:effectExtent l="0" t="0" r="6350" b="6350"/>
                  <wp:docPr id="196" name="Picture 1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636CCF38" w14:textId="3C60DF1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menționate la </w:t>
            </w:r>
            <w:r w:rsidR="009C09FF" w:rsidRPr="00C011B2">
              <w:rPr>
                <w:rFonts w:ascii="Times New Roman" w:hAnsi="Times New Roman" w:cs="Times New Roman"/>
                <w:color w:val="000000" w:themeColor="text1"/>
                <w:lang w:val="ro-MD"/>
              </w:rPr>
              <w:t>pct.344</w:t>
            </w:r>
            <w:r w:rsidRPr="00C011B2">
              <w:rPr>
                <w:rFonts w:ascii="Times New Roman" w:hAnsi="Times New Roman" w:cs="Times New Roman"/>
                <w:color w:val="000000" w:themeColor="text1"/>
                <w:lang w:val="ro-MD"/>
              </w:rPr>
              <w:t xml:space="preserve">, </w:t>
            </w:r>
            <w:r w:rsidR="009C09FF"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îndeplinesc, în plus față de cerințele stabilite la </w:t>
            </w:r>
            <w:r w:rsidR="009C09FF" w:rsidRPr="00C011B2">
              <w:rPr>
                <w:rFonts w:ascii="Times New Roman" w:hAnsi="Times New Roman" w:cs="Times New Roman"/>
                <w:color w:val="000000" w:themeColor="text1"/>
                <w:lang w:val="ro-MD"/>
              </w:rPr>
              <w:t>pct.348</w:t>
            </w:r>
            <w:r w:rsidRPr="00C011B2">
              <w:rPr>
                <w:rFonts w:ascii="Times New Roman" w:hAnsi="Times New Roman" w:cs="Times New Roman"/>
                <w:color w:val="000000" w:themeColor="text1"/>
                <w:lang w:val="ro-MD"/>
              </w:rPr>
              <w:t>, următoarele cerințe:</w:t>
            </w:r>
          </w:p>
          <w:p w14:paraId="605673E1" w14:textId="6B5B107A" w:rsidR="008A3314" w:rsidRPr="00C011B2" w:rsidRDefault="009C09F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349.1.</w:t>
            </w:r>
            <w:r w:rsidR="008A3314" w:rsidRPr="00C011B2">
              <w:rPr>
                <w:rFonts w:ascii="Times New Roman" w:hAnsi="Times New Roman" w:cs="Times New Roman"/>
                <w:color w:val="000000" w:themeColor="text1"/>
                <w:lang w:val="ro-MD"/>
              </w:rPr>
              <w:t> la calcularea</w:t>
            </w:r>
          </w:p>
          <w:p w14:paraId="6FA8651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AD9449E" wp14:editId="3C2A47C0">
                  <wp:extent cx="755650" cy="381000"/>
                  <wp:effectExtent l="0" t="0" r="6350" b="0"/>
                  <wp:docPr id="197" name="Picture 1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p w14:paraId="2A3B01D7" w14:textId="1A8B7DB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 </w:t>
            </w:r>
            <w:r w:rsidR="009C09FF"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aplică scenarii ale unor șocuri viitoare numai unui subset de factori de risc modelabili aferenți pozițiilor din portofoliu care a fost ales de </w:t>
            </w:r>
            <w:r w:rsidR="009C09FF" w:rsidRPr="00C011B2">
              <w:rPr>
                <w:rFonts w:ascii="Times New Roman" w:hAnsi="Times New Roman" w:cs="Times New Roman"/>
                <w:color w:val="000000" w:themeColor="text1"/>
                <w:lang w:val="ro-MD"/>
              </w:rPr>
              <w:t>bănci</w:t>
            </w:r>
            <w:r w:rsidRPr="00C011B2">
              <w:rPr>
                <w:rFonts w:ascii="Times New Roman" w:hAnsi="Times New Roman" w:cs="Times New Roman"/>
                <w:color w:val="000000" w:themeColor="text1"/>
                <w:lang w:val="ro-MD"/>
              </w:rPr>
              <w:t xml:space="preserve">, într-un mod pe care </w:t>
            </w:r>
            <w:r w:rsidR="009C09FF" w:rsidRPr="00C011B2">
              <w:rPr>
                <w:rFonts w:ascii="Times New Roman" w:hAnsi="Times New Roman" w:cs="Times New Roman"/>
                <w:color w:val="000000" w:themeColor="text1"/>
                <w:lang w:val="ro-MD"/>
              </w:rPr>
              <w:t>BNM</w:t>
            </w:r>
            <w:r w:rsidRPr="00C011B2">
              <w:rPr>
                <w:rFonts w:ascii="Times New Roman" w:hAnsi="Times New Roman" w:cs="Times New Roman"/>
                <w:color w:val="000000" w:themeColor="text1"/>
                <w:lang w:val="ro-MD"/>
              </w:rPr>
              <w:t xml:space="preserve"> îl consideră satisfăcător, astfel încât următoarea condiție să fie îndeplinită, suma fiind preluată din cele 60 de zile lucrătoare anterioare:</w:t>
            </w:r>
          </w:p>
          <w:p w14:paraId="34C270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3D0F6F3C" wp14:editId="142B2C83">
                  <wp:extent cx="2413000" cy="762000"/>
                  <wp:effectExtent l="0" t="0" r="6350" b="0"/>
                  <wp:docPr id="198" name="Picture 1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413000" cy="762000"/>
                          </a:xfrm>
                          <a:prstGeom prst="rect">
                            <a:avLst/>
                          </a:prstGeom>
                          <a:noFill/>
                          <a:ln>
                            <a:noFill/>
                          </a:ln>
                        </pic:spPr>
                      </pic:pic>
                    </a:graphicData>
                  </a:graphic>
                </wp:inline>
              </w:drawing>
            </w:r>
          </w:p>
          <w:p w14:paraId="2271C83A" w14:textId="32E8F2CC" w:rsidR="008A3314" w:rsidRPr="00C011B2" w:rsidRDefault="009C09F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349.1.1. </w:t>
            </w:r>
            <w:r w:rsidR="008A3314" w:rsidRPr="00C011B2">
              <w:rPr>
                <w:rFonts w:ascii="Times New Roman" w:hAnsi="Times New Roman" w:cs="Times New Roman"/>
                <w:color w:val="000000" w:themeColor="text1"/>
                <w:lang w:val="ro-MD"/>
              </w:rPr>
              <w:t xml:space="preserve">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care nu mai îndeplinește cerința prevăzută la </w:t>
            </w:r>
            <w:r w:rsidRPr="00C011B2">
              <w:rPr>
                <w:rFonts w:ascii="Times New Roman" w:hAnsi="Times New Roman" w:cs="Times New Roman"/>
                <w:color w:val="000000" w:themeColor="text1"/>
                <w:lang w:val="ro-MD"/>
              </w:rPr>
              <w:t>subpct.349.1</w:t>
            </w:r>
            <w:r w:rsidR="008A3314" w:rsidRPr="00C011B2">
              <w:rPr>
                <w:rFonts w:ascii="Times New Roman" w:hAnsi="Times New Roman" w:cs="Times New Roman"/>
                <w:color w:val="000000" w:themeColor="text1"/>
                <w:lang w:val="ro-MD"/>
              </w:rPr>
              <w:t xml:space="preserve"> notifică imediat acest fapt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și actualizează subsetul de factori de risc modelabili în termen de două săptămâni astfel încât să îndeplinească cerința respectivă; în cazul în care, după două săptămâni,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nu a îndeplinit această cerință,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revine la abordarea prevăzută în capitolul </w:t>
            </w:r>
            <w:r w:rsidRPr="00C011B2">
              <w:rPr>
                <w:rFonts w:ascii="Times New Roman" w:hAnsi="Times New Roman" w:cs="Times New Roman"/>
                <w:color w:val="000000" w:themeColor="text1"/>
                <w:lang w:val="ro-MD"/>
              </w:rPr>
              <w:t xml:space="preserve">II </w:t>
            </w:r>
            <w:r w:rsidR="008A3314" w:rsidRPr="00C011B2">
              <w:rPr>
                <w:rFonts w:ascii="Times New Roman" w:hAnsi="Times New Roman" w:cs="Times New Roman"/>
                <w:color w:val="000000" w:themeColor="text1"/>
                <w:lang w:val="ro-MD"/>
              </w:rPr>
              <w:t xml:space="preserve">pentru a calcula cerințele de fonduri proprii pentru riscul de piață pentru anumite birouri de tranzacționare, până în momentul în care respectiva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este în măsură să demonstreze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că îndeplinește cerința prevăzută la </w:t>
            </w:r>
            <w:r w:rsidRPr="00C011B2">
              <w:rPr>
                <w:rFonts w:ascii="Times New Roman" w:hAnsi="Times New Roman" w:cs="Times New Roman"/>
                <w:color w:val="000000" w:themeColor="text1"/>
                <w:lang w:val="ro-MD"/>
              </w:rPr>
              <w:t>subpct.349.1</w:t>
            </w:r>
            <w:r w:rsidR="008A3314" w:rsidRPr="00C011B2">
              <w:rPr>
                <w:rFonts w:ascii="Times New Roman" w:hAnsi="Times New Roman" w:cs="Times New Roman"/>
                <w:color w:val="000000" w:themeColor="text1"/>
                <w:lang w:val="ro-MD"/>
              </w:rPr>
              <w:t>;</w:t>
            </w:r>
          </w:p>
          <w:p w14:paraId="021B140B" w14:textId="2DB7447E" w:rsidR="008A3314" w:rsidRPr="00C011B2" w:rsidRDefault="009C09F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349.2</w:t>
            </w:r>
            <w:r w:rsidR="008A3314" w:rsidRPr="00C011B2">
              <w:rPr>
                <w:rFonts w:ascii="Times New Roman" w:hAnsi="Times New Roman" w:cs="Times New Roman"/>
                <w:color w:val="000000" w:themeColor="text1"/>
                <w:lang w:val="ro-MD"/>
              </w:rPr>
              <w:t> la calcularea</w:t>
            </w:r>
          </w:p>
          <w:p w14:paraId="63DC9B9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7575DA7" wp14:editId="4DB0B51F">
                  <wp:extent cx="850900" cy="393700"/>
                  <wp:effectExtent l="0" t="0" r="6350" b="6350"/>
                  <wp:docPr id="199" name="Picture 1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214A1FDE" w14:textId="2E123A1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 </w:t>
            </w:r>
            <w:r w:rsidR="009C09FF"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aplică scenarii ale unor șocuri viitoare numai subsetului de factori de risc modelabili aferenți pozițiilor din portofoliu ales de </w:t>
            </w:r>
            <w:r w:rsidR="009C09FF"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 xml:space="preserve">în sensul </w:t>
            </w:r>
            <w:r w:rsidR="009C09FF" w:rsidRPr="00C011B2">
              <w:rPr>
                <w:rFonts w:ascii="Times New Roman" w:hAnsi="Times New Roman" w:cs="Times New Roman"/>
                <w:color w:val="000000" w:themeColor="text1"/>
                <w:lang w:val="ro-MD"/>
              </w:rPr>
              <w:t>subpct.349.1</w:t>
            </w:r>
            <w:r w:rsidRPr="00C011B2">
              <w:rPr>
                <w:rFonts w:ascii="Times New Roman" w:hAnsi="Times New Roman" w:cs="Times New Roman"/>
                <w:color w:val="000000" w:themeColor="text1"/>
                <w:lang w:val="ro-MD"/>
              </w:rPr>
              <w:t xml:space="preserve"> și care au fost încadrați în categoria generală de factori de risc „i” în conformitate cu </w:t>
            </w:r>
            <w:r w:rsidR="004B453B" w:rsidRPr="00C011B2">
              <w:rPr>
                <w:rFonts w:ascii="Times New Roman" w:hAnsi="Times New Roman" w:cs="Times New Roman"/>
                <w:color w:val="000000" w:themeColor="text1"/>
                <w:lang w:val="ro-MD"/>
              </w:rPr>
              <w:t>subsecțiunea 3</w:t>
            </w:r>
            <w:r w:rsidRPr="00C011B2">
              <w:rPr>
                <w:rFonts w:ascii="Times New Roman" w:hAnsi="Times New Roman" w:cs="Times New Roman"/>
                <w:color w:val="000000" w:themeColor="text1"/>
                <w:lang w:val="ro-MD"/>
              </w:rPr>
              <w:t>;</w:t>
            </w:r>
          </w:p>
          <w:p w14:paraId="33B5459D" w14:textId="7D1ABDE3"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349.3.</w:t>
            </w:r>
            <w:r w:rsidR="008A3314" w:rsidRPr="00C011B2">
              <w:rPr>
                <w:rFonts w:ascii="Times New Roman" w:hAnsi="Times New Roman" w:cs="Times New Roman"/>
                <w:color w:val="000000" w:themeColor="text1"/>
                <w:lang w:val="ro-MD"/>
              </w:rPr>
              <w:t> datele de intrare utilizate pentru a determina scenariile unor șocuri viitoare aplicate factorilor de risc modelabili menționați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subpct.349.1</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349.2</w:t>
            </w:r>
            <w:r w:rsidR="008A3314" w:rsidRPr="00C011B2">
              <w:rPr>
                <w:rFonts w:ascii="Times New Roman" w:hAnsi="Times New Roman" w:cs="Times New Roman"/>
                <w:color w:val="000000" w:themeColor="text1"/>
                <w:lang w:val="ro-MD"/>
              </w:rPr>
              <w:t xml:space="preserve"> sunt calibrate în raport cu datele istorice dintr-o perioadă continuă de 12 luni de criză financiară care este identificată de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pentru a maximiza valoarea</w:t>
            </w:r>
          </w:p>
          <w:p w14:paraId="4C3C7A3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F213DDB" wp14:editId="094EBB00">
                  <wp:extent cx="755650" cy="381000"/>
                  <wp:effectExtent l="0" t="0" r="6350" b="0"/>
                  <wp:docPr id="200" name="Picture 2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381000"/>
                          </a:xfrm>
                          <a:prstGeom prst="rect">
                            <a:avLst/>
                          </a:prstGeom>
                          <a:noFill/>
                          <a:ln>
                            <a:noFill/>
                          </a:ln>
                        </pic:spPr>
                      </pic:pic>
                    </a:graphicData>
                  </a:graphic>
                </wp:inline>
              </w:drawing>
            </w:r>
          </w:p>
          <w:p w14:paraId="472881B1" w14:textId="32F7321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în scopul identificării perioadei de criză respective,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utilizează o perioadă de observație care începe cel târziu la 1 ianuarie 2007, într-un mod pe care </w:t>
            </w:r>
            <w:r w:rsidR="004B453B" w:rsidRPr="00C011B2">
              <w:rPr>
                <w:rFonts w:ascii="Times New Roman" w:hAnsi="Times New Roman" w:cs="Times New Roman"/>
                <w:color w:val="000000" w:themeColor="text1"/>
                <w:lang w:val="ro-MD"/>
              </w:rPr>
              <w:t>BNM</w:t>
            </w:r>
            <w:r w:rsidRPr="00C011B2">
              <w:rPr>
                <w:rFonts w:ascii="Times New Roman" w:hAnsi="Times New Roman" w:cs="Times New Roman"/>
                <w:color w:val="000000" w:themeColor="text1"/>
                <w:lang w:val="ro-MD"/>
              </w:rPr>
              <w:t xml:space="preserve"> îl consideră satisfăcător; și</w:t>
            </w:r>
          </w:p>
          <w:p w14:paraId="78043F9C" w14:textId="5048E116"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349.4.</w:t>
            </w:r>
            <w:r w:rsidR="008A3314" w:rsidRPr="00C011B2">
              <w:rPr>
                <w:rFonts w:ascii="Times New Roman" w:hAnsi="Times New Roman" w:cs="Times New Roman"/>
                <w:color w:val="000000" w:themeColor="text1"/>
                <w:lang w:val="ro-MD"/>
              </w:rPr>
              <w:t> datele de intrare pentru</w:t>
            </w:r>
          </w:p>
          <w:p w14:paraId="56093B7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C68AA92" wp14:editId="46646606">
                  <wp:extent cx="850900" cy="393700"/>
                  <wp:effectExtent l="0" t="0" r="6350" b="6350"/>
                  <wp:docPr id="201" name="Picture 2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50900" cy="393700"/>
                          </a:xfrm>
                          <a:prstGeom prst="rect">
                            <a:avLst/>
                          </a:prstGeom>
                          <a:noFill/>
                          <a:ln>
                            <a:noFill/>
                          </a:ln>
                        </pic:spPr>
                      </pic:pic>
                    </a:graphicData>
                  </a:graphic>
                </wp:inline>
              </w:drawing>
            </w:r>
          </w:p>
          <w:p w14:paraId="45587486" w14:textId="0DB821B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sunt calibrate în raport cu perioada de criză de 12 luni care a fost identificată de către </w:t>
            </w:r>
            <w:r w:rsidR="004B453B" w:rsidRPr="00C011B2">
              <w:rPr>
                <w:rFonts w:ascii="Times New Roman" w:hAnsi="Times New Roman" w:cs="Times New Roman"/>
                <w:color w:val="000000" w:themeColor="text1"/>
                <w:lang w:val="ro-MD"/>
              </w:rPr>
              <w:t xml:space="preserve">bancă </w:t>
            </w:r>
            <w:r w:rsidRPr="00C011B2">
              <w:rPr>
                <w:rFonts w:ascii="Times New Roman" w:hAnsi="Times New Roman" w:cs="Times New Roman"/>
                <w:color w:val="000000" w:themeColor="text1"/>
                <w:lang w:val="ro-MD"/>
              </w:rPr>
              <w:t>în sensul</w:t>
            </w:r>
            <w:r w:rsidR="004B453B" w:rsidRPr="00C011B2">
              <w:rPr>
                <w:rFonts w:ascii="Times New Roman" w:hAnsi="Times New Roman" w:cs="Times New Roman"/>
                <w:color w:val="000000" w:themeColor="text1"/>
                <w:lang w:val="ro-MD"/>
              </w:rPr>
              <w:t>subpct.349.3</w:t>
            </w:r>
            <w:r w:rsidRPr="00C011B2">
              <w:rPr>
                <w:rFonts w:ascii="Times New Roman" w:hAnsi="Times New Roman" w:cs="Times New Roman"/>
                <w:color w:val="000000" w:themeColor="text1"/>
                <w:lang w:val="ro-MD"/>
              </w:rPr>
              <w:t>.</w:t>
            </w:r>
          </w:p>
        </w:tc>
        <w:tc>
          <w:tcPr>
            <w:tcW w:w="450" w:type="pct"/>
          </w:tcPr>
          <w:p w14:paraId="6D7B1E0E" w14:textId="1F2C23D3" w:rsidR="008A3314" w:rsidRPr="00C011B2" w:rsidRDefault="00127685"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73CF61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DA017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33512BC" w14:textId="246F1E0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În scopul calculării măsurilor valorilor la risc condiționate parțiale</w:t>
            </w:r>
          </w:p>
          <w:p w14:paraId="661C8352" w14:textId="37C5CD9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3BB1AEA" wp14:editId="20780789">
                  <wp:extent cx="774700" cy="381000"/>
                  <wp:effectExtent l="0" t="0" r="6350" b="0"/>
                  <wp:docPr id="102" name="Picture 1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p w14:paraId="6EE6D68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28BFD40D" w14:textId="0199749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C048502" wp14:editId="4C555B39">
                  <wp:extent cx="876300" cy="393700"/>
                  <wp:effectExtent l="0" t="0" r="0" b="6350"/>
                  <wp:docPr id="101" name="Picture 10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6236D1C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menționate la articolul 325bb alineatul (1), instituțiile îndeplinesc, în plus față de cerințele stabilite la alineatul (1) de la prezentul articol, următoarele cerințe:</w:t>
            </w:r>
          </w:p>
          <w:p w14:paraId="3AAF3C30" w14:textId="55DF950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la calcularea</w:t>
            </w:r>
          </w:p>
          <w:p w14:paraId="6FA4D1BB" w14:textId="0C179D2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46F7D44" wp14:editId="4F30541C">
                  <wp:extent cx="774700" cy="381000"/>
                  <wp:effectExtent l="0" t="0" r="6350" b="0"/>
                  <wp:docPr id="100" name="Picture 10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p w14:paraId="210EDA0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instituțiile aplică scenarii ale unor șocuri viitoare numai subsetului de factori de risc modelabili aferenți pozițiilor din portofoliu menționat la alineatul (2) litera (a);</w:t>
            </w:r>
          </w:p>
          <w:p w14:paraId="1C0AB8FC" w14:textId="7D645CD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la calcularea</w:t>
            </w:r>
          </w:p>
          <w:p w14:paraId="62675F5B" w14:textId="23C4973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44253D98" wp14:editId="46A785CB">
                  <wp:extent cx="876300" cy="393700"/>
                  <wp:effectExtent l="0" t="0" r="0" b="6350"/>
                  <wp:docPr id="99" name="Picture 9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32C20EA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instituțiile aplică scenarii ale unor șocuri viitoare numai subsetului de factori de risc modelabili aferenți pozițiilor din portofoliu menționat la alineatul (2) litera (b);</w:t>
            </w:r>
          </w:p>
          <w:p w14:paraId="1456B471" w14:textId="62B343D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datele de intrare utilizate pentru a determina scenariile unor șocuri viitoare aplicate factorilor de risc modelabili menționați la prezentul alineat literele (a) și (b) sunt calibrate în raport cu datele istorice menționate la alineatul (4) litera (c); datele respective se actualizează cel puțin o dată pe lună.</w:t>
            </w:r>
          </w:p>
        </w:tc>
        <w:tc>
          <w:tcPr>
            <w:tcW w:w="1692" w:type="pct"/>
            <w:shd w:val="clear" w:color="auto" w:fill="auto"/>
          </w:tcPr>
          <w:p w14:paraId="14AADCDC" w14:textId="6BF22712"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350.</w:t>
            </w:r>
            <w:r w:rsidR="008A3314" w:rsidRPr="00C011B2">
              <w:rPr>
                <w:rFonts w:ascii="Times New Roman" w:hAnsi="Times New Roman" w:cs="Times New Roman"/>
                <w:color w:val="000000" w:themeColor="text1"/>
                <w:lang w:val="ro-MD"/>
              </w:rPr>
              <w:t>   În scopul calculării măsurilor valorilor la risc condiționate parțiale</w:t>
            </w:r>
          </w:p>
          <w:p w14:paraId="79E78DE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4F969C59" wp14:editId="5FF8F45F">
                  <wp:extent cx="774700" cy="381000"/>
                  <wp:effectExtent l="0" t="0" r="6350" b="0"/>
                  <wp:docPr id="202" name="Picture 20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p w14:paraId="433AE62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459C31E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CC3CBE2" wp14:editId="2E71821B">
                  <wp:extent cx="876300" cy="393700"/>
                  <wp:effectExtent l="0" t="0" r="0" b="6350"/>
                  <wp:docPr id="203" name="Picture 2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1433F6B7" w14:textId="2FB75FA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menționate la </w:t>
            </w:r>
            <w:r w:rsidR="004B453B" w:rsidRPr="00C011B2">
              <w:rPr>
                <w:rFonts w:ascii="Times New Roman" w:hAnsi="Times New Roman" w:cs="Times New Roman"/>
                <w:color w:val="000000" w:themeColor="text1"/>
                <w:lang w:val="ro-MD"/>
              </w:rPr>
              <w:t>pct.344</w:t>
            </w:r>
            <w:r w:rsidRPr="00C011B2">
              <w:rPr>
                <w:rFonts w:ascii="Times New Roman" w:hAnsi="Times New Roman" w:cs="Times New Roman"/>
                <w:color w:val="000000" w:themeColor="text1"/>
                <w:lang w:val="ro-MD"/>
              </w:rPr>
              <w:t xml:space="preser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îndeplinesc, în plus față de cerințele stabilite la </w:t>
            </w:r>
            <w:r w:rsidR="004B453B" w:rsidRPr="00C011B2">
              <w:rPr>
                <w:rFonts w:ascii="Times New Roman" w:hAnsi="Times New Roman" w:cs="Times New Roman"/>
                <w:color w:val="000000" w:themeColor="text1"/>
                <w:lang w:val="ro-MD"/>
              </w:rPr>
              <w:t>pct.348</w:t>
            </w:r>
            <w:r w:rsidRPr="00C011B2">
              <w:rPr>
                <w:rFonts w:ascii="Times New Roman" w:hAnsi="Times New Roman" w:cs="Times New Roman"/>
                <w:color w:val="000000" w:themeColor="text1"/>
                <w:lang w:val="ro-MD"/>
              </w:rPr>
              <w:t>, următoarele cerințe:</w:t>
            </w:r>
          </w:p>
          <w:p w14:paraId="288C8500" w14:textId="28DC826D"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350.1.</w:t>
            </w:r>
            <w:r w:rsidR="008A3314" w:rsidRPr="00C011B2">
              <w:rPr>
                <w:rFonts w:ascii="Times New Roman" w:hAnsi="Times New Roman" w:cs="Times New Roman"/>
                <w:color w:val="000000" w:themeColor="text1"/>
                <w:lang w:val="ro-MD"/>
              </w:rPr>
              <w:t> la calcularea</w:t>
            </w:r>
          </w:p>
          <w:p w14:paraId="31D7258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39919F4" wp14:editId="33857ECE">
                  <wp:extent cx="774700" cy="381000"/>
                  <wp:effectExtent l="0" t="0" r="6350" b="0"/>
                  <wp:docPr id="204" name="Picture 2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74700" cy="381000"/>
                          </a:xfrm>
                          <a:prstGeom prst="rect">
                            <a:avLst/>
                          </a:prstGeom>
                          <a:noFill/>
                          <a:ln>
                            <a:noFill/>
                          </a:ln>
                        </pic:spPr>
                      </pic:pic>
                    </a:graphicData>
                  </a:graphic>
                </wp:inline>
              </w:drawing>
            </w:r>
          </w:p>
          <w:p w14:paraId="25C734F6" w14:textId="23DA186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aplică scenarii ale unor șocuri viitoare numai subsetului de factori de risc modelabili aferenți pozițiilor din portofoliu menționat la </w:t>
            </w:r>
            <w:r w:rsidR="004B453B" w:rsidRPr="00C011B2">
              <w:rPr>
                <w:rFonts w:ascii="Times New Roman" w:hAnsi="Times New Roman" w:cs="Times New Roman"/>
                <w:color w:val="000000" w:themeColor="text1"/>
                <w:lang w:val="ro-MD"/>
              </w:rPr>
              <w:t>subpct.349.1</w:t>
            </w:r>
            <w:r w:rsidRPr="00C011B2">
              <w:rPr>
                <w:rFonts w:ascii="Times New Roman" w:hAnsi="Times New Roman" w:cs="Times New Roman"/>
                <w:color w:val="000000" w:themeColor="text1"/>
                <w:lang w:val="ro-MD"/>
              </w:rPr>
              <w:t>;</w:t>
            </w:r>
          </w:p>
          <w:p w14:paraId="66478C71" w14:textId="00E69C08"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350.2.</w:t>
            </w:r>
            <w:r w:rsidR="008A3314" w:rsidRPr="00C011B2">
              <w:rPr>
                <w:rFonts w:ascii="Times New Roman" w:hAnsi="Times New Roman" w:cs="Times New Roman"/>
                <w:color w:val="000000" w:themeColor="text1"/>
                <w:lang w:val="ro-MD"/>
              </w:rPr>
              <w:t> la calcularea</w:t>
            </w:r>
          </w:p>
          <w:p w14:paraId="61E3CB6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35E8485" wp14:editId="7C0EBA6E">
                  <wp:extent cx="876300" cy="393700"/>
                  <wp:effectExtent l="0" t="0" r="0" b="6350"/>
                  <wp:docPr id="205" name="Picture 2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76300" cy="393700"/>
                          </a:xfrm>
                          <a:prstGeom prst="rect">
                            <a:avLst/>
                          </a:prstGeom>
                          <a:noFill/>
                          <a:ln>
                            <a:noFill/>
                          </a:ln>
                        </pic:spPr>
                      </pic:pic>
                    </a:graphicData>
                  </a:graphic>
                </wp:inline>
              </w:drawing>
            </w:r>
          </w:p>
          <w:p w14:paraId="7AFF0E06" w14:textId="5BC7716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aplică scenarii ale unor șocuri viitoare numai subsetului de factori de risc modelabili aferenți pozițiilor din portofoliu menționat la </w:t>
            </w:r>
            <w:r w:rsidR="004B453B" w:rsidRPr="00C011B2">
              <w:rPr>
                <w:rFonts w:ascii="Times New Roman" w:hAnsi="Times New Roman" w:cs="Times New Roman"/>
                <w:color w:val="000000" w:themeColor="text1"/>
                <w:lang w:val="ro-MD"/>
              </w:rPr>
              <w:t>subpct.349.2</w:t>
            </w:r>
            <w:r w:rsidRPr="00C011B2">
              <w:rPr>
                <w:rFonts w:ascii="Times New Roman" w:hAnsi="Times New Roman" w:cs="Times New Roman"/>
                <w:color w:val="000000" w:themeColor="text1"/>
                <w:lang w:val="ro-MD"/>
              </w:rPr>
              <w:t>;</w:t>
            </w:r>
          </w:p>
          <w:p w14:paraId="5D55197B" w14:textId="19950318"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350.3.</w:t>
            </w:r>
            <w:r w:rsidR="008A3314" w:rsidRPr="00C011B2">
              <w:rPr>
                <w:rFonts w:ascii="Times New Roman" w:hAnsi="Times New Roman" w:cs="Times New Roman"/>
                <w:color w:val="000000" w:themeColor="text1"/>
                <w:lang w:val="ro-MD"/>
              </w:rPr>
              <w:t xml:space="preserve"> datele de intrare utilizate pentru a determina scenariile unor șocuri viitoare aplicate factorilor de risc modelabili menționați la </w:t>
            </w:r>
            <w:r w:rsidRPr="00C011B2">
              <w:rPr>
                <w:rFonts w:ascii="Times New Roman" w:hAnsi="Times New Roman" w:cs="Times New Roman"/>
                <w:color w:val="000000" w:themeColor="text1"/>
                <w:lang w:val="ro-MD"/>
              </w:rPr>
              <w:t xml:space="preserve">subpct.350.1 </w:t>
            </w:r>
            <w:r w:rsidR="008A3314" w:rsidRPr="00C011B2">
              <w:rPr>
                <w:rFonts w:ascii="Times New Roman" w:hAnsi="Times New Roman" w:cs="Times New Roman"/>
                <w:color w:val="000000" w:themeColor="text1"/>
                <w:lang w:val="ro-MD"/>
              </w:rPr>
              <w:t>și </w:t>
            </w:r>
            <w:r w:rsidRPr="00C011B2">
              <w:rPr>
                <w:rFonts w:ascii="Times New Roman" w:hAnsi="Times New Roman" w:cs="Times New Roman"/>
                <w:color w:val="000000" w:themeColor="text1"/>
                <w:lang w:val="ro-MD"/>
              </w:rPr>
              <w:t>350.2</w:t>
            </w:r>
            <w:r w:rsidR="008A3314" w:rsidRPr="00C011B2">
              <w:rPr>
                <w:rFonts w:ascii="Times New Roman" w:hAnsi="Times New Roman" w:cs="Times New Roman"/>
                <w:color w:val="000000" w:themeColor="text1"/>
                <w:lang w:val="ro-MD"/>
              </w:rPr>
              <w:t xml:space="preserve"> sunt calibrate în raport cu datele istorice menționate la </w:t>
            </w:r>
            <w:r w:rsidRPr="00C011B2">
              <w:rPr>
                <w:rFonts w:ascii="Times New Roman" w:hAnsi="Times New Roman" w:cs="Times New Roman"/>
                <w:color w:val="000000" w:themeColor="text1"/>
                <w:lang w:val="ro-MD"/>
              </w:rPr>
              <w:t>subpct.351.3</w:t>
            </w:r>
            <w:r w:rsidR="008A3314" w:rsidRPr="00C011B2">
              <w:rPr>
                <w:rFonts w:ascii="Times New Roman" w:hAnsi="Times New Roman" w:cs="Times New Roman"/>
                <w:color w:val="000000" w:themeColor="text1"/>
                <w:lang w:val="ro-MD"/>
              </w:rPr>
              <w:t>; datele respective se actualizează cel puțin o dată pe lună.</w:t>
            </w:r>
          </w:p>
        </w:tc>
        <w:tc>
          <w:tcPr>
            <w:tcW w:w="450" w:type="pct"/>
          </w:tcPr>
          <w:p w14:paraId="24BF79FF" w14:textId="7355E977" w:rsidR="008A3314" w:rsidRPr="00C011B2" w:rsidRDefault="00127685"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0B7FE3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7F8A41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73C1CD" w14:textId="4C684DF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scopul calculării măsurilor valorilor la risc condiționate parțiale</w:t>
            </w:r>
          </w:p>
          <w:p w14:paraId="0BDED262" w14:textId="470A75F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4F2922C" wp14:editId="566DA2C6">
                  <wp:extent cx="762000" cy="381000"/>
                  <wp:effectExtent l="0" t="0" r="0" b="0"/>
                  <wp:docPr id="106" name="Picture 1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p w14:paraId="7E39A5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0486B764" w14:textId="4B1FB86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8DE8A6E" wp14:editId="79EB18B4">
                  <wp:extent cx="869950" cy="393700"/>
                  <wp:effectExtent l="0" t="0" r="6350" b="6350"/>
                  <wp:docPr id="105" name="Picture 1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3F36311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menționate la articolul 325bb alineatul (1), instituțiile îndeplinesc, în plus față de cerințele stabilite la alineatul (1) de la prezentul articol, următoarele cerințe:</w:t>
            </w:r>
          </w:p>
          <w:p w14:paraId="19C2FD6F" w14:textId="5884355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la calcularea</w:t>
            </w:r>
          </w:p>
          <w:p w14:paraId="688152A7" w14:textId="3659162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lastRenderedPageBreak/>
              <w:drawing>
                <wp:inline distT="0" distB="0" distL="0" distR="0" wp14:anchorId="0C71A61C" wp14:editId="2D307083">
                  <wp:extent cx="762000" cy="381000"/>
                  <wp:effectExtent l="0" t="0" r="0" b="0"/>
                  <wp:docPr id="104" name="Picture 1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p w14:paraId="444CCDE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instituțiile aplică scenarii ale unor șocuri viitoare tuturor factorilor de risc modelabili aferenți pozițiilor din portofoliu;</w:t>
            </w:r>
          </w:p>
          <w:p w14:paraId="22B9A357" w14:textId="62FFAD1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la calcularea</w:t>
            </w:r>
          </w:p>
          <w:p w14:paraId="46BBFFD8" w14:textId="5C93249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EFE354B" wp14:editId="5739B9A0">
                  <wp:extent cx="869950" cy="393700"/>
                  <wp:effectExtent l="0" t="0" r="6350" b="6350"/>
                  <wp:docPr id="103" name="Picture 1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3552E6F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instituțiile aplică scenarii ale unor șocuri viitoare tuturor factorilor de risc modelabili aferenți pozițiilor din portofoliu care au fost încadrați în categoria generală de factori de risc i în conformitate cu articolul 325bd;</w:t>
            </w:r>
          </w:p>
          <w:p w14:paraId="0C58C618" w14:textId="0ED0CCF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datele de intrare utilizate pentru a determina scenariile unor șocuri viitoare aplicate factorilor de risc modelabili menționați la literele (a) și (b) sunt calibrate în raport cu datele istorice din perioada de 12 luni anterioară; atunci când se produce o creștere semnificativă a volatilității prețurilor unui număr semnificativ de factori de risc modelabili aferenți portofoliului unei instituții care nu sunt incluși în subsetul de factori de risc menționat la alineatul (2) litera (a), autoritățile competente pot impune unei instituții să utilizeze datele istorice pentru o perioadă mai scurtă decât cele 12 luni anterioare, dar această </w:t>
            </w:r>
            <w:r w:rsidRPr="00C011B2">
              <w:rPr>
                <w:rFonts w:ascii="Times New Roman" w:hAnsi="Times New Roman" w:cs="Times New Roman"/>
                <w:color w:val="000000" w:themeColor="text1"/>
                <w:lang w:val="ro-MD"/>
              </w:rPr>
              <w:lastRenderedPageBreak/>
              <w:t>perioadă nu poate fi mai scurtă decât cele șase luni anterioare; autoritățile competente notifică ABE orice decizie prin care impun unei instituții să utilizeze datele istorice dintr-o perioadă mai scurtă de 12 luni și își motivează decizia respectivă.</w:t>
            </w:r>
          </w:p>
        </w:tc>
        <w:tc>
          <w:tcPr>
            <w:tcW w:w="1692" w:type="pct"/>
            <w:shd w:val="clear" w:color="auto" w:fill="auto"/>
          </w:tcPr>
          <w:p w14:paraId="5C12FF2D" w14:textId="04A45DF4"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351.</w:t>
            </w:r>
            <w:r w:rsidR="008A3314" w:rsidRPr="00C011B2">
              <w:rPr>
                <w:rFonts w:ascii="Times New Roman" w:hAnsi="Times New Roman" w:cs="Times New Roman"/>
                <w:color w:val="000000" w:themeColor="text1"/>
                <w:lang w:val="ro-MD"/>
              </w:rPr>
              <w:t>   În scopul calculării măsurilor valorilor la risc condiționate parțiale</w:t>
            </w:r>
          </w:p>
          <w:p w14:paraId="5FD44CD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5241E2A" wp14:editId="65A60BB2">
                  <wp:extent cx="762000" cy="381000"/>
                  <wp:effectExtent l="0" t="0" r="0" b="0"/>
                  <wp:docPr id="206" name="Picture 2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p w14:paraId="6E95D39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și</w:t>
            </w:r>
          </w:p>
          <w:p w14:paraId="04E313C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E1B8EB8" wp14:editId="723F07A0">
                  <wp:extent cx="869950" cy="393700"/>
                  <wp:effectExtent l="0" t="0" r="6350" b="6350"/>
                  <wp:docPr id="207" name="Picture 20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1679D378" w14:textId="2D72CB9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menționate la </w:t>
            </w:r>
            <w:r w:rsidR="004B453B" w:rsidRPr="00C011B2">
              <w:rPr>
                <w:rFonts w:ascii="Times New Roman" w:hAnsi="Times New Roman" w:cs="Times New Roman"/>
                <w:color w:val="000000" w:themeColor="text1"/>
                <w:lang w:val="ro-MD"/>
              </w:rPr>
              <w:t>pct.344</w:t>
            </w:r>
            <w:r w:rsidRPr="00C011B2">
              <w:rPr>
                <w:rFonts w:ascii="Times New Roman" w:hAnsi="Times New Roman" w:cs="Times New Roman"/>
                <w:color w:val="000000" w:themeColor="text1"/>
                <w:lang w:val="ro-MD"/>
              </w:rPr>
              <w:t xml:space="preser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îndeplinesc, în plus față de cerințele stabilite la </w:t>
            </w:r>
            <w:r w:rsidR="004B453B" w:rsidRPr="00C011B2">
              <w:rPr>
                <w:rFonts w:ascii="Times New Roman" w:hAnsi="Times New Roman" w:cs="Times New Roman"/>
                <w:color w:val="000000" w:themeColor="text1"/>
                <w:lang w:val="ro-MD"/>
              </w:rPr>
              <w:t>pct.348</w:t>
            </w:r>
            <w:r w:rsidRPr="00C011B2">
              <w:rPr>
                <w:rFonts w:ascii="Times New Roman" w:hAnsi="Times New Roman" w:cs="Times New Roman"/>
                <w:color w:val="000000" w:themeColor="text1"/>
                <w:lang w:val="ro-MD"/>
              </w:rPr>
              <w:t>, următoarele cerințe:</w:t>
            </w:r>
          </w:p>
          <w:p w14:paraId="5AB25BD6" w14:textId="27F99BD1"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351.1.</w:t>
            </w:r>
            <w:r w:rsidR="008A3314" w:rsidRPr="00C011B2">
              <w:rPr>
                <w:rFonts w:ascii="Times New Roman" w:hAnsi="Times New Roman" w:cs="Times New Roman"/>
                <w:color w:val="000000" w:themeColor="text1"/>
                <w:lang w:val="ro-MD"/>
              </w:rPr>
              <w:t> la calcularea</w:t>
            </w:r>
          </w:p>
          <w:p w14:paraId="077A184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7147CB5" wp14:editId="6801280F">
                  <wp:extent cx="762000" cy="381000"/>
                  <wp:effectExtent l="0" t="0" r="0" b="0"/>
                  <wp:docPr id="208" name="Picture 2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p>
          <w:p w14:paraId="72014496" w14:textId="2DDB59F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aplică scenarii ale unor șocuri viitoare tuturor factorilor de risc modelabili aferenți pozițiilor din portofoliu;</w:t>
            </w:r>
          </w:p>
          <w:p w14:paraId="35B11991" w14:textId="5317EB74" w:rsidR="008A3314"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351.2.</w:t>
            </w:r>
            <w:r w:rsidR="008A3314" w:rsidRPr="00C011B2">
              <w:rPr>
                <w:rFonts w:ascii="Times New Roman" w:hAnsi="Times New Roman" w:cs="Times New Roman"/>
                <w:color w:val="000000" w:themeColor="text1"/>
                <w:lang w:val="ro-MD"/>
              </w:rPr>
              <w:t> la calcularea</w:t>
            </w:r>
          </w:p>
          <w:p w14:paraId="662E98E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0F6AAE7B" wp14:editId="0AB44ECC">
                  <wp:extent cx="869950" cy="393700"/>
                  <wp:effectExtent l="0" t="0" r="6350" b="6350"/>
                  <wp:docPr id="209" name="Picture 2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69950" cy="393700"/>
                          </a:xfrm>
                          <a:prstGeom prst="rect">
                            <a:avLst/>
                          </a:prstGeom>
                          <a:noFill/>
                          <a:ln>
                            <a:noFill/>
                          </a:ln>
                        </pic:spPr>
                      </pic:pic>
                    </a:graphicData>
                  </a:graphic>
                </wp:inline>
              </w:drawing>
            </w:r>
          </w:p>
          <w:p w14:paraId="24ABDB56" w14:textId="3000B0A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 </w:t>
            </w:r>
            <w:r w:rsidR="004B453B" w:rsidRPr="00C011B2">
              <w:rPr>
                <w:rFonts w:ascii="Times New Roman" w:hAnsi="Times New Roman" w:cs="Times New Roman"/>
                <w:color w:val="000000" w:themeColor="text1"/>
                <w:lang w:val="ro-MD"/>
              </w:rPr>
              <w:t xml:space="preserve">băncile </w:t>
            </w:r>
            <w:r w:rsidRPr="00C011B2">
              <w:rPr>
                <w:rFonts w:ascii="Times New Roman" w:hAnsi="Times New Roman" w:cs="Times New Roman"/>
                <w:color w:val="000000" w:themeColor="text1"/>
                <w:lang w:val="ro-MD"/>
              </w:rPr>
              <w:t xml:space="preserve">aplică scenarii ale unor șocuri viitoare tuturor factorilor de risc modelabili aferenți pozițiilor din portofoliu care au fost încadrați în categoria generală de factori de risc i în conformitate cu </w:t>
            </w:r>
            <w:r w:rsidR="004B453B" w:rsidRPr="00C011B2">
              <w:rPr>
                <w:rFonts w:ascii="Times New Roman" w:hAnsi="Times New Roman" w:cs="Times New Roman"/>
                <w:color w:val="000000" w:themeColor="text1"/>
                <w:lang w:val="ro-MD"/>
              </w:rPr>
              <w:t>subsecțiunea 3</w:t>
            </w:r>
            <w:r w:rsidRPr="00C011B2">
              <w:rPr>
                <w:rFonts w:ascii="Times New Roman" w:hAnsi="Times New Roman" w:cs="Times New Roman"/>
                <w:color w:val="000000" w:themeColor="text1"/>
                <w:lang w:val="ro-MD"/>
              </w:rPr>
              <w:t>;</w:t>
            </w:r>
          </w:p>
          <w:p w14:paraId="4F3626D6" w14:textId="77777777" w:rsidR="003D1830" w:rsidRPr="00C011B2" w:rsidRDefault="004B453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351.3.</w:t>
            </w:r>
            <w:r w:rsidR="008A3314" w:rsidRPr="00C011B2">
              <w:rPr>
                <w:rFonts w:ascii="Times New Roman" w:hAnsi="Times New Roman" w:cs="Times New Roman"/>
                <w:color w:val="000000" w:themeColor="text1"/>
                <w:lang w:val="ro-MD"/>
              </w:rPr>
              <w:t> datele de intrare utilizate pentru a determina scenariile unor șocuri viitoare aplicate factorilor de risc modelabili menționați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subpct.351.1</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351.2</w:t>
            </w:r>
            <w:r w:rsidR="008A3314" w:rsidRPr="00C011B2">
              <w:rPr>
                <w:rFonts w:ascii="Times New Roman" w:hAnsi="Times New Roman" w:cs="Times New Roman"/>
                <w:color w:val="000000" w:themeColor="text1"/>
                <w:lang w:val="ro-MD"/>
              </w:rPr>
              <w:t xml:space="preserve"> sunt calibrate în raport cu datele istorice din perioada de 12 luni anterioară; atunci când se produce o creștere semnificativă a volatilității prețurilor unui număr semnificativ de factori de risc modelabili aferenți portofoliului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care nu sunt incluși în subsetul de factori de risc menționat la </w:t>
            </w:r>
            <w:r w:rsidR="00127685" w:rsidRPr="00C011B2">
              <w:rPr>
                <w:rFonts w:ascii="Times New Roman" w:hAnsi="Times New Roman" w:cs="Times New Roman"/>
                <w:color w:val="000000" w:themeColor="text1"/>
                <w:lang w:val="ro-MD"/>
              </w:rPr>
              <w:t xml:space="preserve">subpct.349.1 </w:t>
            </w:r>
            <w:r w:rsidR="008A3314" w:rsidRPr="00C011B2">
              <w:rPr>
                <w:rFonts w:ascii="Times New Roman" w:hAnsi="Times New Roman" w:cs="Times New Roman"/>
                <w:color w:val="000000" w:themeColor="text1"/>
                <w:lang w:val="ro-MD"/>
              </w:rPr>
              <w:t xml:space="preserve">, </w:t>
            </w:r>
            <w:r w:rsidR="00127685" w:rsidRPr="00C011B2">
              <w:rPr>
                <w:rFonts w:ascii="Times New Roman" w:hAnsi="Times New Roman" w:cs="Times New Roman"/>
                <w:color w:val="000000" w:themeColor="text1"/>
                <w:lang w:val="ro-MD"/>
              </w:rPr>
              <w:t xml:space="preserve">BNM poate </w:t>
            </w:r>
            <w:r w:rsidR="008A3314" w:rsidRPr="00C011B2">
              <w:rPr>
                <w:rFonts w:ascii="Times New Roman" w:hAnsi="Times New Roman" w:cs="Times New Roman"/>
                <w:color w:val="000000" w:themeColor="text1"/>
                <w:lang w:val="ro-MD"/>
              </w:rPr>
              <w:t xml:space="preserve">impune unei </w:t>
            </w:r>
            <w:r w:rsidR="00127685"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să utilizeze datele istorice pentru o perioadă mai scurtă decât cele 12 luni anterioare, dar această perioadă nu poate fi mai scurtă decât cele șase luni anterioare; </w:t>
            </w:r>
          </w:p>
          <w:p w14:paraId="44B44223" w14:textId="432A7779" w:rsidR="008A3314" w:rsidRPr="00C011B2" w:rsidRDefault="00127685"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351.3.1. BNM</w:t>
            </w:r>
            <w:r w:rsidR="008A3314" w:rsidRPr="00C011B2">
              <w:rPr>
                <w:rFonts w:ascii="Times New Roman" w:hAnsi="Times New Roman" w:cs="Times New Roman"/>
                <w:color w:val="000000" w:themeColor="text1"/>
                <w:lang w:val="ro-MD"/>
              </w:rPr>
              <w:t xml:space="preserve"> notifică ABE orice decizie prin care impun</w:t>
            </w:r>
            <w:r w:rsidR="0017361F" w:rsidRPr="00C011B2">
              <w:rPr>
                <w:rFonts w:ascii="Times New Roman" w:hAnsi="Times New Roman" w:cs="Times New Roman"/>
                <w:color w:val="000000" w:themeColor="text1"/>
                <w:lang w:val="ro-MD"/>
              </w:rPr>
              <w:t>e</w:t>
            </w:r>
            <w:r w:rsidR="008A3314" w:rsidRPr="00C011B2">
              <w:rPr>
                <w:rFonts w:ascii="Times New Roman" w:hAnsi="Times New Roman" w:cs="Times New Roman"/>
                <w:color w:val="000000" w:themeColor="text1"/>
                <w:lang w:val="ro-MD"/>
              </w:rPr>
              <w:t xml:space="preserv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să utilizeze datele istorice dintr-o perioadă mai scurtă de 12 luni și își motivează decizia respectivă.</w:t>
            </w:r>
          </w:p>
        </w:tc>
        <w:tc>
          <w:tcPr>
            <w:tcW w:w="450" w:type="pct"/>
          </w:tcPr>
          <w:p w14:paraId="525A1420" w14:textId="0695E2B2" w:rsidR="008A3314" w:rsidRPr="00C011B2" w:rsidRDefault="00127685"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4C3008A" w14:textId="3483DE37" w:rsidR="008A3314" w:rsidRPr="00C011B2" w:rsidRDefault="00127685"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ultimei propoziții se vor aplica de la data aderării Republicii Moldova la Uniunea Europeană.</w:t>
            </w:r>
          </w:p>
        </w:tc>
      </w:tr>
      <w:tr w:rsidR="008A3314" w:rsidRPr="00C011B2" w14:paraId="52EF06B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5AEDDD" w14:textId="7CCEE4D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  La calcularea unei anumite măsuri a valorii la risc condiționată parțială menționată la articolul 325bb alineatul (1), instituțiile mențin valorile factorilor de risc modelabili pentru care nu au fost obligate să aplice scenarii ale unor șocuri viitoare pentru această măsură a valorii la risc condiționată parțială în conformitate cu prezentul articol alineatele (2), (3) și (4).</w:t>
            </w:r>
          </w:p>
        </w:tc>
        <w:tc>
          <w:tcPr>
            <w:tcW w:w="1692" w:type="pct"/>
            <w:shd w:val="clear" w:color="auto" w:fill="auto"/>
          </w:tcPr>
          <w:p w14:paraId="2B641326" w14:textId="56FD400B" w:rsidR="008A3314" w:rsidRPr="00C011B2" w:rsidRDefault="00127685"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352.</w:t>
            </w:r>
            <w:r w:rsidR="008A3314" w:rsidRPr="00C011B2">
              <w:rPr>
                <w:rFonts w:ascii="Times New Roman" w:hAnsi="Times New Roman" w:cs="Times New Roman"/>
                <w:color w:val="000000" w:themeColor="text1"/>
                <w:lang w:val="ro-MD"/>
              </w:rPr>
              <w:t>  La calcularea unei anumite măsuri a valorii la risc condiționată parțială menționată la</w:t>
            </w:r>
            <w:r w:rsidR="00B415C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pct.344</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mențin valorile factorilor de risc modelabili pentru care nu au fost obligate să aplice scenarii ale unor șocuri viitoare pentru această măsură a valorii la risc condiționată parțială în conformitate cu </w:t>
            </w:r>
            <w:r w:rsidRPr="00C011B2">
              <w:rPr>
                <w:rFonts w:ascii="Times New Roman" w:hAnsi="Times New Roman" w:cs="Times New Roman"/>
                <w:color w:val="000000" w:themeColor="text1"/>
                <w:lang w:val="ro-MD"/>
              </w:rPr>
              <w:t>pct.349</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350</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351</w:t>
            </w:r>
            <w:r w:rsidR="008A3314" w:rsidRPr="00C011B2">
              <w:rPr>
                <w:rFonts w:ascii="Times New Roman" w:hAnsi="Times New Roman" w:cs="Times New Roman"/>
                <w:color w:val="000000" w:themeColor="text1"/>
                <w:lang w:val="ro-MD"/>
              </w:rPr>
              <w:t>.</w:t>
            </w:r>
          </w:p>
        </w:tc>
        <w:tc>
          <w:tcPr>
            <w:tcW w:w="450" w:type="pct"/>
          </w:tcPr>
          <w:p w14:paraId="393F66CE" w14:textId="656F211B" w:rsidR="008A3314" w:rsidRPr="00C011B2" w:rsidRDefault="00127685"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057CA0C"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2F77D2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BFD98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0" w:tooltip="32024R1623: INSERTED" w:history="1">
              <w:r w:rsidR="008A3314" w:rsidRPr="00C011B2">
                <w:rPr>
                  <w:rStyle w:val="Hyperlink"/>
                  <w:rFonts w:ascii="Times New Roman" w:hAnsi="Times New Roman" w:cs="Times New Roman"/>
                  <w:b/>
                  <w:bCs/>
                  <w:lang w:val="ro-MD"/>
                </w:rPr>
                <w:t>▼M17</w:t>
              </w:r>
            </w:hyperlink>
          </w:p>
          <w:p w14:paraId="00F52375" w14:textId="227F5F5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ABE elaborează proiecte de standarde tehnice de reglementare pentru a preciza criteriile de utilizare a datelor de intrare în modelul de măsurare a riscurilor menționat la prezentul articol, inclusiv criteriile privind acuratețea datelor și criteriile privind calibrarea datelor de intrare în cazul în care datele de piață sunt insuficiente.</w:t>
            </w:r>
          </w:p>
          <w:p w14:paraId="575DE14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10 ianuarie 2026.</w:t>
            </w:r>
          </w:p>
          <w:p w14:paraId="00915F21" w14:textId="0B7A199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Se deleagă Comisiei competența de a completa prezentul regulament prin adoptarea standardelor tehnice de reglementare menționate la primul paragraf </w:t>
            </w:r>
            <w:r w:rsidRPr="00C011B2">
              <w:rPr>
                <w:rFonts w:ascii="Times New Roman" w:hAnsi="Times New Roman" w:cs="Times New Roman"/>
                <w:color w:val="000000" w:themeColor="text1"/>
                <w:lang w:val="ro-MD"/>
              </w:rPr>
              <w:lastRenderedPageBreak/>
              <w:t>de la prezentul alineat în conformitate cu articolele 10-14 din Regulamentul (UE) nr. 1093/2010.</w:t>
            </w:r>
          </w:p>
        </w:tc>
        <w:tc>
          <w:tcPr>
            <w:tcW w:w="1692" w:type="pct"/>
            <w:shd w:val="clear" w:color="auto" w:fill="auto"/>
          </w:tcPr>
          <w:p w14:paraId="63FB2996" w14:textId="08DCAB93"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5774CF7" w14:textId="0D15C046"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3CD06D22" w14:textId="167E060A"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Alin.(6) stabilește obligații pentru autorități europene – Autoritatea Bancară Europeană.</w:t>
            </w:r>
          </w:p>
        </w:tc>
      </w:tr>
      <w:tr w:rsidR="008A3314" w:rsidRPr="00C011B2" w14:paraId="27EF4E6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F77F3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1" w:tooltip="32019R0876: INSERTED" w:history="1">
              <w:r w:rsidR="008A3314" w:rsidRPr="00C011B2">
                <w:rPr>
                  <w:rStyle w:val="Hyperlink"/>
                  <w:rFonts w:ascii="Times New Roman" w:hAnsi="Times New Roman" w:cs="Times New Roman"/>
                  <w:b/>
                  <w:bCs/>
                  <w:lang w:val="ro-MD"/>
                </w:rPr>
                <w:t>▼M8</w:t>
              </w:r>
            </w:hyperlink>
          </w:p>
          <w:p w14:paraId="23D80D57"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325bd</w:t>
            </w:r>
          </w:p>
          <w:p w14:paraId="4375315F" w14:textId="570D726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Orizonturi de lichiditate</w:t>
            </w:r>
          </w:p>
        </w:tc>
        <w:tc>
          <w:tcPr>
            <w:tcW w:w="1692" w:type="pct"/>
            <w:shd w:val="clear" w:color="auto" w:fill="auto"/>
          </w:tcPr>
          <w:p w14:paraId="60C8A061" w14:textId="15E31C24" w:rsidR="008A3314" w:rsidRPr="00C011B2" w:rsidRDefault="00C372A2" w:rsidP="008A3314">
            <w:pPr>
              <w:spacing w:after="0" w:line="276" w:lineRule="auto"/>
              <w:jc w:val="both"/>
              <w:rPr>
                <w:rFonts w:ascii="Times New Roman" w:hAnsi="Times New Roman" w:cs="Times New Roman"/>
                <w:i/>
                <w:iCs/>
                <w:color w:val="000000" w:themeColor="text1"/>
                <w:lang w:val="ro-MD"/>
              </w:rPr>
            </w:pPr>
            <w:bookmarkStart w:id="348" w:name="_Hlk195098752"/>
            <w:r w:rsidRPr="00C011B2">
              <w:rPr>
                <w:rFonts w:ascii="Times New Roman" w:hAnsi="Times New Roman" w:cs="Times New Roman"/>
                <w:i/>
                <w:iCs/>
                <w:color w:val="000000" w:themeColor="text1"/>
                <w:lang w:val="ro-MD"/>
              </w:rPr>
              <w:t xml:space="preserve">Subsecțiunea 3. </w:t>
            </w:r>
          </w:p>
          <w:p w14:paraId="01F3CFCC" w14:textId="0BBD997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Orizonturi de lichiditate</w:t>
            </w:r>
            <w:bookmarkEnd w:id="348"/>
          </w:p>
        </w:tc>
        <w:tc>
          <w:tcPr>
            <w:tcW w:w="450" w:type="pct"/>
          </w:tcPr>
          <w:p w14:paraId="0177872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61878B1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0300FF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61B9D4" w14:textId="7A11101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încadrează fiecare factor de risc aferent pozițiilor atribuite birourilor de tranzacționare pentru care le-a fost acordată aprobarea astfel cum sunt menționate la articolul 325az alineatul (2) sau pentru care aprobarea este în curs de a fi acordată într-una din categoriile generale de factori de risc enumerate în tabelul 2 și într-una din subcategoriile generale de factori de risc enumerate în tabelul respectiv.</w:t>
            </w:r>
          </w:p>
        </w:tc>
        <w:tc>
          <w:tcPr>
            <w:tcW w:w="1692" w:type="pct"/>
            <w:shd w:val="clear" w:color="auto" w:fill="auto"/>
          </w:tcPr>
          <w:p w14:paraId="0B22CB64" w14:textId="7DDCA72B" w:rsidR="008A3314" w:rsidRPr="00C011B2" w:rsidRDefault="00C372A2" w:rsidP="008A3314">
            <w:pPr>
              <w:spacing w:after="0" w:line="276" w:lineRule="auto"/>
              <w:jc w:val="both"/>
              <w:rPr>
                <w:rFonts w:ascii="Times New Roman" w:hAnsi="Times New Roman" w:cs="Times New Roman"/>
                <w:color w:val="000000" w:themeColor="text1"/>
                <w:lang w:val="ro-RO"/>
              </w:rPr>
            </w:pPr>
            <w:bookmarkStart w:id="349" w:name="_Hlk224044313"/>
            <w:r w:rsidRPr="00C011B2">
              <w:rPr>
                <w:rFonts w:ascii="Times New Roman" w:hAnsi="Times New Roman" w:cs="Times New Roman"/>
                <w:color w:val="000000" w:themeColor="text1"/>
                <w:lang w:val="ro-MD"/>
              </w:rPr>
              <w:t>353.</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încadrează </w:t>
            </w:r>
            <w:r w:rsidR="00581A08" w:rsidRPr="00C011B2">
              <w:rPr>
                <w:rFonts w:ascii="Times New Roman" w:hAnsi="Times New Roman" w:cs="Times New Roman"/>
                <w:color w:val="000000" w:themeColor="text1"/>
                <w:lang w:val="ro-MD"/>
              </w:rPr>
              <w:t>în conformitate cu modul prevăzut în anexa nr.</w:t>
            </w:r>
            <w:r w:rsidR="000C5E54" w:rsidRPr="00C011B2">
              <w:rPr>
                <w:rFonts w:ascii="Times New Roman" w:hAnsi="Times New Roman" w:cs="Times New Roman"/>
                <w:color w:val="000000" w:themeColor="text1"/>
                <w:lang w:val="ro-MD"/>
              </w:rPr>
              <w:t>4</w:t>
            </w:r>
            <w:r w:rsidR="00BD7D38" w:rsidRPr="00C011B2">
              <w:rPr>
                <w:rFonts w:ascii="Times New Roman" w:hAnsi="Times New Roman" w:cs="Times New Roman"/>
                <w:color w:val="000000" w:themeColor="text1"/>
                <w:lang w:val="ro-MD"/>
              </w:rPr>
              <w:t>, secțiunea 1</w:t>
            </w:r>
            <w:r w:rsidR="00581A08" w:rsidRPr="00C011B2">
              <w:rPr>
                <w:rFonts w:ascii="Times New Roman" w:hAnsi="Times New Roman" w:cs="Times New Roman"/>
                <w:color w:val="000000" w:themeColor="text1"/>
                <w:lang w:val="ro-MD"/>
              </w:rPr>
              <w:t xml:space="preserve">, </w:t>
            </w:r>
            <w:r w:rsidR="008A3314" w:rsidRPr="00C011B2">
              <w:rPr>
                <w:rFonts w:ascii="Times New Roman" w:hAnsi="Times New Roman" w:cs="Times New Roman"/>
                <w:color w:val="000000" w:themeColor="text1"/>
                <w:lang w:val="ro-MD"/>
              </w:rPr>
              <w:t xml:space="preserve">fiecare factor de risc aferent pozițiilor atribuite birourilor de tranzacționare pentru care le-a fost acordată aprobarea astfel cum sunt menționate la </w:t>
            </w:r>
            <w:r w:rsidR="00936B91" w:rsidRPr="00C011B2">
              <w:rPr>
                <w:rFonts w:ascii="Times New Roman" w:hAnsi="Times New Roman" w:cs="Times New Roman"/>
                <w:color w:val="000000" w:themeColor="text1"/>
                <w:lang w:val="ro-MD"/>
              </w:rPr>
              <w:t>pct.331-332</w:t>
            </w:r>
            <w:r w:rsidR="008A3314" w:rsidRPr="00C011B2">
              <w:rPr>
                <w:rFonts w:ascii="Times New Roman" w:hAnsi="Times New Roman" w:cs="Times New Roman"/>
                <w:color w:val="000000" w:themeColor="text1"/>
                <w:lang w:val="ro-MD"/>
              </w:rPr>
              <w:t xml:space="preserve"> sau pentru care aprobarea este în curs de a fi acordată într-una din categoriile generale de factori de risc enumerate în tabelul 2 și într-una din subcategoriile generale de factori de risc enumerate în tabelul respectiv.</w:t>
            </w:r>
            <w:bookmarkEnd w:id="349"/>
          </w:p>
        </w:tc>
        <w:tc>
          <w:tcPr>
            <w:tcW w:w="450" w:type="pct"/>
          </w:tcPr>
          <w:p w14:paraId="50E178D8" w14:textId="20E06318"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4E5D52D" w14:textId="63019FB3"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8FF313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CDDF979" w14:textId="78EA1FA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Orizontul de lichiditate al unui factor de risc aferent pozițiilor menționate la alineatul (1) este orizontul de lichiditate al subcategoriei generale corespunzătoare de factori de risc în care a fost încadrat.</w:t>
            </w:r>
          </w:p>
        </w:tc>
        <w:tc>
          <w:tcPr>
            <w:tcW w:w="1692" w:type="pct"/>
            <w:shd w:val="clear" w:color="auto" w:fill="auto"/>
          </w:tcPr>
          <w:p w14:paraId="4AB885A1" w14:textId="284D083A" w:rsidR="008A3314" w:rsidRPr="00C011B2" w:rsidRDefault="00C372A2" w:rsidP="008A3314">
            <w:pPr>
              <w:spacing w:after="0" w:line="276" w:lineRule="auto"/>
              <w:jc w:val="both"/>
              <w:rPr>
                <w:rFonts w:ascii="Times New Roman" w:hAnsi="Times New Roman" w:cs="Times New Roman"/>
                <w:color w:val="000000" w:themeColor="text1"/>
                <w:lang w:val="ro-MD"/>
              </w:rPr>
            </w:pPr>
            <w:bookmarkStart w:id="350" w:name="_Hlk224044343"/>
            <w:r w:rsidRPr="00C011B2">
              <w:rPr>
                <w:rFonts w:ascii="Times New Roman" w:hAnsi="Times New Roman" w:cs="Times New Roman"/>
                <w:color w:val="000000" w:themeColor="text1"/>
                <w:lang w:val="ro-MD"/>
              </w:rPr>
              <w:t>354.</w:t>
            </w:r>
            <w:r w:rsidR="008A3314" w:rsidRPr="00C011B2">
              <w:rPr>
                <w:rFonts w:ascii="Times New Roman" w:hAnsi="Times New Roman" w:cs="Times New Roman"/>
                <w:color w:val="000000" w:themeColor="text1"/>
                <w:lang w:val="ro-MD"/>
              </w:rPr>
              <w:t xml:space="preserve">   Orizontul de lichiditate al unui factor de risc aferent pozițiilor menționate la </w:t>
            </w:r>
            <w:r w:rsidRPr="00C011B2">
              <w:rPr>
                <w:rFonts w:ascii="Times New Roman" w:hAnsi="Times New Roman" w:cs="Times New Roman"/>
                <w:color w:val="000000" w:themeColor="text1"/>
                <w:lang w:val="ro-MD"/>
              </w:rPr>
              <w:t>pct.353</w:t>
            </w:r>
            <w:r w:rsidR="008A3314" w:rsidRPr="00C011B2">
              <w:rPr>
                <w:rFonts w:ascii="Times New Roman" w:hAnsi="Times New Roman" w:cs="Times New Roman"/>
                <w:color w:val="000000" w:themeColor="text1"/>
                <w:lang w:val="ro-MD"/>
              </w:rPr>
              <w:t xml:space="preserve"> este orizontul de lichiditate al subcategoriei generale corespunzătoare de factori de risc în care a fost încadrat.</w:t>
            </w:r>
            <w:bookmarkEnd w:id="350"/>
          </w:p>
        </w:tc>
        <w:tc>
          <w:tcPr>
            <w:tcW w:w="450" w:type="pct"/>
          </w:tcPr>
          <w:p w14:paraId="23EB3B4B" w14:textId="1E00BEB8"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24E82D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E748BA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C88C826" w14:textId="6346FC5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Prin derogare de la alineatul (1) de la prezentul articol, o instituție poate decide ca, pentru un anumit birou de tranzacționare, să înlocuiască orizontul de lichiditate al unei subcategorii generale de factori de risc enumerate în tabelul 2 de la prezentul articol cu unul dintre orizonturile de lichiditate mai lungi </w:t>
            </w:r>
            <w:r w:rsidRPr="00C011B2">
              <w:rPr>
                <w:rFonts w:ascii="Times New Roman" w:hAnsi="Times New Roman" w:cs="Times New Roman"/>
                <w:color w:val="000000" w:themeColor="text1"/>
                <w:lang w:val="ro-MD"/>
              </w:rPr>
              <w:lastRenderedPageBreak/>
              <w:t>enumerate în tabelul 1 de la articolul 325bc. În cazul în care o instituție ia o astfel de decizie, orizontul de lichiditate mai lung se aplică tuturor factorilor de risc modelabili aferenți pozițiilor atribuite biroului de tranzacționare respectiv care au fost încadrați în respectiva subcategorie generală de factori de risc în scopul calculării măsurilor valorilor la risc condiționate parțiale în conformitate cu articolul 325bc alineatul (1) litera (c).</w:t>
            </w:r>
          </w:p>
          <w:p w14:paraId="17CE4C6F" w14:textId="7342C33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 instituție notifică autorităților competente birourile de tranzacționare și subcategoriile generale de factori risc cărora decide să le aplice tratamentul prevăzut la primul paragraf.</w:t>
            </w:r>
          </w:p>
        </w:tc>
        <w:tc>
          <w:tcPr>
            <w:tcW w:w="1692" w:type="pct"/>
            <w:shd w:val="clear" w:color="auto" w:fill="auto"/>
          </w:tcPr>
          <w:p w14:paraId="72E6179D" w14:textId="053BA283" w:rsidR="008A3314" w:rsidRPr="00C011B2" w:rsidRDefault="00C372A2" w:rsidP="008A3314">
            <w:pPr>
              <w:spacing w:after="0" w:line="276" w:lineRule="auto"/>
              <w:jc w:val="both"/>
              <w:rPr>
                <w:rFonts w:ascii="Times New Roman" w:hAnsi="Times New Roman" w:cs="Times New Roman"/>
                <w:color w:val="000000" w:themeColor="text1"/>
                <w:lang w:val="ro-MD"/>
              </w:rPr>
            </w:pPr>
            <w:bookmarkStart w:id="351" w:name="_Hlk224044380"/>
            <w:r w:rsidRPr="00C011B2">
              <w:rPr>
                <w:rFonts w:ascii="Times New Roman" w:hAnsi="Times New Roman" w:cs="Times New Roman"/>
                <w:color w:val="000000" w:themeColor="text1"/>
                <w:lang w:val="ro-MD"/>
              </w:rPr>
              <w:lastRenderedPageBreak/>
              <w:t>355.</w:t>
            </w:r>
            <w:r w:rsidR="008A3314" w:rsidRPr="00C011B2">
              <w:rPr>
                <w:rFonts w:ascii="Times New Roman" w:hAnsi="Times New Roman" w:cs="Times New Roman"/>
                <w:color w:val="000000" w:themeColor="text1"/>
                <w:lang w:val="ro-MD"/>
              </w:rPr>
              <w:t xml:space="preserve">   Prin derogare de la </w:t>
            </w:r>
            <w:r w:rsidRPr="00C011B2">
              <w:rPr>
                <w:rFonts w:ascii="Times New Roman" w:hAnsi="Times New Roman" w:cs="Times New Roman"/>
                <w:color w:val="000000" w:themeColor="text1"/>
                <w:lang w:val="ro-MD"/>
              </w:rPr>
              <w:t>pct.353</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poate decide ca, pentru un anumit birou de tranzacționare, să înlocuiască orizontul de lichiditate al unei subcategorii generale de factori de risc enumerate în tabelul 2 </w:t>
            </w:r>
            <w:r w:rsidRPr="00C011B2">
              <w:rPr>
                <w:rFonts w:ascii="Times New Roman" w:hAnsi="Times New Roman" w:cs="Times New Roman"/>
                <w:color w:val="000000" w:themeColor="text1"/>
                <w:lang w:val="ro-MD"/>
              </w:rPr>
              <w:t>din prezenta subsecțiune</w:t>
            </w:r>
            <w:r w:rsidR="008A3314" w:rsidRPr="00C011B2">
              <w:rPr>
                <w:rFonts w:ascii="Times New Roman" w:hAnsi="Times New Roman" w:cs="Times New Roman"/>
                <w:color w:val="000000" w:themeColor="text1"/>
                <w:lang w:val="ro-MD"/>
              </w:rPr>
              <w:t xml:space="preserve"> cu unul dintre orizonturile de lichiditate mai lungi enumerate în tabelul 1 de la </w:t>
            </w:r>
            <w:r w:rsidRPr="00C011B2">
              <w:rPr>
                <w:rFonts w:ascii="Times New Roman" w:hAnsi="Times New Roman" w:cs="Times New Roman"/>
                <w:color w:val="000000" w:themeColor="text1"/>
                <w:lang w:val="ro-MD"/>
              </w:rPr>
              <w:t>subsecțiunea 2</w:t>
            </w:r>
            <w:r w:rsidR="008A3314" w:rsidRPr="00C011B2">
              <w:rPr>
                <w:rFonts w:ascii="Times New Roman" w:hAnsi="Times New Roman" w:cs="Times New Roman"/>
                <w:color w:val="000000" w:themeColor="text1"/>
                <w:lang w:val="ro-MD"/>
              </w:rPr>
              <w:t xml:space="preserve">. În cazul </w:t>
            </w:r>
            <w:r w:rsidR="008A3314" w:rsidRPr="00C011B2">
              <w:rPr>
                <w:rFonts w:ascii="Times New Roman" w:hAnsi="Times New Roman" w:cs="Times New Roman"/>
                <w:color w:val="000000" w:themeColor="text1"/>
                <w:lang w:val="ro-MD"/>
              </w:rPr>
              <w:lastRenderedPageBreak/>
              <w:t xml:space="preserve">în care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ia o astfel de decizie, orizontul de lichiditate mai lung se aplică tuturor factorilor de risc modelabili aferenți pozițiilor atribuite biroului de tranzacționare respectiv care au fost încadrați în respectiva subcategorie generală de factori de risc în scopul calculării măsurilor valorilor la risc condiționate parțiale în conformitate cu </w:t>
            </w:r>
            <w:r w:rsidRPr="00C011B2">
              <w:rPr>
                <w:rFonts w:ascii="Times New Roman" w:hAnsi="Times New Roman" w:cs="Times New Roman"/>
                <w:color w:val="000000" w:themeColor="text1"/>
                <w:lang w:val="ro-MD"/>
              </w:rPr>
              <w:t>subpct.348.3</w:t>
            </w:r>
            <w:r w:rsidR="008A3314" w:rsidRPr="00C011B2">
              <w:rPr>
                <w:rFonts w:ascii="Times New Roman" w:hAnsi="Times New Roman" w:cs="Times New Roman"/>
                <w:color w:val="000000" w:themeColor="text1"/>
                <w:lang w:val="ro-MD"/>
              </w:rPr>
              <w:t>.</w:t>
            </w:r>
          </w:p>
          <w:p w14:paraId="6057091A" w14:textId="76A15D58" w:rsidR="008A3314" w:rsidRPr="00C011B2" w:rsidRDefault="00C372A2"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356. </w:t>
            </w:r>
            <w:r w:rsidR="008A3314" w:rsidRPr="00C011B2">
              <w:rPr>
                <w:rFonts w:ascii="Times New Roman" w:hAnsi="Times New Roman" w:cs="Times New Roman"/>
                <w:color w:val="000000" w:themeColor="text1"/>
                <w:lang w:val="ro-MD"/>
              </w:rPr>
              <w:t xml:space="preserve">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notifică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birourile de tranzacționare și subcategoriile generale de factori </w:t>
            </w:r>
            <w:r w:rsidR="0058539A" w:rsidRPr="00C011B2">
              <w:rPr>
                <w:rFonts w:ascii="Times New Roman" w:hAnsi="Times New Roman" w:cs="Times New Roman"/>
                <w:color w:val="000000" w:themeColor="text1"/>
                <w:lang w:val="ro-MD"/>
              </w:rPr>
              <w:t xml:space="preserve">de </w:t>
            </w:r>
            <w:r w:rsidR="008A3314" w:rsidRPr="00C011B2">
              <w:rPr>
                <w:rFonts w:ascii="Times New Roman" w:hAnsi="Times New Roman" w:cs="Times New Roman"/>
                <w:color w:val="000000" w:themeColor="text1"/>
                <w:lang w:val="ro-MD"/>
              </w:rPr>
              <w:t xml:space="preserve">risc cărora decide să le aplice tratamentul prevăzut la </w:t>
            </w:r>
            <w:r w:rsidRPr="00C011B2">
              <w:rPr>
                <w:rFonts w:ascii="Times New Roman" w:hAnsi="Times New Roman" w:cs="Times New Roman"/>
                <w:color w:val="000000" w:themeColor="text1"/>
                <w:lang w:val="ro-MD"/>
              </w:rPr>
              <w:t>pct.355</w:t>
            </w:r>
            <w:r w:rsidR="008A3314" w:rsidRPr="00C011B2">
              <w:rPr>
                <w:rFonts w:ascii="Times New Roman" w:hAnsi="Times New Roman" w:cs="Times New Roman"/>
                <w:color w:val="000000" w:themeColor="text1"/>
                <w:lang w:val="ro-MD"/>
              </w:rPr>
              <w:t>.</w:t>
            </w:r>
            <w:bookmarkEnd w:id="351"/>
          </w:p>
        </w:tc>
        <w:tc>
          <w:tcPr>
            <w:tcW w:w="450" w:type="pct"/>
          </w:tcPr>
          <w:p w14:paraId="06050EEE" w14:textId="4305E8B4"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B1A63D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0973B6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A2CA5A"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2" w:tooltip="32019R0876R(11): REPLACED" w:history="1">
              <w:r w:rsidR="008A3314" w:rsidRPr="00C011B2">
                <w:rPr>
                  <w:rStyle w:val="Hyperlink"/>
                  <w:rFonts w:ascii="Times New Roman" w:hAnsi="Times New Roman" w:cs="Times New Roman"/>
                  <w:b/>
                  <w:bCs/>
                  <w:lang w:val="ro-MD"/>
                </w:rPr>
                <w:t>▼C7</w:t>
              </w:r>
            </w:hyperlink>
          </w:p>
          <w:p w14:paraId="26DA7CF8" w14:textId="0E2470B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scopul calculării măsurilor valorilor la risc condiționate parțiale în conformitate cu articolul 325bc alineatul (1) litera (c), orizontul de lichiditate efectiv al unui anumit factor de risc modelabil aferent unei anumite poziții din portofoliul de tranzacționare sau unei poziții din afara portofoliului de tranzacționare care prezintă un risc valutar sau un risc de marfă se calculează după cum urmează:</w:t>
            </w:r>
          </w:p>
          <w:p w14:paraId="26F9054B"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3" w:tooltip="32019R0876: INSERTED" w:history="1">
              <w:r w:rsidR="008A3314" w:rsidRPr="00C011B2">
                <w:rPr>
                  <w:rStyle w:val="Hyperlink"/>
                  <w:rFonts w:ascii="Times New Roman" w:hAnsi="Times New Roman" w:cs="Times New Roman"/>
                  <w:b/>
                  <w:bCs/>
                  <w:lang w:val="ro-MD"/>
                </w:rPr>
                <w:t>▼M8</w:t>
              </w:r>
            </w:hyperlink>
          </w:p>
          <w:p w14:paraId="3A4CE7D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p w14:paraId="3367C60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25"/>
              <w:gridCol w:w="256"/>
              <w:gridCol w:w="2319"/>
            </w:tblGrid>
            <w:tr w:rsidR="008A3314" w:rsidRPr="00C011B2" w14:paraId="0DAEFA72" w14:textId="77777777" w:rsidTr="00554096">
              <w:trPr>
                <w:jc w:val="center"/>
              </w:trPr>
              <w:tc>
                <w:tcPr>
                  <w:tcW w:w="102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25C67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LHefectiv =</w:t>
                  </w:r>
                </w:p>
              </w:tc>
              <w:tc>
                <w:tcPr>
                  <w:tcW w:w="25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241"/>
                  </w:tblGrid>
                  <w:tr w:rsidR="008A3314" w:rsidRPr="00C011B2" w14:paraId="345C1C8E" w14:textId="77777777">
                    <w:tc>
                      <w:tcPr>
                        <w:tcW w:w="241" w:type="dxa"/>
                        <w:shd w:val="clear" w:color="auto" w:fill="auto"/>
                        <w:tcMar>
                          <w:top w:w="0" w:type="dxa"/>
                          <w:left w:w="0" w:type="dxa"/>
                          <w:bottom w:w="0" w:type="dxa"/>
                          <w:right w:w="0" w:type="dxa"/>
                        </w:tcMar>
                        <w:vAlign w:val="center"/>
                        <w:hideMark/>
                      </w:tcPr>
                      <w:p w14:paraId="573C036C" w14:textId="03E4F1B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C1D5715" wp14:editId="472F7D41">
                              <wp:extent cx="152400" cy="1143000"/>
                              <wp:effectExtent l="0" t="0" r="0" b="0"/>
                              <wp:docPr id="107" name="Picture 107" descr="left accol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left accolade"/>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52400" cy="1143000"/>
                                      </a:xfrm>
                                      <a:prstGeom prst="rect">
                                        <a:avLst/>
                                      </a:prstGeom>
                                      <a:noFill/>
                                      <a:ln>
                                        <a:noFill/>
                                      </a:ln>
                                    </pic:spPr>
                                  </pic:pic>
                                </a:graphicData>
                              </a:graphic>
                            </wp:inline>
                          </w:drawing>
                        </w:r>
                      </w:p>
                    </w:tc>
                  </w:tr>
                </w:tbl>
                <w:p w14:paraId="4CC030A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3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751E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SubCatLH dacă Mat &gt; LH</w:t>
                  </w:r>
                  <w:r w:rsidRPr="00C011B2">
                    <w:rPr>
                      <w:rFonts w:ascii="Times New Roman" w:hAnsi="Times New Roman" w:cs="Times New Roman"/>
                      <w:color w:val="000000" w:themeColor="text1"/>
                      <w:vertAlign w:val="subscript"/>
                      <w:lang w:val="ro-MD"/>
                    </w:rPr>
                    <w:t>5</w:t>
                  </w:r>
                </w:p>
              </w:tc>
            </w:tr>
            <w:tr w:rsidR="008A3314" w:rsidRPr="00C011B2" w14:paraId="6003EC94" w14:textId="77777777" w:rsidTr="00554096">
              <w:trPr>
                <w:jc w:val="center"/>
              </w:trPr>
              <w:tc>
                <w:tcPr>
                  <w:tcW w:w="102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CA98D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5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5751F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3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F152D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min (SubCatLH, min</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 ≥ Mat}) dacă LH</w:t>
                  </w:r>
                  <w:r w:rsidRPr="00C011B2">
                    <w:rPr>
                      <w:rFonts w:ascii="Times New Roman" w:hAnsi="Times New Roman" w:cs="Times New Roman"/>
                      <w:color w:val="000000" w:themeColor="text1"/>
                      <w:vertAlign w:val="subscript"/>
                      <w:lang w:val="ro-MD"/>
                    </w:rPr>
                    <w:t>1</w:t>
                  </w:r>
                  <w:r w:rsidRPr="00C011B2">
                    <w:rPr>
                      <w:rFonts w:ascii="Times New Roman" w:hAnsi="Times New Roman" w:cs="Times New Roman"/>
                      <w:color w:val="000000" w:themeColor="text1"/>
                      <w:lang w:val="ro-MD"/>
                    </w:rPr>
                    <w:t> ≤ Mat ≤ LH</w:t>
                  </w:r>
                  <w:r w:rsidRPr="00C011B2">
                    <w:rPr>
                      <w:rFonts w:ascii="Times New Roman" w:hAnsi="Times New Roman" w:cs="Times New Roman"/>
                      <w:color w:val="000000" w:themeColor="text1"/>
                      <w:vertAlign w:val="subscript"/>
                      <w:lang w:val="ro-MD"/>
                    </w:rPr>
                    <w:t>5</w:t>
                  </w:r>
                </w:p>
              </w:tc>
            </w:tr>
            <w:tr w:rsidR="008A3314" w:rsidRPr="00C011B2" w14:paraId="77B4012F" w14:textId="77777777" w:rsidTr="00554096">
              <w:trPr>
                <w:jc w:val="center"/>
              </w:trPr>
              <w:tc>
                <w:tcPr>
                  <w:tcW w:w="102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97C7E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5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DBBB9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3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9245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1</w:t>
                  </w:r>
                  <w:r w:rsidRPr="00C011B2">
                    <w:rPr>
                      <w:rFonts w:ascii="Times New Roman" w:hAnsi="Times New Roman" w:cs="Times New Roman"/>
                      <w:color w:val="000000" w:themeColor="text1"/>
                      <w:lang w:val="ro-MD"/>
                    </w:rPr>
                    <w:t> dacă Mat &lt; LH</w:t>
                  </w:r>
                  <w:r w:rsidRPr="00C011B2">
                    <w:rPr>
                      <w:rFonts w:ascii="Times New Roman" w:hAnsi="Times New Roman" w:cs="Times New Roman"/>
                      <w:color w:val="000000" w:themeColor="text1"/>
                      <w:vertAlign w:val="subscript"/>
                      <w:lang w:val="ro-MD"/>
                    </w:rPr>
                    <w:t>1</w:t>
                  </w:r>
                </w:p>
              </w:tc>
            </w:tr>
          </w:tbl>
          <w:p w14:paraId="4F9E514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110"/>
              <w:gridCol w:w="160"/>
              <w:gridCol w:w="3542"/>
            </w:tblGrid>
            <w:tr w:rsidR="008A3314" w:rsidRPr="00C011B2" w14:paraId="3E19BB62" w14:textId="77777777" w:rsidTr="00554096">
              <w:tc>
                <w:tcPr>
                  <w:tcW w:w="2229" w:type="dxa"/>
                  <w:shd w:val="clear" w:color="auto" w:fill="auto"/>
                  <w:hideMark/>
                </w:tcPr>
                <w:p w14:paraId="07A0C52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LHefectiv</w:t>
                  </w:r>
                </w:p>
              </w:tc>
              <w:tc>
                <w:tcPr>
                  <w:tcW w:w="304" w:type="dxa"/>
                  <w:shd w:val="clear" w:color="auto" w:fill="auto"/>
                  <w:hideMark/>
                </w:tcPr>
                <w:p w14:paraId="3DB8DB3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156" w:type="dxa"/>
                  <w:shd w:val="clear" w:color="auto" w:fill="auto"/>
                  <w:hideMark/>
                </w:tcPr>
                <w:p w14:paraId="77BD8EB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orizontul de lichiditate efectiv;</w:t>
                  </w:r>
                </w:p>
              </w:tc>
            </w:tr>
          </w:tbl>
          <w:p w14:paraId="7C366674"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470"/>
              <w:gridCol w:w="121"/>
              <w:gridCol w:w="4132"/>
            </w:tblGrid>
            <w:tr w:rsidR="008A3314" w:rsidRPr="00C011B2" w14:paraId="77A5052C" w14:textId="77777777" w:rsidTr="00554096">
              <w:tc>
                <w:tcPr>
                  <w:tcW w:w="470" w:type="dxa"/>
                  <w:shd w:val="clear" w:color="auto" w:fill="auto"/>
                  <w:hideMark/>
                </w:tcPr>
                <w:p w14:paraId="4E0577C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w:t>
                  </w:r>
                </w:p>
              </w:tc>
              <w:tc>
                <w:tcPr>
                  <w:tcW w:w="121" w:type="dxa"/>
                  <w:shd w:val="clear" w:color="auto" w:fill="auto"/>
                  <w:hideMark/>
                </w:tcPr>
                <w:p w14:paraId="42D044F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32" w:type="dxa"/>
                  <w:shd w:val="clear" w:color="auto" w:fill="auto"/>
                  <w:hideMark/>
                </w:tcPr>
                <w:p w14:paraId="4AF36CE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scadența poziției din portofoliul de tranzacționare;</w:t>
                  </w:r>
                </w:p>
              </w:tc>
            </w:tr>
          </w:tbl>
          <w:p w14:paraId="10C4587B"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037"/>
              <w:gridCol w:w="76"/>
              <w:gridCol w:w="3752"/>
            </w:tblGrid>
            <w:tr w:rsidR="008A3314" w:rsidRPr="00C011B2" w14:paraId="4EE4E399" w14:textId="77777777" w:rsidTr="00554096">
              <w:tc>
                <w:tcPr>
                  <w:tcW w:w="1037" w:type="dxa"/>
                  <w:shd w:val="clear" w:color="auto" w:fill="auto"/>
                  <w:hideMark/>
                </w:tcPr>
                <w:p w14:paraId="578324F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SubCatLH</w:t>
                  </w:r>
                </w:p>
              </w:tc>
              <w:tc>
                <w:tcPr>
                  <w:tcW w:w="76" w:type="dxa"/>
                  <w:shd w:val="clear" w:color="auto" w:fill="auto"/>
                  <w:hideMark/>
                </w:tcPr>
                <w:p w14:paraId="5D2D55F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752" w:type="dxa"/>
                  <w:shd w:val="clear" w:color="auto" w:fill="auto"/>
                  <w:hideMark/>
                </w:tcPr>
                <w:p w14:paraId="2F46EC5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lungimea orizontului de lichiditate al factorului de risc modelabil, determinată în conformitate cu alineatul (1); și</w:t>
                  </w:r>
                </w:p>
              </w:tc>
            </w:tr>
          </w:tbl>
          <w:p w14:paraId="3DFC4E4E"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850"/>
              <w:gridCol w:w="76"/>
              <w:gridCol w:w="3886"/>
            </w:tblGrid>
            <w:tr w:rsidR="008A3314" w:rsidRPr="00C011B2" w14:paraId="59131318" w14:textId="77777777" w:rsidTr="00554096">
              <w:tc>
                <w:tcPr>
                  <w:tcW w:w="1703" w:type="dxa"/>
                  <w:shd w:val="clear" w:color="auto" w:fill="auto"/>
                  <w:hideMark/>
                </w:tcPr>
                <w:p w14:paraId="1354EB7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min</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 {LH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 ≥ Mat}</w:t>
                  </w:r>
                </w:p>
              </w:tc>
              <w:tc>
                <w:tcPr>
                  <w:tcW w:w="133" w:type="dxa"/>
                  <w:shd w:val="clear" w:color="auto" w:fill="auto"/>
                  <w:hideMark/>
                </w:tcPr>
                <w:p w14:paraId="3BDAFC7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853" w:type="dxa"/>
                  <w:shd w:val="clear" w:color="auto" w:fill="auto"/>
                  <w:hideMark/>
                </w:tcPr>
                <w:p w14:paraId="5B153EB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lungimea unuia dintre orizonturile de lichiditate enumerate în tabelul 1 de la articolul 325bc care este primul orizont de lichiditate situat peste nivelul scadenței poziției din portofoliul de tranzacționare.</w:t>
                  </w:r>
                </w:p>
              </w:tc>
            </w:tr>
          </w:tbl>
          <w:p w14:paraId="2F74DAA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04BECD26" w14:textId="3EF61AFF" w:rsidR="008A3314" w:rsidRPr="00C011B2" w:rsidRDefault="00C372A2" w:rsidP="008A3314">
            <w:pPr>
              <w:spacing w:after="0" w:line="276" w:lineRule="auto"/>
              <w:jc w:val="both"/>
              <w:rPr>
                <w:rFonts w:ascii="Times New Roman" w:hAnsi="Times New Roman" w:cs="Times New Roman"/>
                <w:color w:val="000000" w:themeColor="text1"/>
                <w:lang w:val="ro-MD"/>
              </w:rPr>
            </w:pPr>
            <w:bookmarkStart w:id="352" w:name="_Hlk224044402"/>
            <w:r w:rsidRPr="00C011B2">
              <w:rPr>
                <w:rFonts w:ascii="Times New Roman" w:hAnsi="Times New Roman" w:cs="Times New Roman"/>
                <w:color w:val="000000" w:themeColor="text1"/>
                <w:lang w:val="ro-MD"/>
              </w:rPr>
              <w:lastRenderedPageBreak/>
              <w:t>357.</w:t>
            </w:r>
            <w:r w:rsidR="008A3314" w:rsidRPr="00C011B2">
              <w:rPr>
                <w:rFonts w:ascii="Times New Roman" w:hAnsi="Times New Roman" w:cs="Times New Roman"/>
                <w:color w:val="000000" w:themeColor="text1"/>
                <w:lang w:val="ro-MD"/>
              </w:rPr>
              <w:t xml:space="preserve">  În scopul calculării măsurilor valorilor la risc condiționate parțiale în conformitate cu </w:t>
            </w:r>
            <w:r w:rsidRPr="00C011B2">
              <w:rPr>
                <w:rFonts w:ascii="Times New Roman" w:hAnsi="Times New Roman" w:cs="Times New Roman"/>
                <w:color w:val="000000" w:themeColor="text1"/>
                <w:lang w:val="ro-MD"/>
              </w:rPr>
              <w:t>subpct.348.3</w:t>
            </w:r>
            <w:r w:rsidR="008A3314" w:rsidRPr="00C011B2">
              <w:rPr>
                <w:rFonts w:ascii="Times New Roman" w:hAnsi="Times New Roman" w:cs="Times New Roman"/>
                <w:color w:val="000000" w:themeColor="text1"/>
                <w:lang w:val="ro-MD"/>
              </w:rPr>
              <w:t>, orizontul de lichiditate efectiv al unui anumit factor de risc modelabil aferent unei anumite poziții din portofoliul de tranzacționare sau unei poziții din afara portofoliului de tranzacționare care prezintă un risc valutar sau un risc de marfă se calculează după cum urmează:</w:t>
            </w:r>
          </w:p>
          <w:bookmarkEnd w:id="352"/>
          <w:p w14:paraId="355C884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p w14:paraId="39E58CD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25"/>
              <w:gridCol w:w="256"/>
              <w:gridCol w:w="2319"/>
            </w:tblGrid>
            <w:tr w:rsidR="008A3314" w:rsidRPr="00C011B2" w14:paraId="4FD66DF7" w14:textId="77777777" w:rsidTr="001E785F">
              <w:trPr>
                <w:jc w:val="center"/>
              </w:trPr>
              <w:tc>
                <w:tcPr>
                  <w:tcW w:w="102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5A28D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353" w:name="_Hlk224044434"/>
                  <w:r w:rsidRPr="00C011B2">
                    <w:rPr>
                      <w:rFonts w:ascii="Times New Roman" w:hAnsi="Times New Roman" w:cs="Times New Roman"/>
                      <w:color w:val="000000" w:themeColor="text1"/>
                      <w:lang w:val="ro-MD"/>
                    </w:rPr>
                    <w:t>LHefectiv =</w:t>
                  </w:r>
                </w:p>
              </w:tc>
              <w:tc>
                <w:tcPr>
                  <w:tcW w:w="25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241"/>
                  </w:tblGrid>
                  <w:tr w:rsidR="008A3314" w:rsidRPr="00C011B2" w14:paraId="68ED8C56" w14:textId="77777777" w:rsidTr="001E785F">
                    <w:tc>
                      <w:tcPr>
                        <w:tcW w:w="241" w:type="dxa"/>
                        <w:shd w:val="clear" w:color="auto" w:fill="auto"/>
                        <w:tcMar>
                          <w:top w:w="0" w:type="dxa"/>
                          <w:left w:w="0" w:type="dxa"/>
                          <w:bottom w:w="0" w:type="dxa"/>
                          <w:right w:w="0" w:type="dxa"/>
                        </w:tcMar>
                        <w:vAlign w:val="center"/>
                        <w:hideMark/>
                      </w:tcPr>
                      <w:p w14:paraId="3BDEAF0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575CD247" wp14:editId="1EFBE4A2">
                              <wp:extent cx="152400" cy="1143000"/>
                              <wp:effectExtent l="0" t="0" r="0" b="0"/>
                              <wp:docPr id="210" name="Picture 210" descr="left accol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left accolade"/>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52400" cy="1143000"/>
                                      </a:xfrm>
                                      <a:prstGeom prst="rect">
                                        <a:avLst/>
                                      </a:prstGeom>
                                      <a:noFill/>
                                      <a:ln>
                                        <a:noFill/>
                                      </a:ln>
                                    </pic:spPr>
                                  </pic:pic>
                                </a:graphicData>
                              </a:graphic>
                            </wp:inline>
                          </w:drawing>
                        </w:r>
                      </w:p>
                    </w:tc>
                  </w:tr>
                </w:tbl>
                <w:p w14:paraId="7C2DB58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3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ADB2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SubCatLH dacă Mat &gt; LH</w:t>
                  </w:r>
                  <w:r w:rsidRPr="00C011B2">
                    <w:rPr>
                      <w:rFonts w:ascii="Times New Roman" w:hAnsi="Times New Roman" w:cs="Times New Roman"/>
                      <w:color w:val="000000" w:themeColor="text1"/>
                      <w:vertAlign w:val="subscript"/>
                      <w:lang w:val="ro-MD"/>
                    </w:rPr>
                    <w:t>5</w:t>
                  </w:r>
                </w:p>
              </w:tc>
            </w:tr>
            <w:tr w:rsidR="008A3314" w:rsidRPr="00C011B2" w14:paraId="44BAFDBE" w14:textId="77777777" w:rsidTr="001E785F">
              <w:trPr>
                <w:jc w:val="center"/>
              </w:trPr>
              <w:tc>
                <w:tcPr>
                  <w:tcW w:w="102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456DC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5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924B4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3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FD6A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min (SubCatLH, min</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 ≥ Mat}) dacă LH</w:t>
                  </w:r>
                  <w:r w:rsidRPr="00C011B2">
                    <w:rPr>
                      <w:rFonts w:ascii="Times New Roman" w:hAnsi="Times New Roman" w:cs="Times New Roman"/>
                      <w:color w:val="000000" w:themeColor="text1"/>
                      <w:vertAlign w:val="subscript"/>
                      <w:lang w:val="ro-MD"/>
                    </w:rPr>
                    <w:t>1</w:t>
                  </w:r>
                  <w:r w:rsidRPr="00C011B2">
                    <w:rPr>
                      <w:rFonts w:ascii="Times New Roman" w:hAnsi="Times New Roman" w:cs="Times New Roman"/>
                      <w:color w:val="000000" w:themeColor="text1"/>
                      <w:lang w:val="ro-MD"/>
                    </w:rPr>
                    <w:t> ≤ Mat ≤ LH</w:t>
                  </w:r>
                  <w:r w:rsidRPr="00C011B2">
                    <w:rPr>
                      <w:rFonts w:ascii="Times New Roman" w:hAnsi="Times New Roman" w:cs="Times New Roman"/>
                      <w:color w:val="000000" w:themeColor="text1"/>
                      <w:vertAlign w:val="subscript"/>
                      <w:lang w:val="ro-MD"/>
                    </w:rPr>
                    <w:t>5</w:t>
                  </w:r>
                </w:p>
              </w:tc>
            </w:tr>
            <w:tr w:rsidR="008A3314" w:rsidRPr="00C011B2" w14:paraId="7C434AD2" w14:textId="77777777" w:rsidTr="001E785F">
              <w:trPr>
                <w:jc w:val="center"/>
              </w:trPr>
              <w:tc>
                <w:tcPr>
                  <w:tcW w:w="102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A52E8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5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F6B5F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23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B015D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1</w:t>
                  </w:r>
                  <w:r w:rsidRPr="00C011B2">
                    <w:rPr>
                      <w:rFonts w:ascii="Times New Roman" w:hAnsi="Times New Roman" w:cs="Times New Roman"/>
                      <w:color w:val="000000" w:themeColor="text1"/>
                      <w:lang w:val="ro-MD"/>
                    </w:rPr>
                    <w:t> dacă Mat &lt; LH</w:t>
                  </w:r>
                  <w:r w:rsidRPr="00C011B2">
                    <w:rPr>
                      <w:rFonts w:ascii="Times New Roman" w:hAnsi="Times New Roman" w:cs="Times New Roman"/>
                      <w:color w:val="000000" w:themeColor="text1"/>
                      <w:vertAlign w:val="subscript"/>
                      <w:lang w:val="ro-MD"/>
                    </w:rPr>
                    <w:t>1</w:t>
                  </w:r>
                </w:p>
              </w:tc>
            </w:tr>
          </w:tbl>
          <w:p w14:paraId="3C9A597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179"/>
              <w:gridCol w:w="169"/>
              <w:gridCol w:w="3763"/>
            </w:tblGrid>
            <w:tr w:rsidR="008A3314" w:rsidRPr="00C011B2" w14:paraId="3A016A9A" w14:textId="77777777" w:rsidTr="001E785F">
              <w:tc>
                <w:tcPr>
                  <w:tcW w:w="2229" w:type="dxa"/>
                  <w:shd w:val="clear" w:color="auto" w:fill="auto"/>
                  <w:hideMark/>
                </w:tcPr>
                <w:p w14:paraId="0866275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LHefectiv</w:t>
                  </w:r>
                </w:p>
              </w:tc>
              <w:tc>
                <w:tcPr>
                  <w:tcW w:w="304" w:type="dxa"/>
                  <w:shd w:val="clear" w:color="auto" w:fill="auto"/>
                  <w:hideMark/>
                </w:tcPr>
                <w:p w14:paraId="51FFB53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156" w:type="dxa"/>
                  <w:shd w:val="clear" w:color="auto" w:fill="auto"/>
                  <w:hideMark/>
                </w:tcPr>
                <w:p w14:paraId="59D7771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orizontul de lichiditate efectiv;</w:t>
                  </w:r>
                </w:p>
              </w:tc>
            </w:tr>
          </w:tbl>
          <w:p w14:paraId="63637254"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723" w:type="dxa"/>
              <w:tblLayout w:type="fixed"/>
              <w:tblCellMar>
                <w:left w:w="0" w:type="dxa"/>
                <w:right w:w="0" w:type="dxa"/>
              </w:tblCellMar>
              <w:tblLook w:val="04A0" w:firstRow="1" w:lastRow="0" w:firstColumn="1" w:lastColumn="0" w:noHBand="0" w:noVBand="1"/>
            </w:tblPr>
            <w:tblGrid>
              <w:gridCol w:w="470"/>
              <w:gridCol w:w="121"/>
              <w:gridCol w:w="4132"/>
            </w:tblGrid>
            <w:tr w:rsidR="008A3314" w:rsidRPr="00C011B2" w14:paraId="5D7BEB36" w14:textId="77777777" w:rsidTr="001E785F">
              <w:tc>
                <w:tcPr>
                  <w:tcW w:w="470" w:type="dxa"/>
                  <w:shd w:val="clear" w:color="auto" w:fill="auto"/>
                  <w:hideMark/>
                </w:tcPr>
                <w:p w14:paraId="7925FF4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Mat</w:t>
                  </w:r>
                </w:p>
              </w:tc>
              <w:tc>
                <w:tcPr>
                  <w:tcW w:w="121" w:type="dxa"/>
                  <w:shd w:val="clear" w:color="auto" w:fill="auto"/>
                  <w:hideMark/>
                </w:tcPr>
                <w:p w14:paraId="41BFC6F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4132" w:type="dxa"/>
                  <w:shd w:val="clear" w:color="auto" w:fill="auto"/>
                  <w:hideMark/>
                </w:tcPr>
                <w:p w14:paraId="7541197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scadența poziției din portofoliul de tranzacționare;</w:t>
                  </w:r>
                </w:p>
              </w:tc>
            </w:tr>
          </w:tbl>
          <w:p w14:paraId="75FB5AF1"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4865" w:type="dxa"/>
              <w:tblLayout w:type="fixed"/>
              <w:tblCellMar>
                <w:left w:w="0" w:type="dxa"/>
                <w:right w:w="0" w:type="dxa"/>
              </w:tblCellMar>
              <w:tblLook w:val="04A0" w:firstRow="1" w:lastRow="0" w:firstColumn="1" w:lastColumn="0" w:noHBand="0" w:noVBand="1"/>
            </w:tblPr>
            <w:tblGrid>
              <w:gridCol w:w="1037"/>
              <w:gridCol w:w="76"/>
              <w:gridCol w:w="3752"/>
            </w:tblGrid>
            <w:tr w:rsidR="008A3314" w:rsidRPr="00C011B2" w14:paraId="4D82ACA8" w14:textId="77777777" w:rsidTr="001E785F">
              <w:tc>
                <w:tcPr>
                  <w:tcW w:w="1037" w:type="dxa"/>
                  <w:shd w:val="clear" w:color="auto" w:fill="auto"/>
                  <w:hideMark/>
                </w:tcPr>
                <w:p w14:paraId="46DCD81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SubCatLH</w:t>
                  </w:r>
                </w:p>
              </w:tc>
              <w:tc>
                <w:tcPr>
                  <w:tcW w:w="76" w:type="dxa"/>
                  <w:shd w:val="clear" w:color="auto" w:fill="auto"/>
                  <w:hideMark/>
                </w:tcPr>
                <w:p w14:paraId="215A029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3752" w:type="dxa"/>
                  <w:shd w:val="clear" w:color="auto" w:fill="auto"/>
                  <w:hideMark/>
                </w:tcPr>
                <w:p w14:paraId="1521D204" w14:textId="150B6FE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lungimea orizontului de lichiditate al factorului de risc modelabil, determinată în conformitate cu </w:t>
                  </w:r>
                  <w:r w:rsidR="00297307" w:rsidRPr="00C011B2">
                    <w:rPr>
                      <w:rFonts w:ascii="Times New Roman" w:hAnsi="Times New Roman" w:cs="Times New Roman"/>
                      <w:color w:val="000000" w:themeColor="text1"/>
                      <w:lang w:val="ro-MD"/>
                    </w:rPr>
                    <w:t>pct.353</w:t>
                  </w:r>
                  <w:r w:rsidRPr="00C011B2">
                    <w:rPr>
                      <w:rFonts w:ascii="Times New Roman" w:hAnsi="Times New Roman" w:cs="Times New Roman"/>
                      <w:color w:val="000000" w:themeColor="text1"/>
                      <w:lang w:val="ro-MD"/>
                    </w:rPr>
                    <w:t>; și</w:t>
                  </w:r>
                </w:p>
              </w:tc>
            </w:tr>
          </w:tbl>
          <w:p w14:paraId="292694A1" w14:textId="77777777" w:rsidR="008A3314" w:rsidRPr="00C011B2" w:rsidRDefault="008A3314" w:rsidP="008A3314">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903"/>
              <w:gridCol w:w="79"/>
              <w:gridCol w:w="4129"/>
            </w:tblGrid>
            <w:tr w:rsidR="008A3314" w:rsidRPr="00C011B2" w14:paraId="0DB44236" w14:textId="77777777" w:rsidTr="001E785F">
              <w:tc>
                <w:tcPr>
                  <w:tcW w:w="1703" w:type="dxa"/>
                  <w:shd w:val="clear" w:color="auto" w:fill="auto"/>
                  <w:hideMark/>
                </w:tcPr>
                <w:p w14:paraId="4820B80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min</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 {LH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/LH</w:t>
                  </w:r>
                  <w:r w:rsidRPr="00C011B2">
                    <w:rPr>
                      <w:rFonts w:ascii="Times New Roman" w:hAnsi="Times New Roman" w:cs="Times New Roman"/>
                      <w:color w:val="000000" w:themeColor="text1"/>
                      <w:vertAlign w:val="subscript"/>
                      <w:lang w:val="ro-MD"/>
                    </w:rPr>
                    <w:t>j</w:t>
                  </w:r>
                  <w:r w:rsidRPr="00C011B2">
                    <w:rPr>
                      <w:rFonts w:ascii="Times New Roman" w:hAnsi="Times New Roman" w:cs="Times New Roman"/>
                      <w:color w:val="000000" w:themeColor="text1"/>
                      <w:lang w:val="ro-MD"/>
                    </w:rPr>
                    <w:t> ≥ Mat}</w:t>
                  </w:r>
                </w:p>
              </w:tc>
              <w:tc>
                <w:tcPr>
                  <w:tcW w:w="133" w:type="dxa"/>
                  <w:shd w:val="clear" w:color="auto" w:fill="auto"/>
                  <w:hideMark/>
                </w:tcPr>
                <w:p w14:paraId="2A40F9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853" w:type="dxa"/>
                  <w:shd w:val="clear" w:color="auto" w:fill="auto"/>
                  <w:hideMark/>
                </w:tcPr>
                <w:p w14:paraId="199F4204" w14:textId="72D1B84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lungimea unuia dintre orizonturile de lichiditate enumerate în tabelul 1 de la </w:t>
                  </w:r>
                  <w:r w:rsidR="00297307" w:rsidRPr="00C011B2">
                    <w:rPr>
                      <w:rFonts w:ascii="Times New Roman" w:hAnsi="Times New Roman" w:cs="Times New Roman"/>
                      <w:color w:val="000000" w:themeColor="text1"/>
                      <w:lang w:val="ro-MD"/>
                    </w:rPr>
                    <w:t>subsecțiunea 2</w:t>
                  </w:r>
                  <w:r w:rsidRPr="00C011B2">
                    <w:rPr>
                      <w:rFonts w:ascii="Times New Roman" w:hAnsi="Times New Roman" w:cs="Times New Roman"/>
                      <w:color w:val="000000" w:themeColor="text1"/>
                      <w:lang w:val="ro-MD"/>
                    </w:rPr>
                    <w:t xml:space="preserve"> care este primul orizont de lichiditate situat peste nivelul scadenței poziției din portofoliul de tranzacționare.</w:t>
                  </w:r>
                </w:p>
              </w:tc>
            </w:tr>
            <w:bookmarkEnd w:id="353"/>
          </w:tbl>
          <w:p w14:paraId="30F4D2A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B42C516" w14:textId="5290E335"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B8FA41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9D25ED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9B198BE" w14:textId="5551EAD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Perechile de monede care sunt formate din euro și moneda unui stat membru, alta decât moneda euro, care participă la MCS II sunt incluse în subcategoria celor mai lichide perechi de monede din categoria generală de factori de risc „Schimb valutar” din tabelul 2.</w:t>
            </w:r>
          </w:p>
        </w:tc>
        <w:tc>
          <w:tcPr>
            <w:tcW w:w="1692" w:type="pct"/>
            <w:shd w:val="clear" w:color="auto" w:fill="auto"/>
          </w:tcPr>
          <w:p w14:paraId="2D3D9E6C" w14:textId="72978330" w:rsidR="008A3314" w:rsidRPr="00C011B2" w:rsidRDefault="00297307" w:rsidP="008A3314">
            <w:pPr>
              <w:spacing w:after="0" w:line="276" w:lineRule="auto"/>
              <w:jc w:val="both"/>
              <w:rPr>
                <w:rFonts w:ascii="Times New Roman" w:hAnsi="Times New Roman" w:cs="Times New Roman"/>
                <w:color w:val="000000" w:themeColor="text1"/>
                <w:lang w:val="ro-MD"/>
              </w:rPr>
            </w:pPr>
            <w:bookmarkStart w:id="354" w:name="_Hlk224044875"/>
            <w:r w:rsidRPr="00C011B2">
              <w:rPr>
                <w:rFonts w:ascii="Times New Roman" w:hAnsi="Times New Roman" w:cs="Times New Roman"/>
                <w:color w:val="000000" w:themeColor="text1"/>
                <w:lang w:val="ro-MD"/>
              </w:rPr>
              <w:t>358.</w:t>
            </w:r>
            <w:r w:rsidR="008A3314" w:rsidRPr="00C011B2">
              <w:rPr>
                <w:rFonts w:ascii="Times New Roman" w:hAnsi="Times New Roman" w:cs="Times New Roman"/>
                <w:color w:val="000000" w:themeColor="text1"/>
                <w:lang w:val="ro-MD"/>
              </w:rPr>
              <w:t> Perechile de monede care sunt formate din euro și moneda unui stat membru, alta decât moneda euro, care participă la MCS II sunt incluse în subcategoria celor mai lichide perechi de monede din categoria generală de factori de risc „Schimb valutar” din tabelul 2.</w:t>
            </w:r>
            <w:bookmarkEnd w:id="354"/>
          </w:p>
        </w:tc>
        <w:tc>
          <w:tcPr>
            <w:tcW w:w="450" w:type="pct"/>
          </w:tcPr>
          <w:p w14:paraId="2FF35034" w14:textId="3120F408"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BD3877D" w14:textId="77777777" w:rsidR="008A3314" w:rsidRPr="00C011B2" w:rsidRDefault="00297307"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alin.(5) se vor aplica de la data aderării Republicii Moldova la Uniunea Europeană.</w:t>
            </w:r>
          </w:p>
          <w:p w14:paraId="2458B2DC" w14:textId="4322DF2C" w:rsidR="00BD0EA4" w:rsidRPr="00C011B2" w:rsidRDefault="00BD0EA4" w:rsidP="00BD0EA4">
            <w:pPr>
              <w:spacing w:line="276" w:lineRule="auto"/>
              <w:jc w:val="both"/>
              <w:rPr>
                <w:rFonts w:ascii="Times New Roman" w:hAnsi="Times New Roman" w:cs="Times New Roman"/>
                <w:color w:val="000000" w:themeColor="text1"/>
                <w:lang w:val="ro-MD"/>
              </w:rPr>
            </w:pPr>
          </w:p>
        </w:tc>
      </w:tr>
      <w:tr w:rsidR="008A3314" w:rsidRPr="00C011B2" w14:paraId="6CD3BF4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FEBD0C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5" w:tooltip="32024R1623: INSERTED" w:history="1">
              <w:r w:rsidR="008A3314" w:rsidRPr="00C011B2">
                <w:rPr>
                  <w:rStyle w:val="Hyperlink"/>
                  <w:rFonts w:ascii="Times New Roman" w:hAnsi="Times New Roman" w:cs="Times New Roman"/>
                  <w:b/>
                  <w:bCs/>
                  <w:lang w:val="ro-MD"/>
                </w:rPr>
                <w:t>▼M17</w:t>
              </w:r>
            </w:hyperlink>
          </w:p>
          <w:p w14:paraId="6A7ACFFA" w14:textId="454B10D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(5a)   Monedele statelor membre care participă la MCS II sunt incluse în subcategoria celor mai lichide monede și monedei naționale din categoria generală de factori de risc „Rata dobânzii” din tabelul 2.</w:t>
            </w:r>
          </w:p>
        </w:tc>
        <w:tc>
          <w:tcPr>
            <w:tcW w:w="1692" w:type="pct"/>
            <w:shd w:val="clear" w:color="auto" w:fill="auto"/>
          </w:tcPr>
          <w:p w14:paraId="048992F3" w14:textId="7DFBC089" w:rsidR="008A3314" w:rsidRPr="00C011B2" w:rsidRDefault="00297307" w:rsidP="008A3314">
            <w:pPr>
              <w:spacing w:after="0" w:line="276" w:lineRule="auto"/>
              <w:jc w:val="both"/>
              <w:rPr>
                <w:rFonts w:ascii="Times New Roman" w:hAnsi="Times New Roman" w:cs="Times New Roman"/>
                <w:color w:val="000000" w:themeColor="text1"/>
                <w:lang w:val="ro-MD"/>
              </w:rPr>
            </w:pPr>
            <w:bookmarkStart w:id="355" w:name="_Hlk224044894"/>
            <w:r w:rsidRPr="00C011B2">
              <w:rPr>
                <w:rFonts w:ascii="Times New Roman" w:hAnsi="Times New Roman" w:cs="Times New Roman"/>
                <w:color w:val="000000" w:themeColor="text1"/>
                <w:lang w:val="ro-MD"/>
              </w:rPr>
              <w:t>359.</w:t>
            </w:r>
            <w:r w:rsidR="008A3314" w:rsidRPr="00C011B2">
              <w:rPr>
                <w:rFonts w:ascii="Times New Roman" w:hAnsi="Times New Roman" w:cs="Times New Roman"/>
                <w:color w:val="000000" w:themeColor="text1"/>
                <w:lang w:val="ro-MD"/>
              </w:rPr>
              <w:t>   Monedele statelor membre care participă la MCS II sunt incluse în subcategoria celor mai lichide monede și monedei naționale din categoria generală de factori de risc „Rata dobânzii” din tabelul 2.</w:t>
            </w:r>
            <w:bookmarkEnd w:id="355"/>
          </w:p>
        </w:tc>
        <w:tc>
          <w:tcPr>
            <w:tcW w:w="450" w:type="pct"/>
          </w:tcPr>
          <w:p w14:paraId="2CD721AF" w14:textId="5D5B8331"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F2D9A3F" w14:textId="77777777" w:rsidR="008A3314" w:rsidRPr="00C011B2" w:rsidRDefault="00297307"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alin.(6) se vor aplica de la data aderării Republicii Moldova la Uniunea Europeană.</w:t>
            </w:r>
          </w:p>
          <w:p w14:paraId="54341342" w14:textId="78FF9937" w:rsidR="00BD0EA4" w:rsidRPr="00C011B2" w:rsidRDefault="00BD0EA4" w:rsidP="00BD0EA4">
            <w:pPr>
              <w:spacing w:line="276" w:lineRule="auto"/>
              <w:jc w:val="both"/>
              <w:rPr>
                <w:rFonts w:ascii="Times New Roman" w:hAnsi="Times New Roman" w:cs="Times New Roman"/>
                <w:color w:val="000000" w:themeColor="text1"/>
                <w:lang w:val="ro-MD"/>
              </w:rPr>
            </w:pPr>
          </w:p>
        </w:tc>
      </w:tr>
      <w:tr w:rsidR="008A3314" w:rsidRPr="00C011B2" w14:paraId="15DB2DE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B2B52D"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6" w:tooltip="32019R0876: INSERTED" w:history="1">
              <w:r w:rsidR="008A3314" w:rsidRPr="00C011B2">
                <w:rPr>
                  <w:rStyle w:val="Hyperlink"/>
                  <w:rFonts w:ascii="Times New Roman" w:hAnsi="Times New Roman" w:cs="Times New Roman"/>
                  <w:b/>
                  <w:bCs/>
                  <w:lang w:val="ro-MD"/>
                </w:rPr>
                <w:t>▼M8</w:t>
              </w:r>
            </w:hyperlink>
          </w:p>
          <w:p w14:paraId="4F658E20" w14:textId="7D902E0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O instituție verifică cel puțin o dată pe lună dacă încadrarea menționată la alineatul (1) este adecvată.</w:t>
            </w:r>
          </w:p>
        </w:tc>
        <w:tc>
          <w:tcPr>
            <w:tcW w:w="1692" w:type="pct"/>
            <w:shd w:val="clear" w:color="auto" w:fill="auto"/>
          </w:tcPr>
          <w:p w14:paraId="060A35EC" w14:textId="6434512E" w:rsidR="008A3314" w:rsidRPr="00C011B2" w:rsidRDefault="00297307" w:rsidP="008A3314">
            <w:pPr>
              <w:spacing w:after="0" w:line="276" w:lineRule="auto"/>
              <w:jc w:val="both"/>
              <w:rPr>
                <w:rFonts w:ascii="Times New Roman" w:hAnsi="Times New Roman" w:cs="Times New Roman"/>
                <w:color w:val="000000" w:themeColor="text1"/>
                <w:lang w:val="ro-MD"/>
              </w:rPr>
            </w:pPr>
            <w:bookmarkStart w:id="356" w:name="_Hlk224044909"/>
            <w:r w:rsidRPr="00C011B2">
              <w:rPr>
                <w:rFonts w:ascii="Times New Roman" w:hAnsi="Times New Roman" w:cs="Times New Roman"/>
                <w:color w:val="000000" w:themeColor="text1"/>
                <w:lang w:val="ro-MD"/>
              </w:rPr>
              <w:t>360.</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verifică cel puțin o dată pe lună dacă încadrarea menționată la </w:t>
            </w:r>
            <w:r w:rsidRPr="00C011B2">
              <w:rPr>
                <w:rFonts w:ascii="Times New Roman" w:hAnsi="Times New Roman" w:cs="Times New Roman"/>
                <w:color w:val="000000" w:themeColor="text1"/>
                <w:lang w:val="ro-MD"/>
              </w:rPr>
              <w:t>pct.353</w:t>
            </w:r>
            <w:r w:rsidR="008A3314" w:rsidRPr="00C011B2">
              <w:rPr>
                <w:rFonts w:ascii="Times New Roman" w:hAnsi="Times New Roman" w:cs="Times New Roman"/>
                <w:color w:val="000000" w:themeColor="text1"/>
                <w:lang w:val="ro-MD"/>
              </w:rPr>
              <w:t xml:space="preserve"> este adecvată.</w:t>
            </w:r>
            <w:bookmarkEnd w:id="356"/>
          </w:p>
        </w:tc>
        <w:tc>
          <w:tcPr>
            <w:tcW w:w="450" w:type="pct"/>
          </w:tcPr>
          <w:p w14:paraId="50C35F79" w14:textId="27470959" w:rsidR="008A3314" w:rsidRPr="00C011B2" w:rsidRDefault="00B7382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2327C6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C40439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3607712" w14:textId="2ABB4E5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ABE elaborează proiecte de standarde tehnice de reglementare pentru a preciza:</w:t>
            </w:r>
          </w:p>
          <w:p w14:paraId="70F76166" w14:textId="6EB9F85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modul în care instituțiile încadrează factorii de risc ai pozițiilor menționate la alineatul (1) în categoriile generale de factori de risc și în subcategoriile generale de factori de risc în sensul alineatului (1);</w:t>
            </w:r>
          </w:p>
          <w:p w14:paraId="57A18B0A" w14:textId="6F79D29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ce monede constituie subcategoria „Cele mai lichide monede” din categoria generală de factori de risc „Rata dobânzii” din tabelul 2;</w:t>
            </w:r>
          </w:p>
          <w:p w14:paraId="56009723" w14:textId="2F8FC2F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ce perechi de monede constituie subcategoria „Cele mai lichide perechi de monede” a categoriei generale de factori de risc „Schimb valutar” din tabelul 2;</w:t>
            </w:r>
          </w:p>
          <w:p w14:paraId="4260FBCA" w14:textId="39366F4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definițiile capitalizării de piață scăzute și a capitalizării de piață ridicate în scopul subcategoriei „Prețul titlurilor de capital” și „Volatilitate” a categoriei de factori de risc de devalorizare pentru „Titluri de capital” din tabelul 2.</w:t>
            </w:r>
          </w:p>
          <w:p w14:paraId="1DA8428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ABE prezintă Comisiei aceste proiecte de standarde tehnice de reglementare până la 28 martie 2020.</w:t>
            </w:r>
          </w:p>
          <w:p w14:paraId="0A0D6B16" w14:textId="7132D37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p w14:paraId="3FD1DCAC"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2</w:t>
            </w:r>
          </w:p>
          <w:tbl>
            <w:tblPr>
              <w:tblW w:w="48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1"/>
              <w:gridCol w:w="1404"/>
              <w:gridCol w:w="1160"/>
              <w:gridCol w:w="1235"/>
            </w:tblGrid>
            <w:tr w:rsidR="008A3314" w:rsidRPr="00C011B2" w14:paraId="64472E3C" w14:textId="77777777" w:rsidTr="00FE4289">
              <w:trPr>
                <w:jc w:val="center"/>
              </w:trPr>
              <w:tc>
                <w:tcPr>
                  <w:tcW w:w="1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B765E"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Categorii generale de factori de risc</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C8E3B7"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Subcategorii generale de factori de risc</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D4CF27"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Orizonturi de lichiditate</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BE5AE"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Lungimea orizontului de lichiditate (în zile)</w:t>
                  </w:r>
                </w:p>
              </w:tc>
            </w:tr>
            <w:tr w:rsidR="008A3314" w:rsidRPr="00C011B2" w14:paraId="3D62C6D5" w14:textId="77777777" w:rsidTr="00FE4289">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C58E7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Rata dobânzii</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F7167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Cele mai lichide monede și moneda națională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25A5A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0CA0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3562EE5E"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72A8E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C58ED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monede (excluzând monedele cele mai lichide)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686E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733FC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098C7D71"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5F58A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8C39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4C8F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2F1D8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1EEF6F44"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510E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7026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40D2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793B9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1D5AF9AC" w14:textId="77777777" w:rsidTr="00FE4289">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8C36A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Marjă de credit</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19924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Administrația centrală a </w:t>
                  </w:r>
                  <w:r w:rsidRPr="00C011B2">
                    <w:rPr>
                      <w:rFonts w:ascii="Times New Roman" w:hAnsi="Times New Roman" w:cs="Times New Roman"/>
                      <w:color w:val="000000" w:themeColor="text1"/>
                      <w:lang w:val="ro-MD"/>
                    </w:rPr>
                    <w:lastRenderedPageBreak/>
                    <w:t>statelor membre, inclusiv băncile centrale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0DF0C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A0E1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11CFFED0"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28FE3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E8AA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instituțiile de credit din statele membre (categoria „investment grade”)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0A2BB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BFFC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027C6DAC"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6F27A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15DC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suverane (categoria „investment grade”)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77DF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89BC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12DCF88F"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880D3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EE30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suverane (categoria „high yield”)</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74B7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E6231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57939C92"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38393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F73CA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Societăți (categoria </w:t>
                  </w:r>
                  <w:r w:rsidRPr="00C011B2">
                    <w:rPr>
                      <w:rFonts w:ascii="Times New Roman" w:hAnsi="Times New Roman" w:cs="Times New Roman"/>
                      <w:color w:val="000000" w:themeColor="text1"/>
                      <w:lang w:val="ro-MD"/>
                    </w:rPr>
                    <w:lastRenderedPageBreak/>
                    <w:t>„investment grade”)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EDEC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15921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5640ABFE"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EA7E8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05EE8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Societăți (categoria „high yield”)</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D25F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C7061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42638EC5"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1305B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D0150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3809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7F80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r w:rsidR="008A3314" w:rsidRPr="00C011B2" w14:paraId="4A56F59D"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68EE1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81B52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0E7A4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74A12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r w:rsidR="008A3314" w:rsidRPr="00C011B2" w14:paraId="09F7BF87" w14:textId="77777777" w:rsidTr="00FE4289">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19547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capital</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A173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titlurilor de capital (capitalizare de piață ridicată)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8BB5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6710A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29496224"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B492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13B7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titlurilor de capital (capitalizare de piață scăzută)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436B8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81AFF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1374686D"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46C1C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4490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 (capitalizare de piață ridicată)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18C3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E216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1FCA5099"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D6E8B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BEEB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 (capitalizare de piață scăzută)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F1716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97E8C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28A6731B"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82AE7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AC2A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BA2A7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FC71C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194DFF45" w14:textId="77777777" w:rsidTr="00FE4289">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9A9E0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Schimb valutar</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ADA73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Cele mai lichide perechi de monede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F4008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5334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215C7108"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46BBE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A4665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perechi de monede (excluzând cele mai lichide perechi de monede)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F6D90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05E3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0FA03B1C"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68F7B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480C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FCFC7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EB84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06A3C63B"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08674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001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EDCC2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BD138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4C7470DF" w14:textId="77777777" w:rsidTr="00FE4289">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F8718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Marfă</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2831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energiei și prețul emisiilor de dioxid de carbon</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EEC28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AA546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7C8E339C"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1AEE1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D6C8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metalelor prețioase și prețul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A883E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D8219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5BED0071"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5EF4F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E9579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Prețurile altor mărfuri (excluzând </w:t>
                  </w:r>
                  <w:r w:rsidRPr="00C011B2">
                    <w:rPr>
                      <w:rFonts w:ascii="Times New Roman" w:hAnsi="Times New Roman" w:cs="Times New Roman"/>
                      <w:color w:val="000000" w:themeColor="text1"/>
                      <w:lang w:val="ro-MD"/>
                    </w:rPr>
                    <w:lastRenderedPageBreak/>
                    <w:t>prețul energiei, prețul emisiilor de dioxid de carbon, prețul metalelor prețioase și prețul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D11E6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894A1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11CCCCC5"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36DAF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7A655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Volatilitatea energiei și volatilitatea emisiilor de dioxid de carbon</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8E4B8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4C8E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756A1E5B"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D85C8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2CBB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Volatilitatea metalelor prețioase și volatilitatea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ECEB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BD90D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206514BC"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1B873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20048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Volatilitatea altor mărfuri (excluzând volatilitatea </w:t>
                  </w:r>
                  <w:r w:rsidRPr="00C011B2">
                    <w:rPr>
                      <w:rFonts w:ascii="Times New Roman" w:hAnsi="Times New Roman" w:cs="Times New Roman"/>
                      <w:color w:val="000000" w:themeColor="text1"/>
                      <w:lang w:val="ro-MD"/>
                    </w:rPr>
                    <w:lastRenderedPageBreak/>
                    <w:t>energiei, volatilitatea emisiilor de dioxid de carbon, volatilitatea metalelor prețioase și volatilitatea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99E6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1FE37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r w:rsidR="008A3314" w:rsidRPr="00C011B2" w14:paraId="20E5010D" w14:textId="77777777" w:rsidTr="00FE4289">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D929F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CC9D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49264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4D9F4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bl>
          <w:p w14:paraId="3D224E1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2425A2D8" w14:textId="1B28AEC5" w:rsidR="008A3314" w:rsidRPr="00C011B2" w:rsidRDefault="001A5F3A" w:rsidP="001A5F3A">
            <w:pPr>
              <w:spacing w:after="0" w:line="276" w:lineRule="auto"/>
              <w:jc w:val="both"/>
              <w:rPr>
                <w:rFonts w:ascii="Times New Roman" w:hAnsi="Times New Roman" w:cs="Times New Roman"/>
                <w:color w:val="000000" w:themeColor="text1"/>
                <w:lang w:val="ro-MD"/>
              </w:rPr>
            </w:pPr>
            <w:bookmarkStart w:id="357" w:name="_Hlk224044941"/>
            <w:r w:rsidRPr="00C011B2">
              <w:rPr>
                <w:rFonts w:ascii="Times New Roman" w:hAnsi="Times New Roman" w:cs="Times New Roman"/>
                <w:color w:val="000000" w:themeColor="text1"/>
                <w:lang w:val="ro-MD"/>
              </w:rPr>
              <w:lastRenderedPageBreak/>
              <w:t>361.</w:t>
            </w:r>
            <w:r w:rsidR="008A3314" w:rsidRPr="00C011B2">
              <w:rPr>
                <w:rFonts w:ascii="Times New Roman" w:hAnsi="Times New Roman" w:cs="Times New Roman"/>
                <w:color w:val="000000" w:themeColor="text1"/>
                <w:lang w:val="ro-MD"/>
              </w:rPr>
              <w:t>   </w:t>
            </w:r>
            <w:r w:rsidR="00BD7D38" w:rsidRPr="00C011B2">
              <w:rPr>
                <w:rFonts w:ascii="Times New Roman" w:hAnsi="Times New Roman" w:cs="Times New Roman"/>
                <w:color w:val="000000" w:themeColor="text1"/>
                <w:lang w:val="ro-MD"/>
              </w:rPr>
              <w:t>Anexa nr.</w:t>
            </w:r>
            <w:r w:rsidR="000C5E54" w:rsidRPr="00C011B2">
              <w:rPr>
                <w:rFonts w:ascii="Times New Roman" w:hAnsi="Times New Roman" w:cs="Times New Roman"/>
                <w:color w:val="000000" w:themeColor="text1"/>
                <w:lang w:val="ro-MD"/>
              </w:rPr>
              <w:t>4</w:t>
            </w:r>
            <w:r w:rsidR="00BD7D38" w:rsidRPr="00C011B2">
              <w:rPr>
                <w:rFonts w:ascii="Times New Roman" w:hAnsi="Times New Roman" w:cs="Times New Roman"/>
                <w:color w:val="000000" w:themeColor="text1"/>
                <w:lang w:val="ro-MD"/>
              </w:rPr>
              <w:t xml:space="preserve"> stabilește</w:t>
            </w:r>
            <w:r w:rsidR="008A3314" w:rsidRPr="00C011B2">
              <w:rPr>
                <w:rFonts w:ascii="Times New Roman" w:hAnsi="Times New Roman" w:cs="Times New Roman"/>
                <w:color w:val="000000" w:themeColor="text1"/>
                <w:lang w:val="ro-MD"/>
              </w:rPr>
              <w:t>:</w:t>
            </w:r>
          </w:p>
          <w:p w14:paraId="52E4F4EF" w14:textId="0BA8BA23" w:rsidR="008A3314" w:rsidRPr="00C011B2" w:rsidRDefault="00BD7D38" w:rsidP="001A5F3A">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361.1.</w:t>
            </w:r>
            <w:r w:rsidR="008A3314" w:rsidRPr="00C011B2">
              <w:rPr>
                <w:rFonts w:ascii="Times New Roman" w:hAnsi="Times New Roman" w:cs="Times New Roman"/>
                <w:color w:val="000000" w:themeColor="text1"/>
                <w:lang w:val="ro-MD"/>
              </w:rPr>
              <w:t xml:space="preserve"> modul în care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încadrează factorii de risc ai pozițiilor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pct.353</w:t>
            </w:r>
            <w:r w:rsidR="008A3314" w:rsidRPr="00C011B2">
              <w:rPr>
                <w:rFonts w:ascii="Times New Roman" w:hAnsi="Times New Roman" w:cs="Times New Roman"/>
                <w:color w:val="000000" w:themeColor="text1"/>
                <w:lang w:val="ro-MD"/>
              </w:rPr>
              <w:t xml:space="preserve"> în categoriile generale de factori de risc și în subcategoriile generale de factori de risc în sensul</w:t>
            </w:r>
            <w:r w:rsidRPr="00C011B2">
              <w:rPr>
                <w:rFonts w:ascii="Times New Roman" w:hAnsi="Times New Roman" w:cs="Times New Roman"/>
                <w:color w:val="000000" w:themeColor="text1"/>
                <w:lang w:val="ro-MD"/>
              </w:rPr>
              <w:t>pct.353</w:t>
            </w:r>
            <w:r w:rsidR="008A3314" w:rsidRPr="00C011B2">
              <w:rPr>
                <w:rFonts w:ascii="Times New Roman" w:hAnsi="Times New Roman" w:cs="Times New Roman"/>
                <w:color w:val="000000" w:themeColor="text1"/>
                <w:lang w:val="ro-MD"/>
              </w:rPr>
              <w:t>;</w:t>
            </w:r>
          </w:p>
          <w:p w14:paraId="34956511" w14:textId="724A86F8" w:rsidR="008A3314" w:rsidRPr="00C011B2" w:rsidRDefault="00BD7D38" w:rsidP="001A5F3A">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361.2.</w:t>
            </w:r>
            <w:r w:rsidR="008A3314" w:rsidRPr="00C011B2">
              <w:rPr>
                <w:rFonts w:ascii="Times New Roman" w:hAnsi="Times New Roman" w:cs="Times New Roman"/>
                <w:color w:val="000000" w:themeColor="text1"/>
                <w:lang w:val="ro-MD"/>
              </w:rPr>
              <w:t> ce monede constituie subcategoria „Cele mai lichide monede” din categoria generală de factori de risc „Rata dobânzii” din tabelul 2;</w:t>
            </w:r>
          </w:p>
          <w:p w14:paraId="62531AC2" w14:textId="3028C6C4" w:rsidR="008A3314" w:rsidRPr="00C011B2" w:rsidRDefault="00BD7D38" w:rsidP="001A5F3A">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361.3.</w:t>
            </w:r>
            <w:r w:rsidR="008A3314" w:rsidRPr="00C011B2">
              <w:rPr>
                <w:rFonts w:ascii="Times New Roman" w:hAnsi="Times New Roman" w:cs="Times New Roman"/>
                <w:color w:val="000000" w:themeColor="text1"/>
                <w:lang w:val="ro-MD"/>
              </w:rPr>
              <w:t> ce perechi de monede constituie subcategoria „Cele mai lichide perechi de monede” a categoriei generale de factori de risc „Schimb valutar” din tabelul 2;</w:t>
            </w:r>
          </w:p>
          <w:p w14:paraId="29367FA9" w14:textId="275E0B9F" w:rsidR="008A3314" w:rsidRPr="00C011B2" w:rsidRDefault="00BD7D38" w:rsidP="001A5F3A">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361.4.</w:t>
            </w:r>
            <w:r w:rsidR="008A3314" w:rsidRPr="00C011B2">
              <w:rPr>
                <w:rFonts w:ascii="Times New Roman" w:hAnsi="Times New Roman" w:cs="Times New Roman"/>
                <w:color w:val="000000" w:themeColor="text1"/>
                <w:lang w:val="ro-MD"/>
              </w:rPr>
              <w:t> definițiile capitalizării de piață scăzute și a capitalizării de piață ridicate în scopul subcategoriei „Prețul titlurilor de capital” și „Volatilitate” a categoriei de factori de risc de devalorizare pentru „Titluri de capital” din tabelul 2.</w:t>
            </w:r>
          </w:p>
          <w:p w14:paraId="727B1D65" w14:textId="1AD3B2C7" w:rsidR="001A5F3A" w:rsidRPr="00C011B2" w:rsidRDefault="001A5F3A" w:rsidP="001A5F3A">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Băncile încadrează factorii de risc în orizonturi de lichiditate din tabelul 2 în conformitate cu prevederile prezentei subsecțiuni.</w:t>
            </w:r>
          </w:p>
          <w:p w14:paraId="6256C569"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2</w:t>
            </w:r>
          </w:p>
          <w:tbl>
            <w:tblPr>
              <w:tblW w:w="48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1"/>
              <w:gridCol w:w="1404"/>
              <w:gridCol w:w="1160"/>
              <w:gridCol w:w="1235"/>
            </w:tblGrid>
            <w:tr w:rsidR="008A3314" w:rsidRPr="00C011B2" w14:paraId="321898A4" w14:textId="77777777" w:rsidTr="001E785F">
              <w:trPr>
                <w:jc w:val="center"/>
              </w:trPr>
              <w:tc>
                <w:tcPr>
                  <w:tcW w:w="1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E0451B"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bookmarkStart w:id="358" w:name="_Hlk223599606"/>
                  <w:bookmarkEnd w:id="357"/>
                  <w:r w:rsidRPr="00C011B2">
                    <w:rPr>
                      <w:rFonts w:ascii="Times New Roman" w:hAnsi="Times New Roman" w:cs="Times New Roman"/>
                      <w:b/>
                      <w:bCs/>
                      <w:color w:val="000000" w:themeColor="text1"/>
                      <w:lang w:val="ro-MD"/>
                    </w:rPr>
                    <w:t>Categorii generale de factori de risc</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7EF3A"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Subcategorii generale de factori de risc</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17CC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Orizonturi de lichiditate</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8CD01C"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Lungimea orizontului de lichiditate (în zile)</w:t>
                  </w:r>
                </w:p>
              </w:tc>
            </w:tr>
            <w:tr w:rsidR="008A3314" w:rsidRPr="00C011B2" w14:paraId="63C6D4FE" w14:textId="77777777" w:rsidTr="001E785F">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4969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Rata dobânzii</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1A52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Cele mai lichide monede și moneda națională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9868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CB068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27937BCB"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E5ED9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8811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monede (excluzând monedele cele mai lichide)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E056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8258B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57C13982"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0DD8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E980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59EE5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8B41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544ECF7E"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C80CB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B9B5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A27B6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4AD0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6D1EAE14" w14:textId="77777777" w:rsidTr="001E785F">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7AE89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Marjă de credit</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3AD9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Administrația centrală a statelor membre, inclusiv băncile centrale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5B80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923C4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74D9E66E"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092A0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9D423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Obligațiuni garantate emise de instituțiile de credit din statele membre (categoria „investment grade”)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1968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F9EBD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6909AABF"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69FAC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7799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suverane (categoria „investment grade”)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907E0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3ED8A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08F34953"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E850C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70CC8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Entități suverane (categoria „high yield”)</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1FFE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A3EE2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049D6EE1"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50A6C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A28E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Societăți (categoria „investment grade”)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FB5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A47B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2E1F98C2"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B360D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6ED4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Societăți (categoria „high yield”)</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A6A9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888A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37BF7628"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340A6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F75D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D8BF4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FD30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r w:rsidR="008A3314" w:rsidRPr="00C011B2" w14:paraId="744CCBBB"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24A25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5AEB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C6FA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45D5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r w:rsidR="008A3314" w:rsidRPr="00C011B2" w14:paraId="18B6D655" w14:textId="77777777" w:rsidTr="001E785F">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30C6E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capital</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4C9E5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titlurilor de capital (capitalizare de piață ridicată)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63F99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6B5C0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0AB46FFA"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49478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9FF4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titlurilor de capital (capitalizare de piață scăzută)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31C9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C7F8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36A63638"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3883E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892E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 (capitalizare de piață ridicată)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86FE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0A9FE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19EAECA0"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AC42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3124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 (capitalizare de piață scăzută)</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059E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A4AF6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13815B06"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846B8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1EC74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EE9F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F1C0E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7FCC5F83" w14:textId="77777777" w:rsidTr="001E785F">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DB32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Schimb valutar</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E749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Cele mai lichide perechi de monede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BE97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E8A34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8A3314" w:rsidRPr="00C011B2" w14:paraId="2B71E1AC"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790F7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52166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Alte perechi de monede (excluzând cele </w:t>
                  </w:r>
                  <w:r w:rsidRPr="00C011B2">
                    <w:rPr>
                      <w:rFonts w:ascii="Times New Roman" w:hAnsi="Times New Roman" w:cs="Times New Roman"/>
                      <w:color w:val="000000" w:themeColor="text1"/>
                      <w:lang w:val="ro-MD"/>
                    </w:rPr>
                    <w:lastRenderedPageBreak/>
                    <w:t>mai lichide perechi de monede)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332C2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2158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621DFBE6"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EB4B5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B629D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70D4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8CB58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60357C1A"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55954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4D704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954A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20E2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w:t>
                  </w:r>
                </w:p>
              </w:tc>
            </w:tr>
            <w:tr w:rsidR="008A3314" w:rsidRPr="00C011B2" w14:paraId="64BFB680" w14:textId="77777777" w:rsidTr="001E785F">
              <w:trPr>
                <w:jc w:val="center"/>
              </w:trPr>
              <w:tc>
                <w:tcPr>
                  <w:tcW w:w="10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E6E96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Marfă</w:t>
                  </w: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950D33"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energiei și prețul emisiilor de dioxid de carbon</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28563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812D9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6BA1C696"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C93DD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5740A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Prețul metalelor prețioase și prețul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58C3D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E52F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20</w:t>
                  </w:r>
                </w:p>
              </w:tc>
            </w:tr>
            <w:tr w:rsidR="008A3314" w:rsidRPr="00C011B2" w14:paraId="45AF826F"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4C682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45273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Prețurile altor mărfuri (excluzând prețul energiei, prețul emisiilor de dioxid de carbon, prețul metalelor prețioase și </w:t>
                  </w:r>
                  <w:r w:rsidRPr="00C011B2">
                    <w:rPr>
                      <w:rFonts w:ascii="Times New Roman" w:hAnsi="Times New Roman" w:cs="Times New Roman"/>
                      <w:color w:val="000000" w:themeColor="text1"/>
                      <w:lang w:val="ro-MD"/>
                    </w:rPr>
                    <w:lastRenderedPageBreak/>
                    <w:t>prețul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FF456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625A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1247600C"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2BC57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2A08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Volatilitatea energiei și volatilitatea emisiilor de dioxid de carbon</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5F7B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C438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43338217"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3C633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6C09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Volatilitatea metalelor prețioase și volatilitatea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0766F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0663E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w:t>
                  </w:r>
                </w:p>
              </w:tc>
            </w:tr>
            <w:tr w:rsidR="008A3314" w:rsidRPr="00C011B2" w14:paraId="5A3B6477"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1278C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074F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Volatilitatea altor mărfuri (excluzând volatilitatea energiei, volatilitatea emisiilor de dioxid de carbon, volatilitatea </w:t>
                  </w:r>
                  <w:r w:rsidRPr="00C011B2">
                    <w:rPr>
                      <w:rFonts w:ascii="Times New Roman" w:hAnsi="Times New Roman" w:cs="Times New Roman"/>
                      <w:color w:val="000000" w:themeColor="text1"/>
                      <w:lang w:val="ro-MD"/>
                    </w:rPr>
                    <w:lastRenderedPageBreak/>
                    <w:t>metalelor prețioase și volatilitatea metalelor neferoase)</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4C9B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AD6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tr w:rsidR="008A3314" w:rsidRPr="00C011B2" w14:paraId="31CD91FE" w14:textId="77777777" w:rsidTr="001E785F">
              <w:trPr>
                <w:jc w:val="center"/>
              </w:trPr>
              <w:tc>
                <w:tcPr>
                  <w:tcW w:w="10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8A210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43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2677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Alte tipuri</w:t>
                  </w:r>
                </w:p>
              </w:tc>
              <w:tc>
                <w:tcPr>
                  <w:tcW w:w="11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8B44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8AC0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120</w:t>
                  </w:r>
                </w:p>
              </w:tc>
            </w:tr>
            <w:bookmarkEnd w:id="358"/>
          </w:tbl>
          <w:p w14:paraId="681AACE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62683757" w14:textId="32F4A6F5" w:rsidR="008A3314" w:rsidRPr="00C011B2" w:rsidRDefault="001A5F3A"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Parțial compatibil</w:t>
            </w:r>
          </w:p>
        </w:tc>
        <w:tc>
          <w:tcPr>
            <w:tcW w:w="1261" w:type="pct"/>
          </w:tcPr>
          <w:p w14:paraId="37CCC271" w14:textId="6D59D38C" w:rsidR="001A5F3A" w:rsidRPr="00C011B2" w:rsidRDefault="001A5F3A" w:rsidP="008A3314">
            <w:pPr>
              <w:spacing w:line="276" w:lineRule="auto"/>
              <w:jc w:val="both"/>
              <w:rPr>
                <w:rFonts w:ascii="Times New Roman" w:hAnsi="Times New Roman" w:cs="Times New Roman"/>
                <w:color w:val="000000" w:themeColor="text1"/>
                <w:lang w:val="pt-BR"/>
              </w:rPr>
            </w:pPr>
            <w:r w:rsidRPr="00C011B2">
              <w:rPr>
                <w:rFonts w:ascii="Times New Roman" w:hAnsi="Times New Roman" w:cs="Times New Roman"/>
                <w:color w:val="000000" w:themeColor="text1"/>
                <w:lang w:val="ro-MD"/>
              </w:rPr>
              <w:t>Nu au fost transpuse prevederile aferente atribu</w:t>
            </w:r>
            <w:r w:rsidR="004B6A18" w:rsidRPr="00C011B2">
              <w:rPr>
                <w:rFonts w:ascii="Times New Roman" w:hAnsi="Times New Roman" w:cs="Times New Roman"/>
                <w:color w:val="000000" w:themeColor="text1"/>
                <w:lang w:val="ro-MD"/>
              </w:rPr>
              <w:t>ț</w:t>
            </w:r>
            <w:r w:rsidRPr="00C011B2">
              <w:rPr>
                <w:rFonts w:ascii="Times New Roman" w:hAnsi="Times New Roman" w:cs="Times New Roman"/>
                <w:color w:val="000000" w:themeColor="text1"/>
                <w:lang w:val="ro-MD"/>
              </w:rPr>
              <w:t>iilor ABE</w:t>
            </w:r>
            <w:r w:rsidR="004B6A18" w:rsidRPr="00C011B2">
              <w:rPr>
                <w:lang w:val="pt-BR"/>
              </w:rPr>
              <w:t>.</w:t>
            </w:r>
          </w:p>
          <w:p w14:paraId="531FF67F" w14:textId="0AF1350D"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C34C27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2782BB8"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325be</w:t>
            </w:r>
          </w:p>
          <w:p w14:paraId="6CEB52F5" w14:textId="5B0B88C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Evaluarea gradului în care factorii de risc pot fi modelați</w:t>
            </w:r>
          </w:p>
        </w:tc>
        <w:tc>
          <w:tcPr>
            <w:tcW w:w="1692" w:type="pct"/>
            <w:shd w:val="clear" w:color="auto" w:fill="auto"/>
          </w:tcPr>
          <w:p w14:paraId="1ADA6F13" w14:textId="7556E391" w:rsidR="008A3314" w:rsidRPr="00C011B2" w:rsidRDefault="00D80DA6" w:rsidP="008A3314">
            <w:pPr>
              <w:spacing w:after="0" w:line="276" w:lineRule="auto"/>
              <w:jc w:val="both"/>
              <w:rPr>
                <w:rFonts w:ascii="Times New Roman" w:hAnsi="Times New Roman" w:cs="Times New Roman"/>
                <w:color w:val="000000" w:themeColor="text1"/>
                <w:lang w:val="ro-MD"/>
              </w:rPr>
            </w:pPr>
            <w:bookmarkStart w:id="359" w:name="_Hlk195098792"/>
            <w:r w:rsidRPr="00C011B2">
              <w:rPr>
                <w:rFonts w:ascii="Times New Roman" w:hAnsi="Times New Roman" w:cs="Times New Roman"/>
                <w:i/>
                <w:iCs/>
                <w:color w:val="000000" w:themeColor="text1"/>
                <w:lang w:val="ro-MD"/>
              </w:rPr>
              <w:t xml:space="preserve">Subsecțiunea 4. </w:t>
            </w:r>
            <w:r w:rsidR="008A3314" w:rsidRPr="00C011B2">
              <w:rPr>
                <w:rFonts w:ascii="Times New Roman" w:hAnsi="Times New Roman" w:cs="Times New Roman"/>
                <w:b/>
                <w:bCs/>
                <w:color w:val="000000" w:themeColor="text1"/>
                <w:lang w:val="ro-MD"/>
              </w:rPr>
              <w:t>Evaluarea gradului în care factorii de risc pot fi modelați</w:t>
            </w:r>
            <w:bookmarkEnd w:id="359"/>
          </w:p>
        </w:tc>
        <w:tc>
          <w:tcPr>
            <w:tcW w:w="450" w:type="pct"/>
          </w:tcPr>
          <w:p w14:paraId="48E3FF4C"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6DC5E6D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2B476A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B410AE7" w14:textId="4A37462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evaluează gradul în care pot fi modelați toți factorii de risc aferenți pozițiilor atribuite birourilor de tranzacționare pentru care au primit aprobarea astfel cum se menționează la articolul 325az alineatul (2) sau pentru care aprobarea respectivă este în curs de a fi acordată.</w:t>
            </w:r>
          </w:p>
          <w:p w14:paraId="494C175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7" w:tooltip="32024R1623: INSERTED" w:history="1">
              <w:r w:rsidR="008A3314" w:rsidRPr="00C011B2">
                <w:rPr>
                  <w:rStyle w:val="Hyperlink"/>
                  <w:rFonts w:ascii="Times New Roman" w:hAnsi="Times New Roman" w:cs="Times New Roman"/>
                  <w:b/>
                  <w:bCs/>
                  <w:lang w:val="ro-MD"/>
                </w:rPr>
                <w:t>▼M17</w:t>
              </w:r>
            </w:hyperlink>
          </w:p>
          <w:p w14:paraId="2B53DBC2" w14:textId="6605F62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scopul evaluării menționate în primul paragraf, autoritățile competente pot autoriza instituțiile să </w:t>
            </w:r>
            <w:r w:rsidRPr="00C011B2">
              <w:rPr>
                <w:rFonts w:ascii="Times New Roman" w:hAnsi="Times New Roman" w:cs="Times New Roman"/>
                <w:color w:val="000000" w:themeColor="text1"/>
                <w:lang w:val="ro-MD"/>
              </w:rPr>
              <w:lastRenderedPageBreak/>
              <w:t>utilizeze date de piață puse la dispoziție de furnizori terți.</w:t>
            </w:r>
          </w:p>
        </w:tc>
        <w:tc>
          <w:tcPr>
            <w:tcW w:w="1692" w:type="pct"/>
            <w:shd w:val="clear" w:color="auto" w:fill="auto"/>
          </w:tcPr>
          <w:p w14:paraId="5EB32D1F" w14:textId="038D1CDD" w:rsidR="008A3314" w:rsidRPr="00C011B2" w:rsidRDefault="00D80DA6"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362.</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evaluează gradul în care pot fi modelați toți factorii de risc aferenți pozițiilor atribuite birourilor de tranzacționare pentru care au primit aprobarea astfel cum se menționează la </w:t>
            </w:r>
            <w:r w:rsidR="00180B8D"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 xml:space="preserve"> sau pentru care aprobarea respectivă este în curs de a fi acordată.</w:t>
            </w:r>
          </w:p>
          <w:p w14:paraId="4B22619D" w14:textId="26B26CDF" w:rsidR="008A3314" w:rsidRPr="00C011B2" w:rsidRDefault="007B7D94" w:rsidP="008A3314">
            <w:pPr>
              <w:spacing w:after="0" w:line="276" w:lineRule="auto"/>
              <w:jc w:val="both"/>
              <w:rPr>
                <w:rFonts w:ascii="Times New Roman" w:hAnsi="Times New Roman" w:cs="Times New Roman"/>
                <w:color w:val="000000" w:themeColor="text1"/>
                <w:lang w:val="ro-MD"/>
              </w:rPr>
            </w:pPr>
            <w:bookmarkStart w:id="360" w:name="_Hlk224107995"/>
            <w:r w:rsidRPr="00C011B2">
              <w:rPr>
                <w:rFonts w:ascii="Times New Roman" w:hAnsi="Times New Roman" w:cs="Times New Roman"/>
                <w:color w:val="000000" w:themeColor="text1"/>
                <w:lang w:val="ro-MD"/>
              </w:rPr>
              <w:t xml:space="preserve">363. </w:t>
            </w:r>
            <w:r w:rsidR="008A3314" w:rsidRPr="00C011B2">
              <w:rPr>
                <w:rFonts w:ascii="Times New Roman" w:hAnsi="Times New Roman" w:cs="Times New Roman"/>
                <w:color w:val="000000" w:themeColor="text1"/>
                <w:lang w:val="ro-MD"/>
              </w:rPr>
              <w:t xml:space="preserve">În scopul evaluării menționate </w:t>
            </w:r>
            <w:r w:rsidRPr="00C011B2">
              <w:rPr>
                <w:rFonts w:ascii="Times New Roman" w:hAnsi="Times New Roman" w:cs="Times New Roman"/>
                <w:color w:val="000000" w:themeColor="text1"/>
                <w:lang w:val="ro-MD"/>
              </w:rPr>
              <w:t>la pct.362</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BNM poate </w:t>
            </w:r>
            <w:r w:rsidR="008A3314" w:rsidRPr="00C011B2">
              <w:rPr>
                <w:rFonts w:ascii="Times New Roman" w:hAnsi="Times New Roman" w:cs="Times New Roman"/>
                <w:color w:val="000000" w:themeColor="text1"/>
                <w:lang w:val="ro-MD"/>
              </w:rPr>
              <w:t xml:space="preserve">autoriza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să utilizeze date de piață puse la dispoziție de furnizori terți.</w:t>
            </w:r>
            <w:bookmarkEnd w:id="360"/>
          </w:p>
        </w:tc>
        <w:tc>
          <w:tcPr>
            <w:tcW w:w="450" w:type="pct"/>
          </w:tcPr>
          <w:p w14:paraId="0107B076" w14:textId="4AE885B1"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F094BF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EFEFEE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842C0C1" w14:textId="0A0B13D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(1a) Autoritățile competente pot impune unei instituții să considere nemodelabil un factor de risc care a fost evaluat ca modelabil de instituție în conformitate cu alineatul (1) de la prezentul articol, în cazul în care datele de intrare utilizate pentru a determina scenariile unor șocuri viitoare aplicate factorului de risc nu îndeplinesc, într-un mod considerat satisfăcător de autoritățile competente, cerințele menționate la articolul 325bc alineatul (6).</w:t>
            </w:r>
          </w:p>
        </w:tc>
        <w:tc>
          <w:tcPr>
            <w:tcW w:w="1692" w:type="pct"/>
            <w:shd w:val="clear" w:color="auto" w:fill="auto"/>
          </w:tcPr>
          <w:p w14:paraId="03E95E9E" w14:textId="076B01B6" w:rsidR="008A3314" w:rsidRPr="00C011B2" w:rsidRDefault="007B7D94" w:rsidP="008A3314">
            <w:pPr>
              <w:spacing w:after="0" w:line="276" w:lineRule="auto"/>
              <w:jc w:val="both"/>
              <w:rPr>
                <w:rFonts w:ascii="Times New Roman" w:hAnsi="Times New Roman" w:cs="Times New Roman"/>
                <w:color w:val="000000" w:themeColor="text1"/>
                <w:lang w:val="ro-MD"/>
              </w:rPr>
            </w:pPr>
            <w:bookmarkStart w:id="361" w:name="_Hlk224108014"/>
            <w:r w:rsidRPr="00C011B2">
              <w:rPr>
                <w:rFonts w:ascii="Times New Roman" w:hAnsi="Times New Roman" w:cs="Times New Roman"/>
                <w:color w:val="000000" w:themeColor="text1"/>
                <w:lang w:val="ro-MD"/>
              </w:rPr>
              <w:t>364.</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pot impune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să considere nemodelabil un factor de risc care a fost evaluat ca modelabil de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în conformitate cu </w:t>
            </w:r>
            <w:r w:rsidRPr="00C011B2">
              <w:rPr>
                <w:rFonts w:ascii="Times New Roman" w:hAnsi="Times New Roman" w:cs="Times New Roman"/>
                <w:color w:val="000000" w:themeColor="text1"/>
                <w:lang w:val="ro-MD"/>
              </w:rPr>
              <w:t>pct.362</w:t>
            </w:r>
            <w:r w:rsidR="008A3314" w:rsidRPr="00C011B2">
              <w:rPr>
                <w:rFonts w:ascii="Times New Roman" w:hAnsi="Times New Roman" w:cs="Times New Roman"/>
                <w:color w:val="000000" w:themeColor="text1"/>
                <w:lang w:val="ro-MD"/>
              </w:rPr>
              <w:t xml:space="preserve">, în cazul în care datele de intrare utilizate pentru a determina scenariile unor șocuri viitoare aplicate factorului de risc nu îndeplinesc, într-un mod considerat satisfăcător de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w:t>
            </w:r>
            <w:r w:rsidR="009C11BA" w:rsidRPr="00C011B2">
              <w:rPr>
                <w:rFonts w:ascii="Times New Roman" w:hAnsi="Times New Roman" w:cs="Times New Roman"/>
                <w:color w:val="000000" w:themeColor="text1"/>
                <w:lang w:val="ro-MD"/>
              </w:rPr>
              <w:t>criteriile de utilizare a datelor de intrare în modelul de măsurare a riscurilor.</w:t>
            </w:r>
            <w:r w:rsidR="008A3314" w:rsidRPr="00C011B2">
              <w:rPr>
                <w:rFonts w:ascii="Times New Roman" w:hAnsi="Times New Roman" w:cs="Times New Roman"/>
                <w:color w:val="000000" w:themeColor="text1"/>
                <w:lang w:val="ro-MD"/>
              </w:rPr>
              <w:t>.</w:t>
            </w:r>
            <w:bookmarkEnd w:id="361"/>
          </w:p>
        </w:tc>
        <w:tc>
          <w:tcPr>
            <w:tcW w:w="450" w:type="pct"/>
          </w:tcPr>
          <w:p w14:paraId="2ADF9736" w14:textId="1C16F75F"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EB8B4D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90BC23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A6F90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8" w:tooltip="32019R0876: INSERTED" w:history="1">
              <w:r w:rsidR="008A3314" w:rsidRPr="00C011B2">
                <w:rPr>
                  <w:rStyle w:val="Hyperlink"/>
                  <w:rFonts w:ascii="Times New Roman" w:hAnsi="Times New Roman" w:cs="Times New Roman"/>
                  <w:b/>
                  <w:bCs/>
                  <w:lang w:val="ro-MD"/>
                </w:rPr>
                <w:t>▼M8</w:t>
              </w:r>
            </w:hyperlink>
          </w:p>
          <w:p w14:paraId="1AD74AE4" w14:textId="382E7AC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cadrul evaluării menționate la alineatul (1) de la prezentul articol, instituțiile calculează cerințele de fonduri proprii pentru riscul de piață în conformitate cu articolul 325bk pentru factorii de risc care nu sunt modelabili.</w:t>
            </w:r>
          </w:p>
        </w:tc>
        <w:tc>
          <w:tcPr>
            <w:tcW w:w="1692" w:type="pct"/>
            <w:shd w:val="clear" w:color="auto" w:fill="auto"/>
          </w:tcPr>
          <w:p w14:paraId="5060C22D" w14:textId="76F38586" w:rsidR="008A3314" w:rsidRPr="00C011B2" w:rsidRDefault="007B7D94" w:rsidP="008A3314">
            <w:pPr>
              <w:spacing w:after="0" w:line="276" w:lineRule="auto"/>
              <w:jc w:val="both"/>
              <w:rPr>
                <w:rFonts w:ascii="Times New Roman" w:hAnsi="Times New Roman" w:cs="Times New Roman"/>
                <w:color w:val="000000" w:themeColor="text1"/>
                <w:lang w:val="ro-MD"/>
              </w:rPr>
            </w:pPr>
            <w:bookmarkStart w:id="362" w:name="_Hlk224108087"/>
            <w:r w:rsidRPr="00C011B2">
              <w:rPr>
                <w:rFonts w:ascii="Times New Roman" w:hAnsi="Times New Roman" w:cs="Times New Roman"/>
                <w:color w:val="000000" w:themeColor="text1"/>
                <w:lang w:val="ro-MD"/>
              </w:rPr>
              <w:t>365.</w:t>
            </w:r>
            <w:r w:rsidR="008A3314" w:rsidRPr="00C011B2">
              <w:rPr>
                <w:rFonts w:ascii="Times New Roman" w:hAnsi="Times New Roman" w:cs="Times New Roman"/>
                <w:color w:val="000000" w:themeColor="text1"/>
                <w:lang w:val="ro-MD"/>
              </w:rPr>
              <w:t xml:space="preserve">   În cadrul evaluării menționate la </w:t>
            </w:r>
            <w:r w:rsidRPr="00C011B2">
              <w:rPr>
                <w:rFonts w:ascii="Times New Roman" w:hAnsi="Times New Roman" w:cs="Times New Roman"/>
                <w:color w:val="000000" w:themeColor="text1"/>
                <w:lang w:val="ro-MD"/>
              </w:rPr>
              <w:t>pct.362</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calculează cerințele de fonduri proprii pentru riscul de piață în conformitate cu </w:t>
            </w:r>
            <w:r w:rsidR="004A7778" w:rsidRPr="00C011B2">
              <w:rPr>
                <w:rFonts w:ascii="Times New Roman" w:hAnsi="Times New Roman" w:cs="Times New Roman"/>
                <w:color w:val="000000" w:themeColor="text1"/>
                <w:lang w:val="ro-MD"/>
              </w:rPr>
              <w:t>sub</w:t>
            </w:r>
            <w:r w:rsidR="00F30E88" w:rsidRPr="00C011B2">
              <w:rPr>
                <w:rFonts w:ascii="Times New Roman" w:hAnsi="Times New Roman" w:cs="Times New Roman"/>
                <w:color w:val="000000" w:themeColor="text1"/>
                <w:lang w:val="ro-MD"/>
              </w:rPr>
              <w:t>secțiunea 10</w:t>
            </w:r>
            <w:r w:rsidR="008A3314" w:rsidRPr="00C011B2">
              <w:rPr>
                <w:rFonts w:ascii="Times New Roman" w:hAnsi="Times New Roman" w:cs="Times New Roman"/>
                <w:color w:val="000000" w:themeColor="text1"/>
                <w:lang w:val="ro-MD"/>
              </w:rPr>
              <w:t xml:space="preserve"> pentru factorii de risc care nu sunt modelabili.</w:t>
            </w:r>
            <w:bookmarkEnd w:id="362"/>
          </w:p>
        </w:tc>
        <w:tc>
          <w:tcPr>
            <w:tcW w:w="450" w:type="pct"/>
          </w:tcPr>
          <w:p w14:paraId="2B061EC7" w14:textId="72969A7A"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4D7776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05961A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10E2032"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09" w:tooltip="32024R1623: INSERTED" w:history="1">
              <w:r w:rsidR="008A3314" w:rsidRPr="00C011B2">
                <w:rPr>
                  <w:rStyle w:val="Hyperlink"/>
                  <w:rFonts w:ascii="Times New Roman" w:hAnsi="Times New Roman" w:cs="Times New Roman"/>
                  <w:b/>
                  <w:bCs/>
                  <w:lang w:val="ro-MD"/>
                </w:rPr>
                <w:t>▼M17</w:t>
              </w:r>
            </w:hyperlink>
          </w:p>
          <w:p w14:paraId="13138B45" w14:textId="011754E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(2a)  În circumstanțe extraordinare, care apar în perioade de reducere semnificativă a anumitor activități de tranzacționare de pe piețele financiare, autoritățile competente pot permite instituțiilor care utilizează abordarea prevăzută în prezentul capitol să considere modelabili factori de risc care au fost evaluați ca nemodelabili de către instituțiile respective </w:t>
            </w:r>
            <w:r w:rsidRPr="00C011B2">
              <w:rPr>
                <w:rFonts w:ascii="Times New Roman" w:hAnsi="Times New Roman" w:cs="Times New Roman"/>
                <w:color w:val="000000" w:themeColor="text1"/>
                <w:lang w:val="ro-MD"/>
              </w:rPr>
              <w:lastRenderedPageBreak/>
              <w:t>în conformitate cu alineatul (1), cu condiția să fie îndeplinite următoarele condiții:</w:t>
            </w:r>
          </w:p>
          <w:p w14:paraId="7DC09AE6" w14:textId="77218B0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factorii de risc care fac obiectul tratamentului corespund activităților de tranzacționare care sunt reduse în mod semnificativ pe piețele financiare;</w:t>
            </w:r>
          </w:p>
          <w:p w14:paraId="59311DEA" w14:textId="5CDF1BE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tratamentul este aplicat temporar și nu mai mult de șase luni în cursul unui exercițiu financiar;</w:t>
            </w:r>
          </w:p>
          <w:p w14:paraId="075825D7" w14:textId="763D5CA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tratamentul nu reduce în mod semnificativ cerințele de fonduri proprii totale pentru riscul de piață ale instituțiilor care îl aplică;</w:t>
            </w:r>
          </w:p>
          <w:p w14:paraId="4B55F66D" w14:textId="087122E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autoritățile competente notifică imediat ABE orice decizie prin care se permite instituțiilor să aplice abordarea prevăzută în prezentul capitol pentru a considera modelabili unii factori de risc care au fost evaluați ca fiind nemodelabili, precum și activitățile de tranzacționare în cauză, și își motivează decizia.</w:t>
            </w:r>
          </w:p>
        </w:tc>
        <w:tc>
          <w:tcPr>
            <w:tcW w:w="1692" w:type="pct"/>
            <w:shd w:val="clear" w:color="auto" w:fill="auto"/>
          </w:tcPr>
          <w:p w14:paraId="3BCA57CA" w14:textId="2CEFD30A" w:rsidR="008A3314" w:rsidRPr="00C011B2" w:rsidRDefault="00F30E88" w:rsidP="008A3314">
            <w:pPr>
              <w:spacing w:after="0" w:line="276" w:lineRule="auto"/>
              <w:jc w:val="both"/>
              <w:rPr>
                <w:rFonts w:ascii="Times New Roman" w:hAnsi="Times New Roman" w:cs="Times New Roman"/>
                <w:color w:val="000000" w:themeColor="text1"/>
                <w:lang w:val="ro-MD"/>
              </w:rPr>
            </w:pPr>
            <w:bookmarkStart w:id="363" w:name="_Hlk224108113"/>
            <w:r w:rsidRPr="00C011B2">
              <w:rPr>
                <w:rFonts w:ascii="Times New Roman" w:hAnsi="Times New Roman" w:cs="Times New Roman"/>
                <w:color w:val="000000" w:themeColor="text1"/>
                <w:lang w:val="ro-MD"/>
              </w:rPr>
              <w:lastRenderedPageBreak/>
              <w:t>366.</w:t>
            </w:r>
            <w:r w:rsidR="008A3314" w:rsidRPr="00C011B2">
              <w:rPr>
                <w:rFonts w:ascii="Times New Roman" w:hAnsi="Times New Roman" w:cs="Times New Roman"/>
                <w:color w:val="000000" w:themeColor="text1"/>
                <w:lang w:val="ro-MD"/>
              </w:rPr>
              <w:t xml:space="preserve">  În circumstanțe extraordinare, care apar în perioade de reducere semnificativă a anumitor activități de tranzacționare de pe piețele financiare, </w:t>
            </w:r>
            <w:r w:rsidRPr="00C011B2">
              <w:rPr>
                <w:rFonts w:ascii="Times New Roman" w:hAnsi="Times New Roman" w:cs="Times New Roman"/>
                <w:color w:val="000000" w:themeColor="text1"/>
                <w:lang w:val="ro-MD"/>
              </w:rPr>
              <w:t>BNM poate</w:t>
            </w:r>
            <w:r w:rsidR="008A3314" w:rsidRPr="00C011B2">
              <w:rPr>
                <w:rFonts w:ascii="Times New Roman" w:hAnsi="Times New Roman" w:cs="Times New Roman"/>
                <w:color w:val="000000" w:themeColor="text1"/>
                <w:lang w:val="ro-MD"/>
              </w:rPr>
              <w:t xml:space="preserve"> permite </w:t>
            </w:r>
            <w:r w:rsidRPr="00C011B2">
              <w:rPr>
                <w:rFonts w:ascii="Times New Roman" w:hAnsi="Times New Roman" w:cs="Times New Roman"/>
                <w:color w:val="000000" w:themeColor="text1"/>
                <w:lang w:val="ro-MD"/>
              </w:rPr>
              <w:t xml:space="preserve">băncilor </w:t>
            </w:r>
            <w:r w:rsidR="008A3314" w:rsidRPr="00C011B2">
              <w:rPr>
                <w:rFonts w:ascii="Times New Roman" w:hAnsi="Times New Roman" w:cs="Times New Roman"/>
                <w:color w:val="000000" w:themeColor="text1"/>
                <w:lang w:val="ro-MD"/>
              </w:rPr>
              <w:t xml:space="preserve">care utilizează abordarea prevăzută în prezentul capitol să considere modelabili factori de risc care au fost evaluați ca nemodelabili de către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respective în conformitate cu </w:t>
            </w:r>
            <w:r w:rsidRPr="00C011B2">
              <w:rPr>
                <w:rFonts w:ascii="Times New Roman" w:hAnsi="Times New Roman" w:cs="Times New Roman"/>
                <w:color w:val="000000" w:themeColor="text1"/>
                <w:lang w:val="ro-MD"/>
              </w:rPr>
              <w:t>pct.362</w:t>
            </w:r>
            <w:r w:rsidR="008A3314" w:rsidRPr="00C011B2">
              <w:rPr>
                <w:rFonts w:ascii="Times New Roman" w:hAnsi="Times New Roman" w:cs="Times New Roman"/>
                <w:color w:val="000000" w:themeColor="text1"/>
                <w:lang w:val="ro-MD"/>
              </w:rPr>
              <w:t>, cu condiția să fie îndeplinite următoarele condiții:</w:t>
            </w:r>
          </w:p>
          <w:p w14:paraId="5C96B4FA" w14:textId="077FEC9F" w:rsidR="008A3314" w:rsidRPr="00C011B2" w:rsidRDefault="00F30E8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366.1.</w:t>
            </w:r>
            <w:r w:rsidR="008A3314" w:rsidRPr="00C011B2">
              <w:rPr>
                <w:rFonts w:ascii="Times New Roman" w:hAnsi="Times New Roman" w:cs="Times New Roman"/>
                <w:color w:val="000000" w:themeColor="text1"/>
                <w:lang w:val="ro-MD"/>
              </w:rPr>
              <w:t> factorii de risc care fac obiectul tratamentului corespund activităților de tranzacționare care sunt reduse în mod semnificativ pe piețele financiare;</w:t>
            </w:r>
          </w:p>
          <w:p w14:paraId="1CA9B76F" w14:textId="51A535E6" w:rsidR="008A3314" w:rsidRPr="00C011B2" w:rsidRDefault="00F30E8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366.2.</w:t>
            </w:r>
            <w:r w:rsidR="008A3314" w:rsidRPr="00C011B2">
              <w:rPr>
                <w:rFonts w:ascii="Times New Roman" w:hAnsi="Times New Roman" w:cs="Times New Roman"/>
                <w:color w:val="000000" w:themeColor="text1"/>
                <w:lang w:val="ro-MD"/>
              </w:rPr>
              <w:t> tratamentul este aplicat temporar și nu mai mult de șase luni în cursul unui exercițiu financiar;</w:t>
            </w:r>
          </w:p>
          <w:p w14:paraId="35EEE448" w14:textId="21C7C03C" w:rsidR="008A3314" w:rsidRPr="00C011B2" w:rsidRDefault="00F30E8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366.3.</w:t>
            </w:r>
            <w:r w:rsidR="008A3314" w:rsidRPr="00C011B2">
              <w:rPr>
                <w:rFonts w:ascii="Times New Roman" w:hAnsi="Times New Roman" w:cs="Times New Roman"/>
                <w:color w:val="000000" w:themeColor="text1"/>
                <w:lang w:val="ro-MD"/>
              </w:rPr>
              <w:t xml:space="preserve"> tratamentul nu reduce în mod semnificativ cerințele de fonduri proprii totale pentru riscul de piață ale </w:t>
            </w:r>
            <w:r w:rsidRPr="00C011B2">
              <w:rPr>
                <w:rFonts w:ascii="Times New Roman" w:hAnsi="Times New Roman" w:cs="Times New Roman"/>
                <w:color w:val="000000" w:themeColor="text1"/>
                <w:lang w:val="ro-MD"/>
              </w:rPr>
              <w:t xml:space="preserve">băncilor </w:t>
            </w:r>
            <w:r w:rsidR="008A3314" w:rsidRPr="00C011B2">
              <w:rPr>
                <w:rFonts w:ascii="Times New Roman" w:hAnsi="Times New Roman" w:cs="Times New Roman"/>
                <w:color w:val="000000" w:themeColor="text1"/>
                <w:lang w:val="ro-MD"/>
              </w:rPr>
              <w:t>care îl aplică;</w:t>
            </w:r>
          </w:p>
          <w:p w14:paraId="3BDB82A6" w14:textId="61DB8DB5" w:rsidR="008A3314" w:rsidRPr="00C011B2" w:rsidRDefault="00F30E8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366.4.</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notifică imediat ABE orice decizie prin care se permite </w:t>
            </w:r>
            <w:r w:rsidRPr="00C011B2">
              <w:rPr>
                <w:rFonts w:ascii="Times New Roman" w:hAnsi="Times New Roman" w:cs="Times New Roman"/>
                <w:color w:val="000000" w:themeColor="text1"/>
                <w:lang w:val="ro-MD"/>
              </w:rPr>
              <w:t xml:space="preserve">băncilor </w:t>
            </w:r>
            <w:r w:rsidR="008A3314" w:rsidRPr="00C011B2">
              <w:rPr>
                <w:rFonts w:ascii="Times New Roman" w:hAnsi="Times New Roman" w:cs="Times New Roman"/>
                <w:color w:val="000000" w:themeColor="text1"/>
                <w:lang w:val="ro-MD"/>
              </w:rPr>
              <w:t>să aplice abordarea prevăzută în prezentul capitol pentru a considera modelabili unii factori de risc care au fost evaluați ca fiind nemodelabili, precum și activitățile de tranzacționare în cauză, și își motivează decizia.</w:t>
            </w:r>
            <w:bookmarkEnd w:id="363"/>
          </w:p>
        </w:tc>
        <w:tc>
          <w:tcPr>
            <w:tcW w:w="450" w:type="pct"/>
          </w:tcPr>
          <w:p w14:paraId="6F2FE5FB" w14:textId="0FBF3C26"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B96B98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51CEE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C5E0C85"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0" w:tooltip="32024R1623: REPLACED" w:history="1">
              <w:r w:rsidR="008A3314" w:rsidRPr="00C011B2">
                <w:rPr>
                  <w:rStyle w:val="Hyperlink"/>
                  <w:rFonts w:ascii="Times New Roman" w:hAnsi="Times New Roman" w:cs="Times New Roman"/>
                  <w:b/>
                  <w:bCs/>
                  <w:lang w:val="ro-MD"/>
                </w:rPr>
                <w:t>▼M17</w:t>
              </w:r>
            </w:hyperlink>
          </w:p>
          <w:p w14:paraId="093CE84A" w14:textId="0441579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ABE elaborează proiecte de standarde tehnice de reglementare pentru a preciza criteriile de evaluare a caracterului modelabil al factorilor de risc în conformitate cu alineatul (1), inclusiv în cazul în care se utilizează date de piață puse la dispoziție de furnizori terți, precum și frecvența evaluării respective.</w:t>
            </w:r>
          </w:p>
          <w:p w14:paraId="00A810C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10 iulie 2025.</w:t>
            </w:r>
          </w:p>
          <w:p w14:paraId="452EB423" w14:textId="59CB31A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2BC1840C" w14:textId="7DC2E2C2"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9F39853" w14:textId="62C4D6D7"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51278B6E" w14:textId="2E0D7A9B"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Alin.(3) stabilește obligații pentru autorități europene – Autoritatea Bancară Europeană.</w:t>
            </w:r>
          </w:p>
        </w:tc>
      </w:tr>
      <w:tr w:rsidR="008A3314" w:rsidRPr="00C011B2" w14:paraId="4774D52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D7174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1" w:tooltip="32019R0876: INSERTED" w:history="1">
              <w:r w:rsidR="008A3314" w:rsidRPr="00C011B2">
                <w:rPr>
                  <w:rStyle w:val="Hyperlink"/>
                  <w:rFonts w:ascii="Times New Roman" w:hAnsi="Times New Roman" w:cs="Times New Roman"/>
                  <w:b/>
                  <w:bCs/>
                  <w:lang w:val="ro-MD"/>
                </w:rPr>
                <w:t>▼M8</w:t>
              </w:r>
            </w:hyperlink>
          </w:p>
          <w:p w14:paraId="64A48AC8"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325bf</w:t>
            </w:r>
          </w:p>
          <w:p w14:paraId="290F477A" w14:textId="057E4EF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de reglementare privind testarea ex post și factori de multiplicare</w:t>
            </w:r>
          </w:p>
        </w:tc>
        <w:tc>
          <w:tcPr>
            <w:tcW w:w="1692" w:type="pct"/>
            <w:shd w:val="clear" w:color="auto" w:fill="auto"/>
          </w:tcPr>
          <w:p w14:paraId="4A35E72A" w14:textId="769F6E05" w:rsidR="008A3314" w:rsidRPr="00C011B2" w:rsidRDefault="00F30E88" w:rsidP="008A3314">
            <w:pPr>
              <w:spacing w:after="0" w:line="276" w:lineRule="auto"/>
              <w:jc w:val="both"/>
              <w:rPr>
                <w:rFonts w:ascii="Times New Roman" w:hAnsi="Times New Roman" w:cs="Times New Roman"/>
                <w:color w:val="000000" w:themeColor="text1"/>
                <w:lang w:val="ro-MD"/>
              </w:rPr>
            </w:pPr>
            <w:bookmarkStart w:id="364" w:name="_Hlk195098820"/>
            <w:r w:rsidRPr="00C011B2">
              <w:rPr>
                <w:rFonts w:ascii="Times New Roman" w:hAnsi="Times New Roman" w:cs="Times New Roman"/>
                <w:i/>
                <w:iCs/>
                <w:color w:val="000000" w:themeColor="text1"/>
                <w:lang w:val="ro-MD"/>
              </w:rPr>
              <w:t xml:space="preserve">Subsecțiunea 5. </w:t>
            </w:r>
            <w:r w:rsidR="008A3314" w:rsidRPr="00C011B2">
              <w:rPr>
                <w:rFonts w:ascii="Times New Roman" w:hAnsi="Times New Roman" w:cs="Times New Roman"/>
                <w:b/>
                <w:bCs/>
                <w:color w:val="000000" w:themeColor="text1"/>
                <w:lang w:val="ro-MD"/>
              </w:rPr>
              <w:t>Cerințe de reglementare privind testarea ex post și factori de multiplicare</w:t>
            </w:r>
            <w:bookmarkEnd w:id="364"/>
          </w:p>
        </w:tc>
        <w:tc>
          <w:tcPr>
            <w:tcW w:w="450" w:type="pct"/>
          </w:tcPr>
          <w:p w14:paraId="10F219E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32D8EFD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56DAE6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39BD64F" w14:textId="50BAE11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sensul prezentului articol, „depășire” înseamnă o variație de o zi în valoarea unui portofoliu alcătuit din toate pozițiile atribuite biroului de tranzacționare care depășește nivelul valorii la risc aferente, calculat pe baza modelului intern alternativ al instituției în conformitate cu următoarele cerințe:</w:t>
            </w:r>
          </w:p>
          <w:p w14:paraId="44E3CBBC" w14:textId="2C59FEB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calculul valorii la risc este supus unei perioade de deținere de o zi;</w:t>
            </w:r>
          </w:p>
          <w:p w14:paraId="47578FBE" w14:textId="138D26F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factorilor de risc aferenți pozițiilor biroului de tranzacționare menționați la articolul 325bg alineatul (3) care se consideră că sunt modelabili în conformitate cu articolul 325be li se aplică scenarii ale unor șocuri viitoare;</w:t>
            </w:r>
          </w:p>
          <w:p w14:paraId="743086A5" w14:textId="291BC67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datele de intrare utilizate pentru a determina scenariile unor șocuri viitoare aplicate factorilor de risc </w:t>
            </w:r>
            <w:r w:rsidRPr="00C011B2">
              <w:rPr>
                <w:rFonts w:ascii="Times New Roman" w:hAnsi="Times New Roman" w:cs="Times New Roman"/>
                <w:color w:val="000000" w:themeColor="text1"/>
                <w:lang w:val="ro-MD"/>
              </w:rPr>
              <w:lastRenderedPageBreak/>
              <w:t>modelabili sunt calibrate în raport cu datele istorice menționate la articolul 325bc alineatul (4) litera (c);</w:t>
            </w:r>
          </w:p>
          <w:p w14:paraId="6748B362" w14:textId="5ED326D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cu excepția cazului în care la prezentul articol se prevede altfel, modelul intern alternativ al instituției se bazează pe aceleași ipoteze de modelare ca și cele utilizate pentru calcularea măsurii valorii la risc condiționate menționate la articolul 325ba alineatul (1) litera (a).</w:t>
            </w:r>
          </w:p>
        </w:tc>
        <w:tc>
          <w:tcPr>
            <w:tcW w:w="1692" w:type="pct"/>
            <w:shd w:val="clear" w:color="auto" w:fill="auto"/>
          </w:tcPr>
          <w:p w14:paraId="727EAC74" w14:textId="344ED625" w:rsidR="008A3314" w:rsidRPr="00C011B2" w:rsidRDefault="00F30E88" w:rsidP="008A3314">
            <w:pPr>
              <w:spacing w:after="0" w:line="276" w:lineRule="auto"/>
              <w:jc w:val="both"/>
              <w:rPr>
                <w:rFonts w:ascii="Times New Roman" w:hAnsi="Times New Roman" w:cs="Times New Roman"/>
                <w:color w:val="000000" w:themeColor="text1"/>
                <w:lang w:val="ro-MD"/>
              </w:rPr>
            </w:pPr>
            <w:bookmarkStart w:id="365" w:name="_Hlk224108166"/>
            <w:r w:rsidRPr="00C011B2">
              <w:rPr>
                <w:rFonts w:ascii="Times New Roman" w:hAnsi="Times New Roman" w:cs="Times New Roman"/>
                <w:color w:val="000000" w:themeColor="text1"/>
                <w:lang w:val="ro-MD"/>
              </w:rPr>
              <w:lastRenderedPageBreak/>
              <w:t>367.</w:t>
            </w:r>
            <w:r w:rsidR="008A3314" w:rsidRPr="00C011B2">
              <w:rPr>
                <w:rFonts w:ascii="Times New Roman" w:hAnsi="Times New Roman" w:cs="Times New Roman"/>
                <w:color w:val="000000" w:themeColor="text1"/>
                <w:lang w:val="ro-MD"/>
              </w:rPr>
              <w:t xml:space="preserve">   În sensul </w:t>
            </w:r>
            <w:r w:rsidRPr="00C011B2">
              <w:rPr>
                <w:rFonts w:ascii="Times New Roman" w:hAnsi="Times New Roman" w:cs="Times New Roman"/>
                <w:color w:val="000000" w:themeColor="text1"/>
                <w:lang w:val="ro-MD"/>
              </w:rPr>
              <w:t>prezentei subsecțiuni</w:t>
            </w:r>
            <w:r w:rsidR="008A3314" w:rsidRPr="00C011B2">
              <w:rPr>
                <w:rFonts w:ascii="Times New Roman" w:hAnsi="Times New Roman" w:cs="Times New Roman"/>
                <w:color w:val="000000" w:themeColor="text1"/>
                <w:lang w:val="ro-MD"/>
              </w:rPr>
              <w:t xml:space="preserve">, „depășire” înseamnă o variație de o zi în valoarea unui portofoliu alcătuit din toate pozițiile atribuite biroului de tranzacționare care depășește nivelul valorii la risc aferente, calculat pe baza modelului intern alternativ al </w:t>
            </w:r>
            <w:r w:rsidR="00B31E3E"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în conformitate cu următoarele cerințe:</w:t>
            </w:r>
          </w:p>
          <w:p w14:paraId="00AACB65" w14:textId="4F7A07DB"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367.1.</w:t>
            </w:r>
            <w:r w:rsidR="008A3314" w:rsidRPr="00C011B2">
              <w:rPr>
                <w:rFonts w:ascii="Times New Roman" w:hAnsi="Times New Roman" w:cs="Times New Roman"/>
                <w:color w:val="000000" w:themeColor="text1"/>
                <w:lang w:val="ro-MD"/>
              </w:rPr>
              <w:t> calculul valorii la risc este supus unei perioade de deținere de o zi;</w:t>
            </w:r>
          </w:p>
          <w:p w14:paraId="33497F70" w14:textId="0C5D81CC"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367.2.</w:t>
            </w:r>
            <w:r w:rsidR="008A3314" w:rsidRPr="00C011B2">
              <w:rPr>
                <w:rFonts w:ascii="Times New Roman" w:hAnsi="Times New Roman" w:cs="Times New Roman"/>
                <w:color w:val="000000" w:themeColor="text1"/>
                <w:lang w:val="ro-MD"/>
              </w:rPr>
              <w:t xml:space="preserve"> factorilor de risc aferenți pozițiilor biroului de tranzacționare menționați la </w:t>
            </w:r>
            <w:r w:rsidR="00764DA0" w:rsidRPr="00C011B2">
              <w:rPr>
                <w:rFonts w:ascii="Times New Roman" w:hAnsi="Times New Roman" w:cs="Times New Roman"/>
                <w:color w:val="000000" w:themeColor="text1"/>
                <w:lang w:val="ro-MD"/>
              </w:rPr>
              <w:t>pct.379</w:t>
            </w:r>
            <w:r w:rsidR="008A3314" w:rsidRPr="00C011B2">
              <w:rPr>
                <w:rFonts w:ascii="Times New Roman" w:hAnsi="Times New Roman" w:cs="Times New Roman"/>
                <w:color w:val="000000" w:themeColor="text1"/>
                <w:lang w:val="ro-MD"/>
              </w:rPr>
              <w:t xml:space="preserve"> care se consideră că sunt modelabili în conformitate cu </w:t>
            </w:r>
            <w:r w:rsidRPr="00C011B2">
              <w:rPr>
                <w:rFonts w:ascii="Times New Roman" w:hAnsi="Times New Roman" w:cs="Times New Roman"/>
                <w:color w:val="000000" w:themeColor="text1"/>
                <w:lang w:val="ro-MD"/>
              </w:rPr>
              <w:t xml:space="preserve">subsecțiunea 4 </w:t>
            </w:r>
            <w:r w:rsidR="008A3314" w:rsidRPr="00C011B2">
              <w:rPr>
                <w:rFonts w:ascii="Times New Roman" w:hAnsi="Times New Roman" w:cs="Times New Roman"/>
                <w:color w:val="000000" w:themeColor="text1"/>
                <w:lang w:val="ro-MD"/>
              </w:rPr>
              <w:t>li se aplică scenarii ale unor șocuri viitoare;</w:t>
            </w:r>
          </w:p>
          <w:p w14:paraId="25AAC9CD" w14:textId="641996A5"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367.3.</w:t>
            </w:r>
            <w:r w:rsidR="008A3314" w:rsidRPr="00C011B2">
              <w:rPr>
                <w:rFonts w:ascii="Times New Roman" w:hAnsi="Times New Roman" w:cs="Times New Roman"/>
                <w:color w:val="000000" w:themeColor="text1"/>
                <w:lang w:val="ro-MD"/>
              </w:rPr>
              <w:t xml:space="preserve"> datele de intrare utilizate pentru a determina scenariile unor șocuri viitoare aplicate factorilor de risc modelabili sunt calibrate în raport cu datele istorice menționate la </w:t>
            </w:r>
            <w:r w:rsidR="00764DA0" w:rsidRPr="00C011B2">
              <w:rPr>
                <w:rFonts w:ascii="Times New Roman" w:hAnsi="Times New Roman" w:cs="Times New Roman"/>
                <w:color w:val="000000" w:themeColor="text1"/>
                <w:lang w:val="ro-MD"/>
              </w:rPr>
              <w:t>subpct.351.3</w:t>
            </w:r>
            <w:r w:rsidR="008A3314" w:rsidRPr="00C011B2">
              <w:rPr>
                <w:rFonts w:ascii="Times New Roman" w:hAnsi="Times New Roman" w:cs="Times New Roman"/>
                <w:color w:val="000000" w:themeColor="text1"/>
                <w:lang w:val="ro-MD"/>
              </w:rPr>
              <w:t>;</w:t>
            </w:r>
          </w:p>
          <w:p w14:paraId="6B1693A9" w14:textId="56F31F20"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367.4.</w:t>
            </w:r>
            <w:r w:rsidR="008A3314" w:rsidRPr="00C011B2">
              <w:rPr>
                <w:rFonts w:ascii="Times New Roman" w:hAnsi="Times New Roman" w:cs="Times New Roman"/>
                <w:color w:val="000000" w:themeColor="text1"/>
                <w:lang w:val="ro-MD"/>
              </w:rPr>
              <w:t xml:space="preserve"> cu excepția cazului în care </w:t>
            </w:r>
            <w:r w:rsidRPr="00C011B2">
              <w:rPr>
                <w:rFonts w:ascii="Times New Roman" w:hAnsi="Times New Roman" w:cs="Times New Roman"/>
                <w:color w:val="000000" w:themeColor="text1"/>
                <w:lang w:val="ro-MD"/>
              </w:rPr>
              <w:t>în prezenta subsecțiune</w:t>
            </w:r>
            <w:r w:rsidR="008A3314" w:rsidRPr="00C011B2">
              <w:rPr>
                <w:rFonts w:ascii="Times New Roman" w:hAnsi="Times New Roman" w:cs="Times New Roman"/>
                <w:color w:val="000000" w:themeColor="text1"/>
                <w:lang w:val="ro-MD"/>
              </w:rPr>
              <w:t xml:space="preserve"> se prevede altfel, modelul intern alternativ al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se bazează pe aceleași ipoteze de modelare ca și cele utilizate pentru calcularea măsurii valorii la risc condiționate menționate la </w:t>
            </w:r>
            <w:r w:rsidR="00E43D4C" w:rsidRPr="00C011B2">
              <w:rPr>
                <w:rFonts w:ascii="Times New Roman" w:hAnsi="Times New Roman" w:cs="Times New Roman"/>
                <w:color w:val="000000" w:themeColor="text1"/>
                <w:lang w:val="ro-MD"/>
              </w:rPr>
              <w:t>subpct.339.1</w:t>
            </w:r>
            <w:r w:rsidR="008A3314" w:rsidRPr="00C011B2">
              <w:rPr>
                <w:rFonts w:ascii="Times New Roman" w:hAnsi="Times New Roman" w:cs="Times New Roman"/>
                <w:color w:val="000000" w:themeColor="text1"/>
                <w:lang w:val="ro-MD"/>
              </w:rPr>
              <w:t>.</w:t>
            </w:r>
            <w:bookmarkEnd w:id="365"/>
          </w:p>
        </w:tc>
        <w:tc>
          <w:tcPr>
            <w:tcW w:w="450" w:type="pct"/>
          </w:tcPr>
          <w:p w14:paraId="5C2BAB29" w14:textId="3832AA4D"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2522BF9"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156AD0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D5F9D27" w14:textId="5456B07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contabilizează depășirile zilnice pe 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ipotetice și efective ale valorii portofoliului alcătuit din toate pozițiile atribuite biroului de tranzacționare.</w:t>
            </w:r>
          </w:p>
        </w:tc>
        <w:tc>
          <w:tcPr>
            <w:tcW w:w="1692" w:type="pct"/>
            <w:shd w:val="clear" w:color="auto" w:fill="auto"/>
          </w:tcPr>
          <w:p w14:paraId="681CD096" w14:textId="73084C2F"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66" w:name="_Hlk224108251"/>
            <w:r w:rsidRPr="00C011B2">
              <w:rPr>
                <w:rFonts w:ascii="Times New Roman" w:hAnsi="Times New Roman" w:cs="Times New Roman"/>
                <w:color w:val="000000" w:themeColor="text1"/>
                <w:lang w:val="ro-MD"/>
              </w:rPr>
              <w:t>368.</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contabilizează depășirile zilnice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ipotetice și efective ale valorii portofoliului alcătuit din toate pozițiile atribuite biroului de tranzacționare.</w:t>
            </w:r>
            <w:bookmarkEnd w:id="366"/>
          </w:p>
        </w:tc>
        <w:tc>
          <w:tcPr>
            <w:tcW w:w="450" w:type="pct"/>
          </w:tcPr>
          <w:p w14:paraId="347AE827" w14:textId="55102004"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A28FBF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728C5D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DF2E70" w14:textId="0064272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Se consideră că biroul de tranzacționare al unei instituții îndeplinește cerințele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atunci când numărul de depășiri pentru biroul de tranzacționare respectiv care au avut loc în ultimele 250 de zile lucrătoare nu depășește niciuna dintre următoarele:</w:t>
            </w:r>
          </w:p>
          <w:p w14:paraId="26F6389E" w14:textId="2372A65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12 depășiri pentru nivelul valorii la risc, calculat la un interval de încredere unilateral de 99 de centile pe 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ipotetice ale valorii portofoliului;</w:t>
            </w:r>
          </w:p>
          <w:p w14:paraId="06602341" w14:textId="4EE0DC5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12 depășiri pentru nivelul valorii la risc, calculat la un interval de încredere unilateral de 99 de centile pe </w:t>
            </w:r>
            <w:r w:rsidRPr="00C011B2">
              <w:rPr>
                <w:rFonts w:ascii="Times New Roman" w:hAnsi="Times New Roman" w:cs="Times New Roman"/>
                <w:color w:val="000000" w:themeColor="text1"/>
                <w:lang w:val="ro-MD"/>
              </w:rPr>
              <w:lastRenderedPageBreak/>
              <w:t>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efective ale valorii portofoliului;</w:t>
            </w:r>
          </w:p>
          <w:p w14:paraId="60977D48" w14:textId="3D49AF8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30 de depășiri pentru nivelul valorii la risc, calculat la un interval de încredere unilateral de 97,5 centile pe 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ipotetice ale valorii portofoliului;</w:t>
            </w:r>
          </w:p>
          <w:p w14:paraId="501A9675" w14:textId="22BCBA7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30 de depășiri pentru nivelul valorii la risc, calculat la un interval de încredere unilateral de 97,5 centile pe 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efective ale valorii portofoliului.</w:t>
            </w:r>
          </w:p>
        </w:tc>
        <w:tc>
          <w:tcPr>
            <w:tcW w:w="1692" w:type="pct"/>
            <w:shd w:val="clear" w:color="auto" w:fill="auto"/>
          </w:tcPr>
          <w:p w14:paraId="7A4FE902" w14:textId="0CBE6358"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67" w:name="_Hlk224108272"/>
            <w:r w:rsidRPr="00C011B2">
              <w:rPr>
                <w:rFonts w:ascii="Times New Roman" w:hAnsi="Times New Roman" w:cs="Times New Roman"/>
                <w:color w:val="000000" w:themeColor="text1"/>
                <w:lang w:val="ro-MD"/>
              </w:rPr>
              <w:lastRenderedPageBreak/>
              <w:t>369.</w:t>
            </w:r>
            <w:r w:rsidR="008A3314" w:rsidRPr="00C011B2">
              <w:rPr>
                <w:rFonts w:ascii="Times New Roman" w:hAnsi="Times New Roman" w:cs="Times New Roman"/>
                <w:color w:val="000000" w:themeColor="text1"/>
                <w:lang w:val="ro-MD"/>
              </w:rPr>
              <w:t xml:space="preserve">   Se consideră că biroul de tranzacționare al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îndeplinește cerințele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atunci când numărul de depășiri pentru biroul de tranzacționare respectiv care au avut loc în ultimele 250 de zile lucrătoare nu depășește niciuna dintre următoarele:</w:t>
            </w:r>
          </w:p>
          <w:p w14:paraId="66AAEE11" w14:textId="7EF5DFFC"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369.1.</w:t>
            </w:r>
            <w:r w:rsidR="008A3314" w:rsidRPr="00C011B2">
              <w:rPr>
                <w:rFonts w:ascii="Times New Roman" w:hAnsi="Times New Roman" w:cs="Times New Roman"/>
                <w:color w:val="000000" w:themeColor="text1"/>
                <w:lang w:val="ro-MD"/>
              </w:rPr>
              <w:t> 12 depășiri pentru nivelul valorii la risc, calculat la un interval de încredere unilateral de 99 de centile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ipotetice ale valorii portofoliului;</w:t>
            </w:r>
          </w:p>
          <w:p w14:paraId="467BFFD5" w14:textId="399ECF84"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369.2.</w:t>
            </w:r>
            <w:r w:rsidR="008A3314" w:rsidRPr="00C011B2">
              <w:rPr>
                <w:rFonts w:ascii="Times New Roman" w:hAnsi="Times New Roman" w:cs="Times New Roman"/>
                <w:color w:val="000000" w:themeColor="text1"/>
                <w:lang w:val="ro-MD"/>
              </w:rPr>
              <w:t> 12 depășiri pentru nivelul valorii la risc, calculat la un interval de încredere unilateral de 99 de centile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efective ale valorii portofoliului;</w:t>
            </w:r>
          </w:p>
          <w:p w14:paraId="1E12594F" w14:textId="1C8BD64B"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369.3.</w:t>
            </w:r>
            <w:r w:rsidR="008A3314" w:rsidRPr="00C011B2">
              <w:rPr>
                <w:rFonts w:ascii="Times New Roman" w:hAnsi="Times New Roman" w:cs="Times New Roman"/>
                <w:color w:val="000000" w:themeColor="text1"/>
                <w:lang w:val="ro-MD"/>
              </w:rPr>
              <w:t> 30 de depășiri pentru nivelul valorii la risc, calculat la un interval de încredere unilateral de 97,5 centile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ipotetice ale valorii portofoliului;</w:t>
            </w:r>
          </w:p>
          <w:p w14:paraId="270ADD93" w14:textId="3BA8BED5"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369.4.</w:t>
            </w:r>
            <w:r w:rsidR="008A3314" w:rsidRPr="00C011B2">
              <w:rPr>
                <w:rFonts w:ascii="Times New Roman" w:hAnsi="Times New Roman" w:cs="Times New Roman"/>
                <w:color w:val="000000" w:themeColor="text1"/>
                <w:lang w:val="ro-MD"/>
              </w:rPr>
              <w:t> 30 de depășiri pentru nivelul valorii la risc, calculat la un interval de încredere unilateral de 97,5 centile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efective ale valorii portofoliului.</w:t>
            </w:r>
            <w:bookmarkEnd w:id="367"/>
          </w:p>
        </w:tc>
        <w:tc>
          <w:tcPr>
            <w:tcW w:w="450" w:type="pct"/>
          </w:tcPr>
          <w:p w14:paraId="66E3066C" w14:textId="511D90E1"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E7A5C0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53569A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6A0383B" w14:textId="135ABE5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Instituțiile contabilizează depășirile zilnice în conformitate cu următoarele:</w:t>
            </w:r>
          </w:p>
          <w:p w14:paraId="0A3B2F77" w14:textId="7510D66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testarea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ipotetice ale valorii portofoliului se bazează pe o comparație între valoarea portofoliului la sfârșitul zilei și, presupunând că pozițiile rămân neschimbate, valoarea portofoliului la sfârșitul zilei următoare;</w:t>
            </w:r>
          </w:p>
          <w:p w14:paraId="4A4F2CC5" w14:textId="532CB46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testarea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efective ale valorii portofoliului se bazează pe o comparație între valoarea portofoliului la sfârșitul zilei și valoarea efectivă a portofoliului la sfârșitul zilei următoare, excluzând taxele și comisioanele;</w:t>
            </w:r>
          </w:p>
          <w:p w14:paraId="4A56E540" w14:textId="28E0CD3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o depășire se calculează pentru fiecare zi lucrătoare în care instituția nu este în măsură să evalueze valoarea </w:t>
            </w:r>
            <w:r w:rsidRPr="00C011B2">
              <w:rPr>
                <w:rFonts w:ascii="Times New Roman" w:hAnsi="Times New Roman" w:cs="Times New Roman"/>
                <w:color w:val="000000" w:themeColor="text1"/>
                <w:lang w:val="ro-MD"/>
              </w:rPr>
              <w:lastRenderedPageBreak/>
              <w:t>portofoliului sau să calculeze nivelul valorii la risc menționat la alineatul (3).</w:t>
            </w:r>
          </w:p>
        </w:tc>
        <w:tc>
          <w:tcPr>
            <w:tcW w:w="1692" w:type="pct"/>
            <w:shd w:val="clear" w:color="auto" w:fill="auto"/>
          </w:tcPr>
          <w:p w14:paraId="2A45689A" w14:textId="4C6E3F9F"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68" w:name="_Hlk224108807"/>
            <w:r w:rsidRPr="00C011B2">
              <w:rPr>
                <w:rFonts w:ascii="Times New Roman" w:hAnsi="Times New Roman" w:cs="Times New Roman"/>
                <w:color w:val="000000" w:themeColor="text1"/>
                <w:lang w:val="ro-MD"/>
              </w:rPr>
              <w:lastRenderedPageBreak/>
              <w:t>370.</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contabilizează depășirile zilnice în conformitate cu următoarele:</w:t>
            </w:r>
          </w:p>
          <w:p w14:paraId="43CAAC58" w14:textId="3C8B88CF"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370.1.</w:t>
            </w:r>
            <w:r w:rsidR="008A3314" w:rsidRPr="00C011B2">
              <w:rPr>
                <w:rFonts w:ascii="Times New Roman" w:hAnsi="Times New Roman" w:cs="Times New Roman"/>
                <w:color w:val="000000" w:themeColor="text1"/>
                <w:lang w:val="ro-MD"/>
              </w:rPr>
              <w:t> testarea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ipotetice ale valorii portofoliului se bazează pe o comparație între valoarea portofoliului la sfârșitul zilei și, presupunând că pozițiile rămân neschimbate, valoarea portofoliului la sfârșitul zilei următoare;</w:t>
            </w:r>
          </w:p>
          <w:p w14:paraId="514281FC" w14:textId="500C4311"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370.2.</w:t>
            </w:r>
            <w:r w:rsidR="008A3314" w:rsidRPr="00C011B2">
              <w:rPr>
                <w:rFonts w:ascii="Times New Roman" w:hAnsi="Times New Roman" w:cs="Times New Roman"/>
                <w:color w:val="000000" w:themeColor="text1"/>
                <w:lang w:val="ro-MD"/>
              </w:rPr>
              <w:t> testarea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efective ale valorii portofoliului se bazează pe o comparație între valoarea portofoliului la sfârșitul zilei și valoarea efectivă a portofoliului la sfârșitul zilei următoare, excluzând taxele și comisioanele;</w:t>
            </w:r>
          </w:p>
          <w:p w14:paraId="02A5920F" w14:textId="0A2B8769"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370.3.</w:t>
            </w:r>
            <w:r w:rsidR="008A3314" w:rsidRPr="00C011B2">
              <w:rPr>
                <w:rFonts w:ascii="Times New Roman" w:hAnsi="Times New Roman" w:cs="Times New Roman"/>
                <w:color w:val="000000" w:themeColor="text1"/>
                <w:lang w:val="ro-MD"/>
              </w:rPr>
              <w:t xml:space="preserve"> o depășire se calculează pentru fiecare zi lucrătoare în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nu este în măsură să evalueze valoarea </w:t>
            </w:r>
            <w:r w:rsidR="008A3314" w:rsidRPr="00C011B2">
              <w:rPr>
                <w:rFonts w:ascii="Times New Roman" w:hAnsi="Times New Roman" w:cs="Times New Roman"/>
                <w:color w:val="000000" w:themeColor="text1"/>
                <w:lang w:val="ro-MD"/>
              </w:rPr>
              <w:lastRenderedPageBreak/>
              <w:t>portofoliului sau să calculeze nivelul valorii la risc menționat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pct.369</w:t>
            </w:r>
            <w:r w:rsidR="008A3314" w:rsidRPr="00C011B2">
              <w:rPr>
                <w:rFonts w:ascii="Times New Roman" w:hAnsi="Times New Roman" w:cs="Times New Roman"/>
                <w:color w:val="000000" w:themeColor="text1"/>
                <w:lang w:val="ro-MD"/>
              </w:rPr>
              <w:t>.</w:t>
            </w:r>
            <w:bookmarkEnd w:id="368"/>
          </w:p>
        </w:tc>
        <w:tc>
          <w:tcPr>
            <w:tcW w:w="450" w:type="pct"/>
          </w:tcPr>
          <w:p w14:paraId="24E0F9B4" w14:textId="7C4ED8D1" w:rsidR="008A3314" w:rsidRPr="00C011B2" w:rsidRDefault="00B8458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5D8475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7655FC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0F2406E" w14:textId="6DA1430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O instituție calculează, în conformitate cu alineatele (6) și (7) de la prezentul articol, factorul de multiplicare (m</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menționat la articolul 325ba pentru portofoliul format din toate pozițiile atribuite birourilor de tranzacționare pentru care a primit aprobarea de a utiliza modele interne alternative, astfel cum se menționează la articolul 325az alineatul (2).</w:t>
            </w:r>
          </w:p>
        </w:tc>
        <w:tc>
          <w:tcPr>
            <w:tcW w:w="1692" w:type="pct"/>
            <w:shd w:val="clear" w:color="auto" w:fill="auto"/>
          </w:tcPr>
          <w:p w14:paraId="189EA397" w14:textId="14B468A7"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69" w:name="_Hlk224110727"/>
            <w:r w:rsidRPr="00C011B2">
              <w:rPr>
                <w:rFonts w:ascii="Times New Roman" w:hAnsi="Times New Roman" w:cs="Times New Roman"/>
                <w:color w:val="000000" w:themeColor="text1"/>
                <w:lang w:val="ro-MD"/>
              </w:rPr>
              <w:t>371.</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calculează, în conformitate cu </w:t>
            </w:r>
            <w:r w:rsidRPr="00C011B2">
              <w:rPr>
                <w:rFonts w:ascii="Times New Roman" w:hAnsi="Times New Roman" w:cs="Times New Roman"/>
                <w:color w:val="000000" w:themeColor="text1"/>
                <w:lang w:val="ro-MD"/>
              </w:rPr>
              <w:t>pct.372-374</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375</w:t>
            </w:r>
            <w:r w:rsidR="008A3314" w:rsidRPr="00C011B2">
              <w:rPr>
                <w:rFonts w:ascii="Times New Roman" w:hAnsi="Times New Roman" w:cs="Times New Roman"/>
                <w:color w:val="000000" w:themeColor="text1"/>
                <w:lang w:val="ro-MD"/>
              </w:rPr>
              <w:t>, factorul de multiplicare (m</w:t>
            </w:r>
            <w:r w:rsidR="008A3314" w:rsidRPr="00C011B2">
              <w:rPr>
                <w:rFonts w:ascii="Times New Roman" w:hAnsi="Times New Roman" w:cs="Times New Roman"/>
                <w:color w:val="000000" w:themeColor="text1"/>
                <w:vertAlign w:val="subscript"/>
                <w:lang w:val="ro-MD"/>
              </w:rPr>
              <w:t>c</w:t>
            </w:r>
            <w:r w:rsidR="008A3314" w:rsidRPr="00C011B2">
              <w:rPr>
                <w:rFonts w:ascii="Times New Roman" w:hAnsi="Times New Roman" w:cs="Times New Roman"/>
                <w:color w:val="000000" w:themeColor="text1"/>
                <w:lang w:val="ro-MD"/>
              </w:rPr>
              <w:t xml:space="preserve">) menționat la </w:t>
            </w:r>
            <w:r w:rsidR="003F3C8B" w:rsidRPr="00C011B2">
              <w:rPr>
                <w:rFonts w:ascii="Times New Roman" w:hAnsi="Times New Roman" w:cs="Times New Roman"/>
                <w:color w:val="000000" w:themeColor="text1"/>
                <w:lang w:val="ro-MD"/>
              </w:rPr>
              <w:t>secțiunea 1, subsecțiunea 2</w:t>
            </w:r>
            <w:r w:rsidR="008A3314" w:rsidRPr="00C011B2">
              <w:rPr>
                <w:rFonts w:ascii="Times New Roman" w:hAnsi="Times New Roman" w:cs="Times New Roman"/>
                <w:color w:val="000000" w:themeColor="text1"/>
                <w:lang w:val="ro-MD"/>
              </w:rPr>
              <w:t xml:space="preserve"> pentru portofoliul format din toate pozițiile atribuite birourilor de tranzacționare pentru care a primit aprobarea de a utiliza modele interne alternative, astfel cum se menționează la </w:t>
            </w:r>
            <w:r w:rsidR="00E43D4C"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w:t>
            </w:r>
            <w:bookmarkEnd w:id="369"/>
          </w:p>
        </w:tc>
        <w:tc>
          <w:tcPr>
            <w:tcW w:w="450" w:type="pct"/>
          </w:tcPr>
          <w:p w14:paraId="18F6936D" w14:textId="12D478CF" w:rsidR="008A3314" w:rsidRPr="00C011B2" w:rsidRDefault="00B5506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6827F9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998ADC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5D5EA3" w14:textId="726F8AD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w:t>
            </w:r>
            <w:hyperlink r:id="rId212" w:tooltip="32024R1623: REPLACED" w:history="1">
              <w:r w:rsidRPr="00C011B2">
                <w:rPr>
                  <w:rStyle w:val="Hyperlink"/>
                  <w:rFonts w:ascii="Times New Roman" w:hAnsi="Times New Roman" w:cs="Times New Roman"/>
                  <w:b/>
                  <w:bCs/>
                  <w:lang w:val="ro-MD"/>
                </w:rPr>
                <w:t>►M17</w:t>
              </w:r>
              <w:r w:rsidRPr="00C011B2">
                <w:rPr>
                  <w:rStyle w:val="Hyperlink"/>
                  <w:rFonts w:ascii="Times New Roman" w:hAnsi="Times New Roman" w:cs="Times New Roman"/>
                  <w:lang w:val="ro-MD"/>
                </w:rPr>
                <w:t> </w:t>
              </w:r>
            </w:hyperlink>
            <w:r w:rsidRPr="00C011B2">
              <w:rPr>
                <w:rFonts w:ascii="Times New Roman" w:hAnsi="Times New Roman" w:cs="Times New Roman"/>
                <w:color w:val="000000" w:themeColor="text1"/>
                <w:lang w:val="ro-MD"/>
              </w:rPr>
              <w:t>  Factorul de multiplicare (m</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este egal cu cel puțin suma dintre 1,5 și o majorare determinată în conformitate cu tabelul 3. În cazul portofoliului menționat la alineatul (5), respectiva majorare se calculează pe baza numărului de depășiri înregistrate în cea mai recentă perioadă de 250 de zile lucrătoare, astfel cum demonstrează testarea ex post efectuată de către instituție a nivelului valorii la risc calculat în conformitate cu litera (a) de la prezentul paragraf. Calculul majorării este supus criteriilor următoare:</w:t>
            </w:r>
            <w:r w:rsidRPr="00C011B2">
              <w:rPr>
                <w:rFonts w:ascii="Times New Roman" w:hAnsi="Times New Roman" w:cs="Times New Roman"/>
                <w:b/>
                <w:bCs/>
                <w:color w:val="000000" w:themeColor="text1"/>
                <w:lang w:val="ro-MD"/>
              </w:rPr>
              <w:t> ◄</w:t>
            </w:r>
          </w:p>
          <w:p w14:paraId="53CAFDF4" w14:textId="727AF75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o depășire înseamnă o variație de o zi în valoarea portofoliului respectiv care depășește nivelul valorii la risc aferente, calculată utilizând modelul intern al instituției, în conformitate cu cerințele următoare:</w:t>
            </w:r>
          </w:p>
          <w:p w14:paraId="3DDB51A1" w14:textId="2137BDD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o perioadă de deținere de o zi;</w:t>
            </w:r>
          </w:p>
          <w:p w14:paraId="5F4D9711" w14:textId="00C85A2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un interval de încredere unilateral de 99 de centile;</w:t>
            </w:r>
          </w:p>
          <w:p w14:paraId="7F667A27" w14:textId="1AD1E19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(iii) factorilor de risc aferenți pozițiilor biroului de tranzacționare menționați la articolul 325bg alineatul (3) care se consideră că sunt modelabili în conformitate cu articolul 325be li se aplică scenarii ale unor șocuri viitoare;</w:t>
            </w:r>
          </w:p>
          <w:p w14:paraId="74C476A6" w14:textId="1739ADE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(iv) datele de intrare utilizate pentru a determina scenariile unor șocuri viitoare aplicate factorilor de risc modelabili sunt calibrate în raport cu datele istorice menționate la articolul 325bc alineatul (4) litera (c);</w:t>
            </w:r>
          </w:p>
          <w:p w14:paraId="59EEB97E" w14:textId="1894958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 cu excepția cazului în care la prezentul articol se prevede altfel, modelul intern al instituției se bazează pe aceleași ipoteze de modelare ca și cele utilizate pentru calcularea măsurii valorii la risc condiționate menționate la articolul 325ba alineatul (1) litera (a);</w:t>
            </w:r>
          </w:p>
          <w:p w14:paraId="53587720" w14:textId="5AEEDCA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numărul de depășiri este egal cu cel mai mare dintre numărul de depășiri calculat pe baza modificărilor ipotetice și numărul de depășiri calculate pe baza modificărilor efective ale valorii portofoliului;</w:t>
            </w:r>
          </w:p>
          <w:p w14:paraId="03DEFB11"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3</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399"/>
              <w:gridCol w:w="1201"/>
            </w:tblGrid>
            <w:tr w:rsidR="008A3314" w:rsidRPr="00C011B2" w14:paraId="31CCCDE8"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5278FE"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 de depășiri</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F87C7F"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Majorare</w:t>
                  </w:r>
                </w:p>
              </w:tc>
            </w:tr>
            <w:tr w:rsidR="008A3314" w:rsidRPr="00C011B2" w14:paraId="42911AB3"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418D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Mai mic de 5</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9EEF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0,00</w:t>
                  </w:r>
                </w:p>
              </w:tc>
            </w:tr>
            <w:tr w:rsidR="008A3314" w:rsidRPr="00C011B2" w14:paraId="1E62238E"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BA1BDE"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C017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0,20</w:t>
                  </w:r>
                </w:p>
              </w:tc>
            </w:tr>
            <w:tr w:rsidR="008A3314" w:rsidRPr="00C011B2" w14:paraId="183F1C46"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FABDD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512D2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0,26</w:t>
                  </w:r>
                </w:p>
              </w:tc>
            </w:tr>
            <w:tr w:rsidR="008A3314" w:rsidRPr="00C011B2" w14:paraId="4B5A69E9"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C65E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4DF26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0,33</w:t>
                  </w:r>
                </w:p>
              </w:tc>
            </w:tr>
            <w:tr w:rsidR="008A3314" w:rsidRPr="00C011B2" w14:paraId="4047B48F"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9DE47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27462"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0,38</w:t>
                  </w:r>
                </w:p>
              </w:tc>
            </w:tr>
            <w:tr w:rsidR="008A3314" w:rsidRPr="00C011B2" w14:paraId="1088AA13"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6AD7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9</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8733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0,42</w:t>
                  </w:r>
                </w:p>
              </w:tc>
            </w:tr>
            <w:tr w:rsidR="008A3314" w:rsidRPr="00C011B2" w14:paraId="042716F5" w14:textId="77777777" w:rsidTr="00AA5EAD">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14B0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Mai mare de 9</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756B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0,50</w:t>
                  </w:r>
                </w:p>
              </w:tc>
            </w:tr>
          </w:tbl>
          <w:p w14:paraId="6AA8725E"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3" w:tooltip="32024R1623: REPLACED" w:history="1">
              <w:r w:rsidR="008A3314" w:rsidRPr="00C011B2">
                <w:rPr>
                  <w:rStyle w:val="Hyperlink"/>
                  <w:rFonts w:ascii="Times New Roman" w:hAnsi="Times New Roman" w:cs="Times New Roman"/>
                  <w:b/>
                  <w:bCs/>
                  <w:lang w:val="ro-MD"/>
                </w:rPr>
                <w:t>▼M17</w:t>
              </w:r>
            </w:hyperlink>
          </w:p>
          <w:p w14:paraId="5B38774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circumstanțe extraordinare, autoritățile competente pot permite unei instituții să ia una dintre următoarele măsuri sau pe amândouă:</w:t>
            </w:r>
          </w:p>
          <w:p w14:paraId="11D1B8C5" w14:textId="683BB67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să limiteze calculul majorării la cel care rezultă din depășirile calculate pe 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ipotetice în cazul în care numărul depășirilor calculate pe baza testării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efective nu rezultă din deficiențe ale modelului intern alternativ al instituției;</w:t>
            </w:r>
          </w:p>
          <w:p w14:paraId="5B538286" w14:textId="4C07F48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să excludă depășirile evidențiate de testarea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a modificărilor ipotetice sau efective din calculul majorării în cazul în care depășirile respective nu rezultă din deficiențe ale modelului intern alternativ al instituției.</w:t>
            </w:r>
          </w:p>
          <w:p w14:paraId="2DC340A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4" w:tooltip="32024R1623: INSERTED" w:history="1">
              <w:r w:rsidR="008A3314" w:rsidRPr="00C011B2">
                <w:rPr>
                  <w:rStyle w:val="Hyperlink"/>
                  <w:rFonts w:ascii="Times New Roman" w:hAnsi="Times New Roman" w:cs="Times New Roman"/>
                  <w:b/>
                  <w:bCs/>
                  <w:lang w:val="ro-MD"/>
                </w:rPr>
                <w:t>▼M17</w:t>
              </w:r>
            </w:hyperlink>
          </w:p>
          <w:p w14:paraId="6D45CA12" w14:textId="3C2E9EF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sensul primului paragraf, autoritățile competente pot majora valoarea m</w:t>
            </w:r>
            <w:r w:rsidRPr="00C011B2">
              <w:rPr>
                <w:rFonts w:ascii="Times New Roman" w:hAnsi="Times New Roman" w:cs="Times New Roman"/>
                <w:color w:val="000000" w:themeColor="text1"/>
                <w:vertAlign w:val="subscript"/>
                <w:lang w:val="ro-MD"/>
              </w:rPr>
              <w:t>c</w:t>
            </w:r>
            <w:r w:rsidRPr="00C011B2">
              <w:rPr>
                <w:rFonts w:ascii="Times New Roman" w:hAnsi="Times New Roman" w:cs="Times New Roman"/>
                <w:color w:val="000000" w:themeColor="text1"/>
                <w:lang w:val="ro-MD"/>
              </w:rPr>
              <w:t> peste suma menționată la paragraful respectiv în cazul în care modelul intern alternativ al unei instituții prezintă deficiențe care împiedică măsurarea corespunzătoare a cerințelor de fonduri proprii pentru riscul de piață.</w:t>
            </w:r>
          </w:p>
        </w:tc>
        <w:tc>
          <w:tcPr>
            <w:tcW w:w="1692" w:type="pct"/>
            <w:shd w:val="clear" w:color="auto" w:fill="auto"/>
          </w:tcPr>
          <w:p w14:paraId="3A6C9674" w14:textId="34819FC7"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70" w:name="_Hlk224110768"/>
            <w:r w:rsidRPr="00C011B2">
              <w:rPr>
                <w:rFonts w:ascii="Times New Roman" w:hAnsi="Times New Roman" w:cs="Times New Roman"/>
                <w:color w:val="000000" w:themeColor="text1"/>
                <w:lang w:val="ro-MD"/>
              </w:rPr>
              <w:lastRenderedPageBreak/>
              <w:t>372.</w:t>
            </w:r>
            <w:r w:rsidR="008A3314" w:rsidRPr="00C011B2">
              <w:rPr>
                <w:rFonts w:ascii="Times New Roman" w:hAnsi="Times New Roman" w:cs="Times New Roman"/>
                <w:color w:val="000000" w:themeColor="text1"/>
                <w:lang w:val="ro-MD"/>
              </w:rPr>
              <w:t>  Factorul de multiplicare (m</w:t>
            </w:r>
            <w:r w:rsidR="008A3314" w:rsidRPr="00C011B2">
              <w:rPr>
                <w:rFonts w:ascii="Times New Roman" w:hAnsi="Times New Roman" w:cs="Times New Roman"/>
                <w:color w:val="000000" w:themeColor="text1"/>
                <w:vertAlign w:val="subscript"/>
                <w:lang w:val="ro-MD"/>
              </w:rPr>
              <w:t>c</w:t>
            </w:r>
            <w:r w:rsidR="008A3314" w:rsidRPr="00C011B2">
              <w:rPr>
                <w:rFonts w:ascii="Times New Roman" w:hAnsi="Times New Roman" w:cs="Times New Roman"/>
                <w:color w:val="000000" w:themeColor="text1"/>
                <w:lang w:val="ro-MD"/>
              </w:rPr>
              <w:t>) este egal cu cel puțin suma dintre 1,5 și o majorare determinată în conformitate cu tabelul 3. În cazul portofoliului menționat la</w:t>
            </w:r>
            <w:r w:rsidR="00A34689" w:rsidRPr="00C011B2">
              <w:rPr>
                <w:rFonts w:ascii="Times New Roman" w:hAnsi="Times New Roman" w:cs="Times New Roman"/>
                <w:color w:val="000000" w:themeColor="text1"/>
                <w:lang w:val="ro-MD"/>
              </w:rPr>
              <w:t xml:space="preserve"> </w:t>
            </w:r>
            <w:r w:rsidR="003F3C8B" w:rsidRPr="00C011B2">
              <w:rPr>
                <w:rFonts w:ascii="Times New Roman" w:hAnsi="Times New Roman" w:cs="Times New Roman"/>
                <w:color w:val="000000" w:themeColor="text1"/>
                <w:lang w:val="ro-MD"/>
              </w:rPr>
              <w:t>pct.371</w:t>
            </w:r>
            <w:r w:rsidR="008A3314" w:rsidRPr="00C011B2">
              <w:rPr>
                <w:rFonts w:ascii="Times New Roman" w:hAnsi="Times New Roman" w:cs="Times New Roman"/>
                <w:color w:val="000000" w:themeColor="text1"/>
                <w:lang w:val="ro-MD"/>
              </w:rPr>
              <w:t xml:space="preserve">, respectiva majorare se calculează pe baza numărului de depășiri înregistrate în cea mai recentă perioadă de 250 de zile lucrătoare, astfel cum demonstrează testarea ex post efectuată de către </w:t>
            </w:r>
            <w:r w:rsidR="003F3C8B"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a nivelului valorii la risc calculat în conformitate cu </w:t>
            </w:r>
            <w:r w:rsidR="003F3C8B" w:rsidRPr="00C011B2">
              <w:rPr>
                <w:rFonts w:ascii="Times New Roman" w:hAnsi="Times New Roman" w:cs="Times New Roman"/>
                <w:color w:val="000000" w:themeColor="text1"/>
                <w:lang w:val="ro-MD"/>
              </w:rPr>
              <w:t>subpct.372.1</w:t>
            </w:r>
            <w:r w:rsidR="008A3314" w:rsidRPr="00C011B2">
              <w:rPr>
                <w:rFonts w:ascii="Times New Roman" w:hAnsi="Times New Roman" w:cs="Times New Roman"/>
                <w:color w:val="000000" w:themeColor="text1"/>
                <w:lang w:val="ro-MD"/>
              </w:rPr>
              <w:t>. Calculul majorării este supus criteriilor următoare:</w:t>
            </w:r>
            <w:r w:rsidR="008A3314" w:rsidRPr="00C011B2">
              <w:rPr>
                <w:rFonts w:ascii="Times New Roman" w:hAnsi="Times New Roman" w:cs="Times New Roman"/>
                <w:b/>
                <w:bCs/>
                <w:color w:val="000000" w:themeColor="text1"/>
                <w:lang w:val="ro-MD"/>
              </w:rPr>
              <w:t> </w:t>
            </w:r>
          </w:p>
          <w:p w14:paraId="72D4AD9D" w14:textId="5B833C37" w:rsidR="008A3314" w:rsidRPr="00C011B2" w:rsidRDefault="003F3C8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372.1.</w:t>
            </w:r>
            <w:r w:rsidR="008A3314" w:rsidRPr="00C011B2">
              <w:rPr>
                <w:rFonts w:ascii="Times New Roman" w:hAnsi="Times New Roman" w:cs="Times New Roman"/>
                <w:color w:val="000000" w:themeColor="text1"/>
                <w:lang w:val="ro-MD"/>
              </w:rPr>
              <w:t xml:space="preserve"> o depășire înseamnă o variație de o zi în valoarea portofoliului respectiv care depășește nivelul valorii la risc aferente, calculată utilizând modelul intern al </w:t>
            </w:r>
            <w:r w:rsidR="00DB6E68"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în conformitate cu cerințele următoare:</w:t>
            </w:r>
          </w:p>
          <w:p w14:paraId="64155931" w14:textId="54A9E65E"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372.1.1.</w:t>
            </w:r>
            <w:r w:rsidR="008A3314" w:rsidRPr="00C011B2">
              <w:rPr>
                <w:rFonts w:ascii="Times New Roman" w:hAnsi="Times New Roman" w:cs="Times New Roman"/>
                <w:color w:val="000000" w:themeColor="text1"/>
                <w:lang w:val="ro-MD"/>
              </w:rPr>
              <w:t> o perioadă de deținere de o zi;</w:t>
            </w:r>
          </w:p>
          <w:p w14:paraId="220BA211" w14:textId="14F77C91"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372.1.2.</w:t>
            </w:r>
            <w:r w:rsidR="008A3314" w:rsidRPr="00C011B2">
              <w:rPr>
                <w:rFonts w:ascii="Times New Roman" w:hAnsi="Times New Roman" w:cs="Times New Roman"/>
                <w:color w:val="000000" w:themeColor="text1"/>
                <w:lang w:val="ro-MD"/>
              </w:rPr>
              <w:t> un interval de încredere unilateral de 99 de centile;</w:t>
            </w:r>
          </w:p>
          <w:p w14:paraId="335523EB" w14:textId="0E4D65D8"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372.1.3.</w:t>
            </w:r>
            <w:r w:rsidR="008A3314" w:rsidRPr="00C011B2">
              <w:rPr>
                <w:rFonts w:ascii="Times New Roman" w:hAnsi="Times New Roman" w:cs="Times New Roman"/>
                <w:color w:val="000000" w:themeColor="text1"/>
                <w:lang w:val="ro-MD"/>
              </w:rPr>
              <w:t xml:space="preserve"> factorilor de risc aferenți pozițiilor biroului de tranzacționare menționați la </w:t>
            </w:r>
            <w:r w:rsidR="00E43D4C" w:rsidRPr="00C011B2">
              <w:rPr>
                <w:rFonts w:ascii="Times New Roman" w:hAnsi="Times New Roman" w:cs="Times New Roman"/>
                <w:color w:val="000000" w:themeColor="text1"/>
                <w:lang w:val="ro-MD"/>
              </w:rPr>
              <w:t>pct.379</w:t>
            </w:r>
            <w:r w:rsidR="008A3314" w:rsidRPr="00C011B2">
              <w:rPr>
                <w:rFonts w:ascii="Times New Roman" w:hAnsi="Times New Roman" w:cs="Times New Roman"/>
                <w:color w:val="000000" w:themeColor="text1"/>
                <w:lang w:val="ro-MD"/>
              </w:rPr>
              <w:t xml:space="preserve"> care se consideră că sunt modelabili în conformitate cu </w:t>
            </w:r>
            <w:r w:rsidRPr="00C011B2">
              <w:rPr>
                <w:rFonts w:ascii="Times New Roman" w:hAnsi="Times New Roman" w:cs="Times New Roman"/>
                <w:color w:val="000000" w:themeColor="text1"/>
                <w:lang w:val="ro-MD"/>
              </w:rPr>
              <w:t>subsecțiunea 4</w:t>
            </w:r>
            <w:r w:rsidR="008A3314" w:rsidRPr="00C011B2">
              <w:rPr>
                <w:rFonts w:ascii="Times New Roman" w:hAnsi="Times New Roman" w:cs="Times New Roman"/>
                <w:color w:val="000000" w:themeColor="text1"/>
                <w:lang w:val="ro-MD"/>
              </w:rPr>
              <w:t xml:space="preserve"> li se aplică scenarii ale unor șocuri viitoare;</w:t>
            </w:r>
          </w:p>
          <w:p w14:paraId="644FBB9F" w14:textId="62ED40C9"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372.1.4.</w:t>
            </w:r>
            <w:r w:rsidR="008A3314" w:rsidRPr="00C011B2">
              <w:rPr>
                <w:rFonts w:ascii="Times New Roman" w:hAnsi="Times New Roman" w:cs="Times New Roman"/>
                <w:color w:val="000000" w:themeColor="text1"/>
                <w:lang w:val="ro-MD"/>
              </w:rPr>
              <w:t xml:space="preserve"> datele de intrare utilizate pentru a determina scenariile unor șocuri viitoare aplicate factorilor de risc modelabili sunt calibrate în raport cu datele istorice menționate la </w:t>
            </w:r>
            <w:r w:rsidR="00E43D4C" w:rsidRPr="00C011B2">
              <w:rPr>
                <w:rFonts w:ascii="Times New Roman" w:hAnsi="Times New Roman" w:cs="Times New Roman"/>
                <w:color w:val="000000" w:themeColor="text1"/>
                <w:lang w:val="ro-MD"/>
              </w:rPr>
              <w:t>subpct.351.3</w:t>
            </w:r>
            <w:r w:rsidR="008A3314" w:rsidRPr="00C011B2">
              <w:rPr>
                <w:rFonts w:ascii="Times New Roman" w:hAnsi="Times New Roman" w:cs="Times New Roman"/>
                <w:color w:val="000000" w:themeColor="text1"/>
                <w:lang w:val="ro-MD"/>
              </w:rPr>
              <w:t>;</w:t>
            </w:r>
          </w:p>
          <w:p w14:paraId="61DDA704" w14:textId="673D64A3"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372.1.5.</w:t>
            </w:r>
            <w:r w:rsidR="008A3314" w:rsidRPr="00C011B2">
              <w:rPr>
                <w:rFonts w:ascii="Times New Roman" w:hAnsi="Times New Roman" w:cs="Times New Roman"/>
                <w:color w:val="000000" w:themeColor="text1"/>
                <w:lang w:val="ro-MD"/>
              </w:rPr>
              <w:t xml:space="preserve"> cu excepția cazului în care la </w:t>
            </w:r>
            <w:r w:rsidRPr="00C011B2">
              <w:rPr>
                <w:rFonts w:ascii="Times New Roman" w:hAnsi="Times New Roman" w:cs="Times New Roman"/>
                <w:color w:val="000000" w:themeColor="text1"/>
                <w:lang w:val="ro-MD"/>
              </w:rPr>
              <w:t>prezenta subsecțiune</w:t>
            </w:r>
            <w:r w:rsidR="008A3314" w:rsidRPr="00C011B2">
              <w:rPr>
                <w:rFonts w:ascii="Times New Roman" w:hAnsi="Times New Roman" w:cs="Times New Roman"/>
                <w:color w:val="000000" w:themeColor="text1"/>
                <w:lang w:val="ro-MD"/>
              </w:rPr>
              <w:t xml:space="preserve"> se prevede altfel, modelul intern al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se bazează pe aceleași ipoteze de modelare ca și cele utilizate pentru calcularea măsurii valorii la risc condiționate menționate la </w:t>
            </w:r>
            <w:r w:rsidR="00E43D4C" w:rsidRPr="00C011B2">
              <w:rPr>
                <w:rFonts w:ascii="Times New Roman" w:hAnsi="Times New Roman" w:cs="Times New Roman"/>
                <w:color w:val="000000" w:themeColor="text1"/>
                <w:lang w:val="ro-MD"/>
              </w:rPr>
              <w:t>subpct.339.1</w:t>
            </w:r>
            <w:r w:rsidR="008A3314" w:rsidRPr="00C011B2">
              <w:rPr>
                <w:rFonts w:ascii="Times New Roman" w:hAnsi="Times New Roman" w:cs="Times New Roman"/>
                <w:color w:val="000000" w:themeColor="text1"/>
                <w:lang w:val="ro-MD"/>
              </w:rPr>
              <w:t>;</w:t>
            </w:r>
          </w:p>
          <w:p w14:paraId="0F5D1FA5" w14:textId="394A9D14"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372.1.6.</w:t>
            </w:r>
            <w:r w:rsidR="008A3314" w:rsidRPr="00C011B2">
              <w:rPr>
                <w:rFonts w:ascii="Times New Roman" w:hAnsi="Times New Roman" w:cs="Times New Roman"/>
                <w:color w:val="000000" w:themeColor="text1"/>
                <w:lang w:val="ro-MD"/>
              </w:rPr>
              <w:t> numărul de depășiri este egal cu cel mai mare dintre numărul de depășiri calculat pe baza modificărilor ipotetice și numărul de depășiri calculate pe baza modificărilor efective ale valorii portofoliului;</w:t>
            </w:r>
          </w:p>
          <w:p w14:paraId="0293B29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i/>
                <w:iCs/>
                <w:color w:val="000000" w:themeColor="text1"/>
                <w:lang w:val="ro-MD"/>
              </w:rPr>
              <w:t>Tabelul 3</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399"/>
              <w:gridCol w:w="1201"/>
            </w:tblGrid>
            <w:tr w:rsidR="008A3314" w:rsidRPr="00C011B2" w14:paraId="10B972A7"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726CA"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Număr de depășiri</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D80EB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Majorare</w:t>
                  </w:r>
                </w:p>
              </w:tc>
            </w:tr>
            <w:tr w:rsidR="008A3314" w:rsidRPr="00C011B2" w14:paraId="405775A0"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020E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Mai mic de 5</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BD6A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0,00</w:t>
                  </w:r>
                </w:p>
              </w:tc>
            </w:tr>
            <w:tr w:rsidR="008A3314" w:rsidRPr="00C011B2" w14:paraId="7DB15A47"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85F9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88870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0,20</w:t>
                  </w:r>
                </w:p>
              </w:tc>
            </w:tr>
            <w:tr w:rsidR="008A3314" w:rsidRPr="00C011B2" w14:paraId="1C58DE22"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1593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883E6"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0,26</w:t>
                  </w:r>
                </w:p>
              </w:tc>
            </w:tr>
            <w:tr w:rsidR="008A3314" w:rsidRPr="00C011B2" w14:paraId="5CE0C1CB"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E6E1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E1EA28"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0,33</w:t>
                  </w:r>
                </w:p>
              </w:tc>
            </w:tr>
            <w:tr w:rsidR="008A3314" w:rsidRPr="00C011B2" w14:paraId="07B1F4F4"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76A9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1785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0,38</w:t>
                  </w:r>
                </w:p>
              </w:tc>
            </w:tr>
            <w:tr w:rsidR="008A3314" w:rsidRPr="00C011B2" w14:paraId="63FA58DC"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0EDE3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029A4"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0,42</w:t>
                  </w:r>
                </w:p>
              </w:tc>
            </w:tr>
            <w:tr w:rsidR="008A3314" w:rsidRPr="00C011B2" w14:paraId="68486120" w14:textId="77777777" w:rsidTr="001E785F">
              <w:trPr>
                <w:jc w:val="center"/>
              </w:trPr>
              <w:tc>
                <w:tcPr>
                  <w:tcW w:w="23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2FD96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Mai mare de 9</w:t>
                  </w:r>
                </w:p>
              </w:tc>
              <w:tc>
                <w:tcPr>
                  <w:tcW w:w="12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B4D47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0,50</w:t>
                  </w:r>
                </w:p>
              </w:tc>
            </w:tr>
          </w:tbl>
          <w:p w14:paraId="42B55004" w14:textId="0B5BA85A"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373. </w:t>
            </w:r>
            <w:r w:rsidR="008A3314" w:rsidRPr="00C011B2">
              <w:rPr>
                <w:rFonts w:ascii="Times New Roman" w:hAnsi="Times New Roman" w:cs="Times New Roman"/>
                <w:color w:val="000000" w:themeColor="text1"/>
                <w:lang w:val="ro-MD"/>
              </w:rPr>
              <w:t xml:space="preserve">În circumstanțe extraordinare, </w:t>
            </w:r>
            <w:r w:rsidR="00DB6E68" w:rsidRPr="00C011B2">
              <w:rPr>
                <w:rFonts w:ascii="Times New Roman" w:hAnsi="Times New Roman" w:cs="Times New Roman"/>
                <w:color w:val="000000" w:themeColor="text1"/>
                <w:lang w:val="ro-MD"/>
              </w:rPr>
              <w:t>BNM poate</w:t>
            </w:r>
            <w:r w:rsidR="008A3314" w:rsidRPr="00C011B2">
              <w:rPr>
                <w:rFonts w:ascii="Times New Roman" w:hAnsi="Times New Roman" w:cs="Times New Roman"/>
                <w:color w:val="000000" w:themeColor="text1"/>
                <w:lang w:val="ro-MD"/>
              </w:rPr>
              <w:t xml:space="preserve"> permite unei </w:t>
            </w:r>
            <w:r w:rsidR="00DB6E68"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să ia una dintre următoarele măsuri sau pe amândouă:</w:t>
            </w:r>
          </w:p>
          <w:p w14:paraId="40CB91FA" w14:textId="459BB74F"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373.1.</w:t>
            </w:r>
            <w:r w:rsidR="008A3314" w:rsidRPr="00C011B2">
              <w:rPr>
                <w:rFonts w:ascii="Times New Roman" w:hAnsi="Times New Roman" w:cs="Times New Roman"/>
                <w:color w:val="000000" w:themeColor="text1"/>
                <w:lang w:val="ro-MD"/>
              </w:rPr>
              <w:t> să limiteze calculul majorării la cel care rezultă din depășirile calculate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a modificărilor ipotetice în cazul în care numărul depășirilor calculate pe baza testării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xml:space="preserve"> a modificărilor efective nu rezultă din deficiențe ale modelului intern alternativ al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w:t>
            </w:r>
          </w:p>
          <w:p w14:paraId="5CAC0C92" w14:textId="45DBC4AE" w:rsidR="008A3314" w:rsidRPr="00C011B2" w:rsidRDefault="00DB6E6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373.2.</w:t>
            </w:r>
            <w:r w:rsidR="008A3314" w:rsidRPr="00C011B2">
              <w:rPr>
                <w:rFonts w:ascii="Times New Roman" w:hAnsi="Times New Roman" w:cs="Times New Roman"/>
                <w:color w:val="000000" w:themeColor="text1"/>
                <w:lang w:val="ro-MD"/>
              </w:rPr>
              <w:t> să excludă depășirile evidențiate de testarea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xml:space="preserve"> a modificărilor ipotetice sau efective din calculul majorării în cazul în care depășirile respective nu rezultă din deficiențe ale modelului intern alternativ al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w:t>
            </w:r>
          </w:p>
          <w:p w14:paraId="29660F0C" w14:textId="6681362B" w:rsidR="008A3314" w:rsidRPr="00C011B2" w:rsidRDefault="00B31E3E"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374. </w:t>
            </w:r>
            <w:r w:rsidR="008A3314" w:rsidRPr="00C011B2">
              <w:rPr>
                <w:rFonts w:ascii="Times New Roman" w:hAnsi="Times New Roman" w:cs="Times New Roman"/>
                <w:color w:val="000000" w:themeColor="text1"/>
                <w:lang w:val="ro-MD"/>
              </w:rPr>
              <w:t xml:space="preserve">În sensul </w:t>
            </w:r>
            <w:r w:rsidR="00DB6E68" w:rsidRPr="00C011B2">
              <w:rPr>
                <w:rFonts w:ascii="Times New Roman" w:hAnsi="Times New Roman" w:cs="Times New Roman"/>
                <w:color w:val="000000" w:themeColor="text1"/>
                <w:lang w:val="ro-MD"/>
              </w:rPr>
              <w:t>pct.373</w:t>
            </w:r>
            <w:r w:rsidR="008A3314" w:rsidRPr="00C011B2">
              <w:rPr>
                <w:rFonts w:ascii="Times New Roman" w:hAnsi="Times New Roman" w:cs="Times New Roman"/>
                <w:color w:val="000000" w:themeColor="text1"/>
                <w:lang w:val="ro-MD"/>
              </w:rPr>
              <w:t xml:space="preserve">, </w:t>
            </w:r>
            <w:r w:rsidR="00DB6E68" w:rsidRPr="00C011B2">
              <w:rPr>
                <w:rFonts w:ascii="Times New Roman" w:hAnsi="Times New Roman" w:cs="Times New Roman"/>
                <w:color w:val="000000" w:themeColor="text1"/>
                <w:lang w:val="ro-MD"/>
              </w:rPr>
              <w:t xml:space="preserve">BNM poate </w:t>
            </w:r>
            <w:r w:rsidR="008A3314" w:rsidRPr="00C011B2">
              <w:rPr>
                <w:rFonts w:ascii="Times New Roman" w:hAnsi="Times New Roman" w:cs="Times New Roman"/>
                <w:color w:val="000000" w:themeColor="text1"/>
                <w:lang w:val="ro-MD"/>
              </w:rPr>
              <w:t>majora valoarea m</w:t>
            </w:r>
            <w:r w:rsidR="008A3314" w:rsidRPr="00C011B2">
              <w:rPr>
                <w:rFonts w:ascii="Times New Roman" w:hAnsi="Times New Roman" w:cs="Times New Roman"/>
                <w:color w:val="000000" w:themeColor="text1"/>
                <w:vertAlign w:val="subscript"/>
                <w:lang w:val="ro-MD"/>
              </w:rPr>
              <w:t>c</w:t>
            </w:r>
            <w:r w:rsidR="008A3314" w:rsidRPr="00C011B2">
              <w:rPr>
                <w:rFonts w:ascii="Times New Roman" w:hAnsi="Times New Roman" w:cs="Times New Roman"/>
                <w:color w:val="000000" w:themeColor="text1"/>
                <w:lang w:val="ro-MD"/>
              </w:rPr>
              <w:t xml:space="preserve"> peste suma menționată la </w:t>
            </w:r>
            <w:r w:rsidR="00DB6E68" w:rsidRPr="00C011B2">
              <w:rPr>
                <w:rFonts w:ascii="Times New Roman" w:hAnsi="Times New Roman" w:cs="Times New Roman"/>
                <w:color w:val="000000" w:themeColor="text1"/>
                <w:lang w:val="ro-MD"/>
              </w:rPr>
              <w:t xml:space="preserve">punctul </w:t>
            </w:r>
            <w:r w:rsidR="008A3314" w:rsidRPr="00C011B2">
              <w:rPr>
                <w:rFonts w:ascii="Times New Roman" w:hAnsi="Times New Roman" w:cs="Times New Roman"/>
                <w:color w:val="000000" w:themeColor="text1"/>
                <w:lang w:val="ro-MD"/>
              </w:rPr>
              <w:t xml:space="preserve">respectiv în cazul în care modelul intern alternativ al unei </w:t>
            </w:r>
            <w:r w:rsidR="00DB6E68"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prezintă deficiențe care împiedică măsurarea corespunzătoare a cerințelor de fonduri proprii pentru riscul de piață.</w:t>
            </w:r>
            <w:bookmarkEnd w:id="370"/>
          </w:p>
        </w:tc>
        <w:tc>
          <w:tcPr>
            <w:tcW w:w="450" w:type="pct"/>
          </w:tcPr>
          <w:p w14:paraId="4B5C1899" w14:textId="7D40F0EE" w:rsidR="008A3314" w:rsidRPr="00C011B2" w:rsidRDefault="00B5506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7288C3C"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89F862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FF40E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5" w:tooltip="32019R0876: INSERTED" w:history="1">
              <w:r w:rsidR="008A3314" w:rsidRPr="00C011B2">
                <w:rPr>
                  <w:rStyle w:val="Hyperlink"/>
                  <w:rFonts w:ascii="Times New Roman" w:hAnsi="Times New Roman" w:cs="Times New Roman"/>
                  <w:b/>
                  <w:bCs/>
                  <w:lang w:val="ro-MD"/>
                </w:rPr>
                <w:t>▼M8</w:t>
              </w:r>
            </w:hyperlink>
          </w:p>
          <w:p w14:paraId="60479434" w14:textId="635B556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Autoritățile competente monitorizează caracterul adecvat al factorului de multiplicare menționat la alineatul (5) și respectarea de către un birou de tranzacționare a cerințelor privind testarea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menționate la alineatul (3). Instituțiile informează prompt autoritățile competente cu privire la depășirile care rezultă din programul lor de testare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și prezintă o explicație pentru depășirile în cauză și, în orice caz, informează autoritățile competente cu privire la acest lucru în cel mult cinci zile lucrătoare de la înregistrarea unei depășiri.</w:t>
            </w:r>
          </w:p>
        </w:tc>
        <w:tc>
          <w:tcPr>
            <w:tcW w:w="1692" w:type="pct"/>
            <w:shd w:val="clear" w:color="auto" w:fill="auto"/>
          </w:tcPr>
          <w:p w14:paraId="350D771E" w14:textId="2611F91F"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71" w:name="_Hlk224110870"/>
            <w:r w:rsidRPr="00C011B2">
              <w:rPr>
                <w:rFonts w:ascii="Times New Roman" w:hAnsi="Times New Roman" w:cs="Times New Roman"/>
                <w:color w:val="000000" w:themeColor="text1"/>
                <w:lang w:val="ro-MD"/>
              </w:rPr>
              <w:t>375.</w:t>
            </w:r>
            <w:r w:rsidR="008A3314" w:rsidRPr="00C011B2">
              <w:rPr>
                <w:rFonts w:ascii="Times New Roman" w:hAnsi="Times New Roman" w:cs="Times New Roman"/>
                <w:color w:val="000000" w:themeColor="text1"/>
                <w:lang w:val="ro-MD"/>
              </w:rPr>
              <w:t>   </w:t>
            </w:r>
            <w:r w:rsidR="00B55061"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monitorizează caracterul adecvat al factorului de multiplicare menționat la </w:t>
            </w:r>
            <w:r w:rsidR="00B55061" w:rsidRPr="00C011B2">
              <w:rPr>
                <w:rFonts w:ascii="Times New Roman" w:hAnsi="Times New Roman" w:cs="Times New Roman"/>
                <w:color w:val="000000" w:themeColor="text1"/>
                <w:lang w:val="ro-MD"/>
              </w:rPr>
              <w:t>pct.371</w:t>
            </w:r>
            <w:r w:rsidR="008A3314" w:rsidRPr="00C011B2">
              <w:rPr>
                <w:rFonts w:ascii="Times New Roman" w:hAnsi="Times New Roman" w:cs="Times New Roman"/>
                <w:color w:val="000000" w:themeColor="text1"/>
                <w:lang w:val="ro-MD"/>
              </w:rPr>
              <w:t xml:space="preserve"> și respectarea de către un birou de tranzacționare a cerințelor privind testarea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menționate la</w:t>
            </w:r>
            <w:r w:rsidR="001B1B44" w:rsidRPr="00C011B2">
              <w:rPr>
                <w:rFonts w:ascii="Times New Roman" w:hAnsi="Times New Roman" w:cs="Times New Roman"/>
                <w:color w:val="000000" w:themeColor="text1"/>
                <w:lang w:val="ro-MD"/>
              </w:rPr>
              <w:t xml:space="preserve"> </w:t>
            </w:r>
            <w:r w:rsidR="00B55061" w:rsidRPr="00C011B2">
              <w:rPr>
                <w:rFonts w:ascii="Times New Roman" w:hAnsi="Times New Roman" w:cs="Times New Roman"/>
                <w:color w:val="000000" w:themeColor="text1"/>
                <w:lang w:val="ro-MD"/>
              </w:rPr>
              <w:t>pct.369</w:t>
            </w:r>
            <w:r w:rsidR="008A3314" w:rsidRPr="00C011B2">
              <w:rPr>
                <w:rFonts w:ascii="Times New Roman" w:hAnsi="Times New Roman" w:cs="Times New Roman"/>
                <w:color w:val="000000" w:themeColor="text1"/>
                <w:lang w:val="ro-MD"/>
              </w:rPr>
              <w:t xml:space="preserve">. </w:t>
            </w:r>
            <w:r w:rsidR="00B55061"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informează prompt </w:t>
            </w:r>
            <w:r w:rsidR="00B55061"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cu privire la depășirile care rezultă din programul lor de testare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xml:space="preserve"> și prezintă o explicație pentru depășirile în cauză și, în orice caz, informează </w:t>
            </w:r>
            <w:r w:rsidR="00B55061"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cu privire la acest lucru în cel mult cinci zile lucrătoare de la înregistrarea unei depășiri.</w:t>
            </w:r>
            <w:bookmarkEnd w:id="371"/>
          </w:p>
        </w:tc>
        <w:tc>
          <w:tcPr>
            <w:tcW w:w="450" w:type="pct"/>
          </w:tcPr>
          <w:p w14:paraId="609F86C6" w14:textId="402DB7FF" w:rsidR="008A3314" w:rsidRPr="00C011B2" w:rsidRDefault="00B5506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30241B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C87EAE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53E770"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6" w:tooltip="32024R1623: REPLACED" w:history="1">
              <w:r w:rsidR="008A3314" w:rsidRPr="00C011B2">
                <w:rPr>
                  <w:rStyle w:val="Hyperlink"/>
                  <w:rFonts w:ascii="Times New Roman" w:hAnsi="Times New Roman" w:cs="Times New Roman"/>
                  <w:b/>
                  <w:bCs/>
                  <w:lang w:val="ro-MD"/>
                </w:rPr>
                <w:t>▼M17</w:t>
              </w:r>
            </w:hyperlink>
          </w:p>
          <w:p w14:paraId="6F86C336" w14:textId="6EDCBF3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Prin derogare de la alineatele (2) și (6), autoritățile competente pot să permită unei instituții să nu ia în calcul o depășire în cazul în care o modificare de o zi în valoarea portofoliului său care depășește nivelul valorii la risc aferente calculat utilizând modelul intern al instituției poate fi atribuită unui factor de risc nemodelabil.</w:t>
            </w:r>
          </w:p>
        </w:tc>
        <w:tc>
          <w:tcPr>
            <w:tcW w:w="1692" w:type="pct"/>
            <w:shd w:val="clear" w:color="auto" w:fill="auto"/>
          </w:tcPr>
          <w:p w14:paraId="1FFBDB57" w14:textId="588CAFC9" w:rsidR="008A3314" w:rsidRPr="00C011B2" w:rsidRDefault="00B31E3E" w:rsidP="008A3314">
            <w:pPr>
              <w:spacing w:after="0" w:line="276" w:lineRule="auto"/>
              <w:jc w:val="both"/>
              <w:rPr>
                <w:rFonts w:ascii="Times New Roman" w:hAnsi="Times New Roman" w:cs="Times New Roman"/>
                <w:color w:val="000000" w:themeColor="text1"/>
                <w:lang w:val="ro-MD"/>
              </w:rPr>
            </w:pPr>
            <w:bookmarkStart w:id="372" w:name="_Hlk224110908"/>
            <w:r w:rsidRPr="00C011B2">
              <w:rPr>
                <w:rFonts w:ascii="Times New Roman" w:hAnsi="Times New Roman" w:cs="Times New Roman"/>
                <w:color w:val="000000" w:themeColor="text1"/>
                <w:lang w:val="ro-MD"/>
              </w:rPr>
              <w:t>376.</w:t>
            </w:r>
            <w:r w:rsidR="008A3314" w:rsidRPr="00C011B2">
              <w:rPr>
                <w:rFonts w:ascii="Times New Roman" w:hAnsi="Times New Roman" w:cs="Times New Roman"/>
                <w:color w:val="000000" w:themeColor="text1"/>
                <w:lang w:val="ro-MD"/>
              </w:rPr>
              <w:t xml:space="preserve">   Prin derogare de la </w:t>
            </w:r>
            <w:r w:rsidR="00B55061" w:rsidRPr="00C011B2">
              <w:rPr>
                <w:rFonts w:ascii="Times New Roman" w:hAnsi="Times New Roman" w:cs="Times New Roman"/>
                <w:color w:val="000000" w:themeColor="text1"/>
                <w:lang w:val="ro-MD"/>
              </w:rPr>
              <w:t>pct.368</w:t>
            </w:r>
            <w:r w:rsidR="008A3314" w:rsidRPr="00C011B2">
              <w:rPr>
                <w:rFonts w:ascii="Times New Roman" w:hAnsi="Times New Roman" w:cs="Times New Roman"/>
                <w:color w:val="000000" w:themeColor="text1"/>
                <w:lang w:val="ro-MD"/>
              </w:rPr>
              <w:t xml:space="preserve"> și </w:t>
            </w:r>
            <w:r w:rsidR="00B55061" w:rsidRPr="00C011B2">
              <w:rPr>
                <w:rFonts w:ascii="Times New Roman" w:hAnsi="Times New Roman" w:cs="Times New Roman"/>
                <w:color w:val="000000" w:themeColor="text1"/>
                <w:lang w:val="ro-MD"/>
              </w:rPr>
              <w:t>372-374</w:t>
            </w:r>
            <w:r w:rsidR="008A3314" w:rsidRPr="00C011B2">
              <w:rPr>
                <w:rFonts w:ascii="Times New Roman" w:hAnsi="Times New Roman" w:cs="Times New Roman"/>
                <w:color w:val="000000" w:themeColor="text1"/>
                <w:lang w:val="ro-MD"/>
              </w:rPr>
              <w:t xml:space="preserve">, </w:t>
            </w:r>
            <w:r w:rsidR="00B55061" w:rsidRPr="00C011B2">
              <w:rPr>
                <w:rFonts w:ascii="Times New Roman" w:hAnsi="Times New Roman" w:cs="Times New Roman"/>
                <w:color w:val="000000" w:themeColor="text1"/>
                <w:lang w:val="ro-MD"/>
              </w:rPr>
              <w:t xml:space="preserve">BNM poate </w:t>
            </w:r>
            <w:r w:rsidR="008A3314" w:rsidRPr="00C011B2">
              <w:rPr>
                <w:rFonts w:ascii="Times New Roman" w:hAnsi="Times New Roman" w:cs="Times New Roman"/>
                <w:color w:val="000000" w:themeColor="text1"/>
                <w:lang w:val="ro-MD"/>
              </w:rPr>
              <w:t xml:space="preserve">să permită unei </w:t>
            </w:r>
            <w:r w:rsidR="00B55061"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să nu ia în calcul o depășire în cazul în care o modificare de o zi în valoarea portofoliului său care depășește nivelul valorii la risc aferente calculat utilizând modelul intern al </w:t>
            </w:r>
            <w:r w:rsidR="00B55061"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poate fi atribuită unui factor de risc nemodelabil.</w:t>
            </w:r>
            <w:bookmarkEnd w:id="372"/>
          </w:p>
        </w:tc>
        <w:tc>
          <w:tcPr>
            <w:tcW w:w="450" w:type="pct"/>
          </w:tcPr>
          <w:p w14:paraId="1C1A61AA" w14:textId="4ABA6327" w:rsidR="008A3314" w:rsidRPr="00C011B2" w:rsidRDefault="00B55061"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B216E0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A7A893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E19656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7" w:tooltip="32019R0876: INSERTED" w:history="1">
              <w:r w:rsidR="008A3314" w:rsidRPr="00C011B2">
                <w:rPr>
                  <w:rStyle w:val="Hyperlink"/>
                  <w:rFonts w:ascii="Times New Roman" w:hAnsi="Times New Roman" w:cs="Times New Roman"/>
                  <w:b/>
                  <w:bCs/>
                  <w:lang w:val="ro-MD"/>
                </w:rPr>
                <w:t>▼M8</w:t>
              </w:r>
            </w:hyperlink>
          </w:p>
          <w:p w14:paraId="2FD523B0" w14:textId="0A5B6EB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(9)   ABE elaborează proiecte de standarde tehnice de reglementare pentru a specifica elementele tehnice care trebuie incluse în modificările efective și ipotetice ale </w:t>
            </w:r>
            <w:r w:rsidRPr="00C011B2">
              <w:rPr>
                <w:rFonts w:ascii="Times New Roman" w:hAnsi="Times New Roman" w:cs="Times New Roman"/>
                <w:color w:val="000000" w:themeColor="text1"/>
                <w:lang w:val="ro-MD"/>
              </w:rPr>
              <w:lastRenderedPageBreak/>
              <w:t>valorii portofoliului unei instituții în sensul prezentului articol.</w:t>
            </w:r>
          </w:p>
          <w:p w14:paraId="1EC6ECC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28 martie 2020.</w:t>
            </w:r>
          </w:p>
          <w:p w14:paraId="1EB56FFC" w14:textId="3B83648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3195DB69" w14:textId="6A9CA4D1"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5D0F12D9" w14:textId="2AD262D9"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6530884" w14:textId="7382938E"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Alin.(9) stabilește obligații pentru autorități europene – Autoritatea Bancară Europeană.</w:t>
            </w:r>
          </w:p>
        </w:tc>
      </w:tr>
      <w:tr w:rsidR="008A3314" w:rsidRPr="00C011B2" w14:paraId="75DEC0F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4AF0647"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8" w:tooltip="32024R1623: INSERTED" w:history="1">
              <w:r w:rsidR="008A3314" w:rsidRPr="00C011B2">
                <w:rPr>
                  <w:rStyle w:val="Hyperlink"/>
                  <w:rFonts w:ascii="Times New Roman" w:hAnsi="Times New Roman" w:cs="Times New Roman"/>
                  <w:b/>
                  <w:bCs/>
                  <w:lang w:val="ro-MD"/>
                </w:rPr>
                <w:t>▼M17</w:t>
              </w:r>
            </w:hyperlink>
          </w:p>
          <w:p w14:paraId="57920288" w14:textId="3AB4DB6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ABE elaborează proiecte de standarde tehnice de reglementare pentru a preciza condițiile și criteriile conform cărora o instituție poate fi autorizată să nu ia în calcul o depășire în cazul în care modificarea de o zi în valoarea portofoliului său care depășește nivelul valorii la risc aferente calculat utilizând modelul intern al instituției poate fi atribuită unui factor de risc nemodelabil.</w:t>
            </w:r>
          </w:p>
          <w:p w14:paraId="1778007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10 iulie 2026.</w:t>
            </w:r>
          </w:p>
          <w:p w14:paraId="0DC682B1" w14:textId="4750B22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13906BD6" w14:textId="490F5513"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2685B8AD" w14:textId="0871287E"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730A86B5" w14:textId="2D9B406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Alin.(10) stabilește obligații pentru autorități europene – Autoritatea Bancară Europeană.</w:t>
            </w:r>
          </w:p>
        </w:tc>
      </w:tr>
      <w:tr w:rsidR="008A3314" w:rsidRPr="00C011B2" w14:paraId="1FCE67B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1AF8AB"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19" w:tooltip="32019R0876: INSERTED" w:history="1">
              <w:r w:rsidR="008A3314" w:rsidRPr="00C011B2">
                <w:rPr>
                  <w:rStyle w:val="Hyperlink"/>
                  <w:rFonts w:ascii="Times New Roman" w:hAnsi="Times New Roman" w:cs="Times New Roman"/>
                  <w:b/>
                  <w:bCs/>
                  <w:lang w:val="ro-MD"/>
                </w:rPr>
                <w:t>▼M8</w:t>
              </w:r>
            </w:hyperlink>
          </w:p>
          <w:p w14:paraId="6CC2AFEE"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325bg</w:t>
            </w:r>
          </w:p>
          <w:p w14:paraId="5F1FBED6" w14:textId="630C932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Cerința privind atribuirea profitului și a pierderii</w:t>
            </w:r>
          </w:p>
        </w:tc>
        <w:tc>
          <w:tcPr>
            <w:tcW w:w="1692" w:type="pct"/>
            <w:shd w:val="clear" w:color="auto" w:fill="auto"/>
          </w:tcPr>
          <w:p w14:paraId="5FE907D5" w14:textId="1CE8569E" w:rsidR="008A3314" w:rsidRPr="00C011B2" w:rsidRDefault="001B1B44" w:rsidP="008A3314">
            <w:pPr>
              <w:spacing w:after="0" w:line="276" w:lineRule="auto"/>
              <w:jc w:val="both"/>
              <w:rPr>
                <w:rFonts w:ascii="Times New Roman" w:hAnsi="Times New Roman" w:cs="Times New Roman"/>
                <w:color w:val="000000" w:themeColor="text1"/>
                <w:lang w:val="ro-MD"/>
              </w:rPr>
            </w:pPr>
            <w:bookmarkStart w:id="373" w:name="_Hlk195098864"/>
            <w:r w:rsidRPr="00C011B2">
              <w:rPr>
                <w:rFonts w:ascii="Times New Roman" w:hAnsi="Times New Roman" w:cs="Times New Roman"/>
                <w:i/>
                <w:iCs/>
                <w:color w:val="000000" w:themeColor="text1"/>
                <w:lang w:val="ro-MD"/>
              </w:rPr>
              <w:t xml:space="preserve">Subsecțiunea 6. </w:t>
            </w:r>
            <w:r w:rsidR="008A3314" w:rsidRPr="00C011B2">
              <w:rPr>
                <w:rFonts w:ascii="Times New Roman" w:hAnsi="Times New Roman" w:cs="Times New Roman"/>
                <w:b/>
                <w:bCs/>
                <w:color w:val="000000" w:themeColor="text1"/>
                <w:lang w:val="ro-MD"/>
              </w:rPr>
              <w:t>Cerința privind atribuirea profitului și a pierderii</w:t>
            </w:r>
            <w:bookmarkEnd w:id="373"/>
          </w:p>
        </w:tc>
        <w:tc>
          <w:tcPr>
            <w:tcW w:w="450" w:type="pct"/>
          </w:tcPr>
          <w:p w14:paraId="09DE6C6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34F11564"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3EA82B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F300E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0" w:tooltip="32024R1623: REPLACED" w:history="1">
              <w:r w:rsidR="008A3314" w:rsidRPr="00C011B2">
                <w:rPr>
                  <w:rStyle w:val="Hyperlink"/>
                  <w:rFonts w:ascii="Times New Roman" w:hAnsi="Times New Roman" w:cs="Times New Roman"/>
                  <w:b/>
                  <w:bCs/>
                  <w:lang w:val="ro-MD"/>
                </w:rPr>
                <w:t>▼M17</w:t>
              </w:r>
            </w:hyperlink>
          </w:p>
          <w:p w14:paraId="16F40517" w14:textId="5A7CAD0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Un birou de tranzacționare al unei instituții îndeplinește cerințele privind atribuirea profitului și a pierderii dacă modificările teoretice ale valorii portofoliului biroului de tranzacționare respectiv calculate pe baza modelului de măsurare a riscurilor al instituției sunt fie apropiate, fie suficient de apropiate de modificările ipotetice ale valorii portofoliului biroului de tranzacționare respectiv calculate pe baza modelului de evaluare al instituției.</w:t>
            </w:r>
          </w:p>
        </w:tc>
        <w:tc>
          <w:tcPr>
            <w:tcW w:w="1692" w:type="pct"/>
            <w:shd w:val="clear" w:color="auto" w:fill="auto"/>
          </w:tcPr>
          <w:p w14:paraId="2A73FBA1" w14:textId="2D8DBA35" w:rsidR="008A3314" w:rsidRPr="00C011B2" w:rsidRDefault="00303B98" w:rsidP="008A3314">
            <w:pPr>
              <w:spacing w:after="0" w:line="276" w:lineRule="auto"/>
              <w:jc w:val="both"/>
              <w:rPr>
                <w:rFonts w:ascii="Times New Roman" w:hAnsi="Times New Roman" w:cs="Times New Roman"/>
                <w:color w:val="000000" w:themeColor="text1"/>
                <w:lang w:val="ro-MD"/>
              </w:rPr>
            </w:pPr>
            <w:bookmarkStart w:id="374" w:name="_Hlk224111742"/>
            <w:r w:rsidRPr="00C011B2">
              <w:rPr>
                <w:rFonts w:ascii="Times New Roman" w:hAnsi="Times New Roman" w:cs="Times New Roman"/>
                <w:color w:val="000000" w:themeColor="text1"/>
                <w:lang w:val="ro-MD"/>
              </w:rPr>
              <w:t>377.</w:t>
            </w:r>
            <w:r w:rsidR="008A3314" w:rsidRPr="00C011B2">
              <w:rPr>
                <w:rFonts w:ascii="Times New Roman" w:hAnsi="Times New Roman" w:cs="Times New Roman"/>
                <w:color w:val="000000" w:themeColor="text1"/>
                <w:lang w:val="ro-MD"/>
              </w:rPr>
              <w:t xml:space="preserve">   Un birou de tranzacționare al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îndeplinește cerințele privind atribuirea profitului și a pierderii dacă modificările teoretice ale valorii portofoliului biroului de tranzacționare respectiv calculate pe baza modelului de măsurare a riscurilor al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sunt fie apropiate, fie suficient de apropiate de modificările ipotetice ale valorii portofoliului biroului de tranzacționare respectiv calculate pe baza modelului de evaluare al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w:t>
            </w:r>
            <w:bookmarkEnd w:id="374"/>
          </w:p>
        </w:tc>
        <w:tc>
          <w:tcPr>
            <w:tcW w:w="450" w:type="pct"/>
          </w:tcPr>
          <w:p w14:paraId="3E8912C6" w14:textId="7CFFEB91"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BA2141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8ADEBF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832B72" w14:textId="6BD6326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pofida alineatului (1) de la prezentul articol, în cazul în care modificările teoretice ale valorii portofoliului unui birou de tranzacționare, calculate pe baza modelului de măsurare a riscurilor al instituției, sunt suficient de apropiate de modificările ipotetice ale valorii portofoliului biroului de tranzacționare respectiv calculate pe baza modelului de evaluare al instituției, instituția calculează, pentru toate pozițiile atribuite biroului de tranzacționare respectiv, o cerință de fonduri proprii suplimentară față de cerințele de fonduri proprii menționate la articolul 325ba alineatele (1) și (2).</w:t>
            </w:r>
          </w:p>
        </w:tc>
        <w:tc>
          <w:tcPr>
            <w:tcW w:w="1692" w:type="pct"/>
            <w:shd w:val="clear" w:color="auto" w:fill="auto"/>
          </w:tcPr>
          <w:p w14:paraId="6226711B" w14:textId="76D04230" w:rsidR="008A3314" w:rsidRPr="00C011B2" w:rsidRDefault="00303B98" w:rsidP="008A3314">
            <w:pPr>
              <w:spacing w:after="0" w:line="276" w:lineRule="auto"/>
              <w:jc w:val="both"/>
              <w:rPr>
                <w:rFonts w:ascii="Times New Roman" w:hAnsi="Times New Roman" w:cs="Times New Roman"/>
                <w:color w:val="000000" w:themeColor="text1"/>
                <w:lang w:val="ro-MD"/>
              </w:rPr>
            </w:pPr>
            <w:bookmarkStart w:id="375" w:name="_Hlk224111767"/>
            <w:r w:rsidRPr="00C011B2">
              <w:rPr>
                <w:rFonts w:ascii="Times New Roman" w:hAnsi="Times New Roman" w:cs="Times New Roman"/>
                <w:color w:val="000000" w:themeColor="text1"/>
                <w:lang w:val="ro-MD"/>
              </w:rPr>
              <w:t>378.</w:t>
            </w:r>
            <w:r w:rsidR="008A3314" w:rsidRPr="00C011B2">
              <w:rPr>
                <w:rFonts w:ascii="Times New Roman" w:hAnsi="Times New Roman" w:cs="Times New Roman"/>
                <w:color w:val="000000" w:themeColor="text1"/>
                <w:lang w:val="ro-MD"/>
              </w:rPr>
              <w:t xml:space="preserve">   În pofida </w:t>
            </w:r>
            <w:r w:rsidRPr="00C011B2">
              <w:rPr>
                <w:rFonts w:ascii="Times New Roman" w:hAnsi="Times New Roman" w:cs="Times New Roman"/>
                <w:color w:val="000000" w:themeColor="text1"/>
                <w:lang w:val="ro-MD"/>
              </w:rPr>
              <w:t>pct.377</w:t>
            </w:r>
            <w:r w:rsidR="008A3314" w:rsidRPr="00C011B2">
              <w:rPr>
                <w:rFonts w:ascii="Times New Roman" w:hAnsi="Times New Roman" w:cs="Times New Roman"/>
                <w:color w:val="000000" w:themeColor="text1"/>
                <w:lang w:val="ro-MD"/>
              </w:rPr>
              <w:t xml:space="preserve">, în cazul în care modificările teoretice ale valorii portofoliului unui birou de tranzacționare, calculate pe baza modelului de măsurare a riscurilor al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xml:space="preserve">, sunt suficient de apropiate de modificările ipotetice ale valorii portofoliului biroului de tranzacționare respectiv calculate pe baza modelului de evaluare al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calculează, pentru toate pozițiile atribuite biroului de tranzacționare respectiv, o cerință de fonduri proprii suplimentară față de cerințele de fonduri proprii menționate la </w:t>
            </w:r>
            <w:r w:rsidR="00E43D4C" w:rsidRPr="00C011B2">
              <w:rPr>
                <w:rFonts w:ascii="Times New Roman" w:hAnsi="Times New Roman" w:cs="Times New Roman"/>
                <w:color w:val="000000" w:themeColor="text1"/>
                <w:lang w:val="ro-MD"/>
              </w:rPr>
              <w:t>subpct.339-342</w:t>
            </w:r>
            <w:r w:rsidR="008A3314" w:rsidRPr="00C011B2">
              <w:rPr>
                <w:rFonts w:ascii="Times New Roman" w:hAnsi="Times New Roman" w:cs="Times New Roman"/>
                <w:color w:val="000000" w:themeColor="text1"/>
                <w:lang w:val="ro-MD"/>
              </w:rPr>
              <w:t>.</w:t>
            </w:r>
            <w:bookmarkEnd w:id="375"/>
          </w:p>
        </w:tc>
        <w:tc>
          <w:tcPr>
            <w:tcW w:w="450" w:type="pct"/>
          </w:tcPr>
          <w:p w14:paraId="77CDF797" w14:textId="0C275D09"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3A0537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4E8B82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EC0E3F2" w14:textId="1610C2E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Pe baza rezultatelor cerinței privind atribuirea profitului și a pierderii menționate la alineatul (1) de la prezentul articol, o instituție stabilește și documentează o listă exactă cuprinzând factorii de risc incluși în modelul de măsurare a riscurilor al instituției considerați adecvați pentru verificarea respectării de către instituție a cerinței privind testarea ex post prevăzută la articolul 325bf. Instituția urmărește orice modificare a listei factorilor de risc respectivi.</w:t>
            </w:r>
          </w:p>
        </w:tc>
        <w:tc>
          <w:tcPr>
            <w:tcW w:w="1692" w:type="pct"/>
            <w:shd w:val="clear" w:color="auto" w:fill="auto"/>
          </w:tcPr>
          <w:p w14:paraId="48F5AD7B" w14:textId="76694C52" w:rsidR="008A3314" w:rsidRPr="00C011B2" w:rsidRDefault="00303B98" w:rsidP="008A3314">
            <w:pPr>
              <w:spacing w:after="0" w:line="276" w:lineRule="auto"/>
              <w:jc w:val="both"/>
              <w:rPr>
                <w:rFonts w:ascii="Times New Roman" w:hAnsi="Times New Roman" w:cs="Times New Roman"/>
                <w:color w:val="000000" w:themeColor="text1"/>
                <w:lang w:val="ro-MD"/>
              </w:rPr>
            </w:pPr>
            <w:bookmarkStart w:id="376" w:name="_Hlk224111805"/>
            <w:r w:rsidRPr="00C011B2">
              <w:rPr>
                <w:rFonts w:ascii="Times New Roman" w:hAnsi="Times New Roman" w:cs="Times New Roman"/>
                <w:color w:val="000000" w:themeColor="text1"/>
                <w:lang w:val="ro-MD"/>
              </w:rPr>
              <w:t>379.</w:t>
            </w:r>
            <w:r w:rsidR="008A3314" w:rsidRPr="00C011B2">
              <w:rPr>
                <w:rFonts w:ascii="Times New Roman" w:hAnsi="Times New Roman" w:cs="Times New Roman"/>
                <w:color w:val="000000" w:themeColor="text1"/>
                <w:lang w:val="ro-MD"/>
              </w:rPr>
              <w:t xml:space="preserve">  Pe baza rezultatelor cerinței privind atribuirea profitului și a pierderii menționate la </w:t>
            </w:r>
            <w:r w:rsidRPr="00C011B2">
              <w:rPr>
                <w:rFonts w:ascii="Times New Roman" w:hAnsi="Times New Roman" w:cs="Times New Roman"/>
                <w:color w:val="000000" w:themeColor="text1"/>
                <w:lang w:val="ro-MD"/>
              </w:rPr>
              <w:t>pct.377</w:t>
            </w:r>
            <w:r w:rsidR="008A3314" w:rsidRPr="00C011B2">
              <w:rPr>
                <w:rFonts w:ascii="Times New Roman" w:hAnsi="Times New Roman" w:cs="Times New Roman"/>
                <w:color w:val="000000" w:themeColor="text1"/>
                <w:lang w:val="ro-MD"/>
              </w:rPr>
              <w:t>,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stabilește și documentează o listă exactă cuprinzând factorii de risc incluși în modelul de măsurare a riscurilor al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considerați adecvați pentru verificarea respectării de către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a cerinței privind testarea ex post prevăzută la </w:t>
            </w:r>
            <w:r w:rsidRPr="00C011B2">
              <w:rPr>
                <w:rFonts w:ascii="Times New Roman" w:hAnsi="Times New Roman" w:cs="Times New Roman"/>
                <w:color w:val="000000" w:themeColor="text1"/>
                <w:lang w:val="ro-MD"/>
              </w:rPr>
              <w:t>subsecțiunea 5</w:t>
            </w:r>
            <w:r w:rsidR="008A3314"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urmărește orice modificare a listei factorilor de risc respectivi.</w:t>
            </w:r>
            <w:bookmarkEnd w:id="376"/>
          </w:p>
        </w:tc>
        <w:tc>
          <w:tcPr>
            <w:tcW w:w="450" w:type="pct"/>
          </w:tcPr>
          <w:p w14:paraId="140D172F" w14:textId="799620C7"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53F353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5141E2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86B669"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1" w:tooltip="32019R0876: INSERTED" w:history="1">
              <w:r w:rsidR="008A3314" w:rsidRPr="00C011B2">
                <w:rPr>
                  <w:rStyle w:val="Hyperlink"/>
                  <w:rFonts w:ascii="Times New Roman" w:hAnsi="Times New Roman" w:cs="Times New Roman"/>
                  <w:b/>
                  <w:bCs/>
                  <w:lang w:val="ro-MD"/>
                </w:rPr>
                <w:t>▼M8</w:t>
              </w:r>
            </w:hyperlink>
          </w:p>
          <w:p w14:paraId="735B1CB6" w14:textId="62E6447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ABE elaborează proiecte de standarde tehnice de reglementare pentru a preciza:</w:t>
            </w:r>
          </w:p>
          <w:p w14:paraId="096974DF"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2" w:tooltip="32024R1623: REPLACED" w:history="1">
              <w:r w:rsidR="008A3314" w:rsidRPr="00C011B2">
                <w:rPr>
                  <w:rStyle w:val="Hyperlink"/>
                  <w:rFonts w:ascii="Times New Roman" w:hAnsi="Times New Roman" w:cs="Times New Roman"/>
                  <w:b/>
                  <w:bCs/>
                  <w:lang w:val="ro-MD"/>
                </w:rPr>
                <w:t>▼M17</w:t>
              </w:r>
            </w:hyperlink>
          </w:p>
          <w:p w14:paraId="1D90C96A" w14:textId="36DE000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criteriile care specifică dacă modificările teoretice ale valorii portofoliului unui birou de tranzacționare sunt fie apropiate, fie suficient de apropiate de modificările ipotetice ale valorii portofoliului biroului de tranzacționare în sensul alineatului (1), ținând seama de evoluțiile apărute la nivel de reglementare pe plan internațional;</w:t>
            </w:r>
          </w:p>
          <w:p w14:paraId="44528C64" w14:textId="7DB48C4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cerința de fonduri proprii suplimentară menționată la alineatul (2);</w:t>
            </w:r>
          </w:p>
          <w:p w14:paraId="2DE0BD1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3" w:tooltip="32019R0876: INSERTED" w:history="1">
              <w:r w:rsidR="008A3314" w:rsidRPr="00C011B2">
                <w:rPr>
                  <w:rStyle w:val="Hyperlink"/>
                  <w:rFonts w:ascii="Times New Roman" w:hAnsi="Times New Roman" w:cs="Times New Roman"/>
                  <w:b/>
                  <w:bCs/>
                  <w:lang w:val="ro-MD"/>
                </w:rPr>
                <w:t>▼M8</w:t>
              </w:r>
            </w:hyperlink>
          </w:p>
          <w:p w14:paraId="680793AC" w14:textId="127630F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frecvența cu care atribuirea profitului și a pierderii trebuie să fie efectuată de către o instituție;</w:t>
            </w:r>
          </w:p>
          <w:p w14:paraId="270FE4AE" w14:textId="5B4093B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 elementele tehnice care trebuie incluse în modificările teoretice și ipotetice ale valorii portofoliului unei instituții în sensul prezentului articol.</w:t>
            </w:r>
          </w:p>
          <w:p w14:paraId="27C4A328"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4" w:tooltip="32024R1623: DELETED" w:history="1">
              <w:r w:rsidR="008A3314" w:rsidRPr="00C011B2">
                <w:rPr>
                  <w:rStyle w:val="Hyperlink"/>
                  <w:rFonts w:ascii="Times New Roman" w:hAnsi="Times New Roman" w:cs="Times New Roman"/>
                  <w:b/>
                  <w:bCs/>
                  <w:lang w:val="ro-MD"/>
                </w:rPr>
                <w:t>▼M17</w:t>
              </w:r>
            </w:hyperlink>
            <w:r w:rsidR="008A3314" w:rsidRPr="00C011B2">
              <w:rPr>
                <w:rFonts w:ascii="Times New Roman" w:hAnsi="Times New Roman" w:cs="Times New Roman"/>
                <w:b/>
                <w:bCs/>
                <w:color w:val="000000" w:themeColor="text1"/>
                <w:lang w:val="ro-MD"/>
              </w:rPr>
              <w:t> —————</w:t>
            </w:r>
          </w:p>
          <w:p w14:paraId="3DB3F4FF"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5" w:tooltip="32024R1623: REPLACED" w:history="1">
              <w:r w:rsidR="008A3314" w:rsidRPr="00C011B2">
                <w:rPr>
                  <w:rStyle w:val="Hyperlink"/>
                  <w:rFonts w:ascii="Times New Roman" w:hAnsi="Times New Roman" w:cs="Times New Roman"/>
                  <w:b/>
                  <w:bCs/>
                  <w:lang w:val="ro-MD"/>
                </w:rPr>
                <w:t>▼M17</w:t>
              </w:r>
            </w:hyperlink>
          </w:p>
          <w:p w14:paraId="3BCAAEB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10 iulie 2025.</w:t>
            </w:r>
          </w:p>
          <w:p w14:paraId="699D27F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6" w:tooltip="32019R0876: INSERTED" w:history="1">
              <w:r w:rsidR="008A3314" w:rsidRPr="00C011B2">
                <w:rPr>
                  <w:rStyle w:val="Hyperlink"/>
                  <w:rFonts w:ascii="Times New Roman" w:hAnsi="Times New Roman" w:cs="Times New Roman"/>
                  <w:b/>
                  <w:bCs/>
                  <w:lang w:val="ro-MD"/>
                </w:rPr>
                <w:t>▼M8</w:t>
              </w:r>
            </w:hyperlink>
          </w:p>
          <w:p w14:paraId="5581B06A" w14:textId="5770EC7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6B59B856" w14:textId="41450AB2"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6C01A650" w14:textId="550A4A26"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16563AA2" w14:textId="1B95FEE2"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Alin.(4) stabilește obligații pentru autorități europene – Autoritatea Bancară Europeană.</w:t>
            </w:r>
          </w:p>
        </w:tc>
      </w:tr>
      <w:tr w:rsidR="008A3314" w:rsidRPr="00C011B2" w14:paraId="24A955E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D39D359"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325bh</w:t>
            </w:r>
          </w:p>
          <w:p w14:paraId="3C6C8C44" w14:textId="78C0E72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privind măsurarea riscurilor</w:t>
            </w:r>
          </w:p>
        </w:tc>
        <w:tc>
          <w:tcPr>
            <w:tcW w:w="1692" w:type="pct"/>
            <w:shd w:val="clear" w:color="auto" w:fill="auto"/>
          </w:tcPr>
          <w:p w14:paraId="2B4DDB4E" w14:textId="061BB5D6" w:rsidR="008A3314" w:rsidRPr="00C011B2" w:rsidRDefault="00303B98" w:rsidP="008A3314">
            <w:pPr>
              <w:spacing w:after="0" w:line="276" w:lineRule="auto"/>
              <w:jc w:val="both"/>
              <w:rPr>
                <w:rFonts w:ascii="Times New Roman" w:hAnsi="Times New Roman" w:cs="Times New Roman"/>
                <w:color w:val="000000" w:themeColor="text1"/>
                <w:lang w:val="ro-MD"/>
              </w:rPr>
            </w:pPr>
            <w:bookmarkStart w:id="377" w:name="_Hlk195098892"/>
            <w:r w:rsidRPr="00C011B2">
              <w:rPr>
                <w:rFonts w:ascii="Times New Roman" w:hAnsi="Times New Roman" w:cs="Times New Roman"/>
                <w:i/>
                <w:iCs/>
                <w:color w:val="000000" w:themeColor="text1"/>
                <w:lang w:val="ro-MD"/>
              </w:rPr>
              <w:t xml:space="preserve">Subsecțiunea </w:t>
            </w:r>
            <w:r w:rsidR="00652C99" w:rsidRPr="00C011B2">
              <w:rPr>
                <w:rFonts w:ascii="Times New Roman" w:hAnsi="Times New Roman" w:cs="Times New Roman"/>
                <w:i/>
                <w:iCs/>
                <w:color w:val="000000" w:themeColor="text1"/>
                <w:lang w:val="ro-MD"/>
              </w:rPr>
              <w:t>7</w:t>
            </w:r>
            <w:r w:rsidRPr="00C011B2">
              <w:rPr>
                <w:rFonts w:ascii="Times New Roman" w:hAnsi="Times New Roman" w:cs="Times New Roman"/>
                <w:i/>
                <w:iCs/>
                <w:color w:val="000000" w:themeColor="text1"/>
                <w:lang w:val="ro-MD"/>
              </w:rPr>
              <w:t>.</w:t>
            </w:r>
            <w:r w:rsidR="008A3314" w:rsidRPr="00C011B2">
              <w:rPr>
                <w:rFonts w:ascii="Times New Roman" w:hAnsi="Times New Roman" w:cs="Times New Roman"/>
                <w:b/>
                <w:bCs/>
                <w:color w:val="000000" w:themeColor="text1"/>
                <w:lang w:val="ro-MD"/>
              </w:rPr>
              <w:t>Cerințe privind măsurarea riscurilor</w:t>
            </w:r>
            <w:bookmarkEnd w:id="377"/>
          </w:p>
        </w:tc>
        <w:tc>
          <w:tcPr>
            <w:tcW w:w="450" w:type="pct"/>
          </w:tcPr>
          <w:p w14:paraId="64E3079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74A62368"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E3863E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B45095" w14:textId="37192C9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care utilizează un model intern de măsurare a riscurilor folosit la calcularea cerințelor de fonduri proprii pentru riscul de piață, astfel cum sunt menționate la articolul 325ba, se asigură că respectivul model respectă cumulativ următoarele cerințe:</w:t>
            </w:r>
          </w:p>
          <w:p w14:paraId="0105AA67" w14:textId="20ECCA4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modelul intern de măsurare a riscurilor reflectă un număr suficient de factori de risc, care cuprind cel puțin factorii de risc menționați în secțiunea 3 subsecțiunea 1 din capitolul 1a, cu excepția cazului în care instituția demonstrează autorităților competente că omiterea </w:t>
            </w:r>
            <w:r w:rsidRPr="00C011B2">
              <w:rPr>
                <w:rFonts w:ascii="Times New Roman" w:hAnsi="Times New Roman" w:cs="Times New Roman"/>
                <w:color w:val="000000" w:themeColor="text1"/>
                <w:lang w:val="ro-MD"/>
              </w:rPr>
              <w:lastRenderedPageBreak/>
              <w:t>acestor factori de risc nu are un impact semnificativ asupra rezultatelor cerinței privind atribuirea profitului și a pierderii menționate la articolul 325bg; o instituție este în măsură să explice autorităților competente motivele pentru care a încorporat un anumit factor de risc în modelul său de evaluare, dar nu și în modelul intern de măsurare a riscurilor;</w:t>
            </w:r>
          </w:p>
          <w:p w14:paraId="74D7E64F" w14:textId="1E6EEFA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modelul intern de măsurare a riscurilor surprinde caracterul neliniar al opțiunilor și al altor produse, precum și riscul de corelație și riscul de bază;</w:t>
            </w:r>
          </w:p>
          <w:p w14:paraId="5CA18263" w14:textId="79D93FB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modelul intern de măsurare a riscurilor încorporează un set de factori de risc corespunzători ratelor dobânzii pentru fiecare monedă în care instituția înregistrează poziții bilanțiere sau extrabilanțiere sensibile la rata dobânzii; instituția modelează curbele de randament folosind una dintre abordările general acceptate; curba de randament este divizată în diferite benzi de scadență pentru a surprinde variațiile volatilității ratelor de-a lungul curbei de randament; pentru expunerile semnificative la riscul de rată a dobânzii în monede și pe piețe importante, curba de randament trebuie modelată cu ajutorul a minimum șase benzi de scadență, iar numărul de factori de risc utilizați pentru a modela curba de randament trebuie să fie proporțional cu natura și complexitatea strategiilor </w:t>
            </w:r>
            <w:r w:rsidRPr="00C011B2">
              <w:rPr>
                <w:rFonts w:ascii="Times New Roman" w:hAnsi="Times New Roman" w:cs="Times New Roman"/>
                <w:color w:val="000000" w:themeColor="text1"/>
                <w:lang w:val="ro-MD"/>
              </w:rPr>
              <w:lastRenderedPageBreak/>
              <w:t>de tranzacționare ale instituției; modelul trebuie, de asemenea, să surprindă diversificarea riscului legat de variațiile imperfect corelate ale diferitelor curbe de randament sau ale diferitelor instrumente financiare asupra aceluiași emitent-suport;</w:t>
            </w:r>
          </w:p>
          <w:p w14:paraId="3B1408E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7" w:tooltip="32024R1623: REPLACED" w:history="1">
              <w:r w:rsidR="008A3314" w:rsidRPr="00C011B2">
                <w:rPr>
                  <w:rStyle w:val="Hyperlink"/>
                  <w:rFonts w:ascii="Times New Roman" w:hAnsi="Times New Roman" w:cs="Times New Roman"/>
                  <w:b/>
                  <w:bCs/>
                  <w:lang w:val="ro-MD"/>
                </w:rPr>
                <w:t>▼M17</w:t>
              </w:r>
            </w:hyperlink>
          </w:p>
          <w:p w14:paraId="26EBDE3E" w14:textId="66F5AC2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modelul intern de măsurare a riscurilor încorporează factorii de risc corespunzători aurului și valutelor individuale în care sunt denominate pozițiile instituției; în cazul OPC-urilor, se iau în considerare pozițiile pe valută efective ale acestora; instituțiile se pot baza pe raportările terților privind poziția pe valută a unui OPC cu condiția asigurării în mod adecvat a corectitudinii acestor raportări;</w:t>
            </w:r>
          </w:p>
          <w:p w14:paraId="41B9C0C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8" w:tooltip="32019R0876: INSERTED" w:history="1">
              <w:r w:rsidR="008A3314" w:rsidRPr="00C011B2">
                <w:rPr>
                  <w:rStyle w:val="Hyperlink"/>
                  <w:rFonts w:ascii="Times New Roman" w:hAnsi="Times New Roman" w:cs="Times New Roman"/>
                  <w:b/>
                  <w:bCs/>
                  <w:lang w:val="ro-MD"/>
                </w:rPr>
                <w:t>▼M8</w:t>
              </w:r>
            </w:hyperlink>
          </w:p>
          <w:p w14:paraId="444926E3" w14:textId="178F13C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gradul de sofisticare al tehnicii de modelare este proporțional cu importanța activităților instituțiilor pe piețele de titluri de capital respective; modelul intern de măsurare a riscurilor utilizează un factor de risc distinct cel puțin pentru fiecare dintre piețele de titluri de capital pe care instituția deține poziții semnificative și cel puțin un factor de risc care reflectă variațiile sistemice ale prețurilor titlurilor de capital și dependența factorului de risc respectiv de factorii de risc individuali pentru fiecare piață de titluri de capital;</w:t>
            </w:r>
          </w:p>
          <w:p w14:paraId="6B224064" w14:textId="4F58AA6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(f) modelul intern de măsurare a riscurilor utilizează un factor de risc distinct cel puțin pentru fiecare marfă pe care instituția deține poziții semnificative, cu excepția cazului în care instituția deține o poziție agregată pe mărfuri de dimensiuni modeste în raport cu toate activitățile sale de tranzacționare; în acest caz, acesta poate utiliza un factor de risc distinct pentru fiecare tip general de mărfuri; în cazul expunerilor semnificative la piețele de mărfuri, modelul reflectă riscul variațiilor imperfect corelate între mărfuri care sunt similare, dar nu identice, expunerea la modificări ale prețurilor la termen rezultate din neconcordanțe de scadențe și randamentul de comoditate între pozițiile pe instrumente financiare derivate și pe numerar;</w:t>
            </w:r>
          </w:p>
          <w:p w14:paraId="3F5447B5" w14:textId="575ABED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 substituenții utilizați își dovedesc utilitatea printr-un istoric corespunzător pentru pozițiile reale deținute, sunt suficient de prudenți și sunt utilizați doar atunci când datele disponibile sunt insuficiente, cum ar fi în perioada de criză menționată la articolul 325bc alineatul (2) litera (c);</w:t>
            </w:r>
          </w:p>
          <w:p w14:paraId="52106E92" w14:textId="3C63AFC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(h) în cazul expunerilor semnificative la riscuri de volatilitate pe instrumente cu opționalitate, modelul intern de măsurare a riscurilor reflectă dependența volatilităților implicite în raport cu toate prețurile de exercitare și toate scadențele opțiunilor;</w:t>
            </w:r>
          </w:p>
          <w:p w14:paraId="5B6EBFA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29" w:tooltip="32024R1623: INSERTED" w:history="1">
              <w:r w:rsidR="008A3314" w:rsidRPr="00C011B2">
                <w:rPr>
                  <w:rStyle w:val="Hyperlink"/>
                  <w:rFonts w:ascii="Times New Roman" w:hAnsi="Times New Roman" w:cs="Times New Roman"/>
                  <w:b/>
                  <w:bCs/>
                  <w:lang w:val="ro-MD"/>
                </w:rPr>
                <w:t>▼M17</w:t>
              </w:r>
            </w:hyperlink>
          </w:p>
          <w:p w14:paraId="116206FF" w14:textId="071B464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pentru pozițiile pe OPC-uri, instituțiile aplică abordarea de tip </w:t>
            </w:r>
            <w:r w:rsidRPr="00C011B2">
              <w:rPr>
                <w:rFonts w:ascii="Times New Roman" w:hAnsi="Times New Roman" w:cs="Times New Roman"/>
                <w:i/>
                <w:iCs/>
                <w:color w:val="000000" w:themeColor="text1"/>
                <w:lang w:val="ro-MD"/>
              </w:rPr>
              <w:t>look-through</w:t>
            </w:r>
            <w:r w:rsidRPr="00C011B2">
              <w:rPr>
                <w:rFonts w:ascii="Times New Roman" w:hAnsi="Times New Roman" w:cs="Times New Roman"/>
                <w:color w:val="000000" w:themeColor="text1"/>
                <w:lang w:val="ro-MD"/>
              </w:rPr>
              <w:t> pozițiilor-suport ale OPC-urilor cel puțin o dată pe săptămână pentru a-și calcula cerințele de fonduri proprii în conformitate cu prezentul capitol; în cazul în care abordarea de tip look-through este efectuată săptămânal, instituțiile sunt în măsură să monitorizeze riscurile care rezultă din modificările semnificative ale compoziției OPC-ului; instituțiile care nu dispun de date de intrare sau de informații adecvate pentru a calcula cerințele de fonduri proprii pentru riscul de piață aferentă unei poziții pe un OPC în conformitate cu abordarea de tip </w:t>
            </w:r>
            <w:r w:rsidRPr="00C011B2">
              <w:rPr>
                <w:rFonts w:ascii="Times New Roman" w:hAnsi="Times New Roman" w:cs="Times New Roman"/>
                <w:i/>
                <w:iCs/>
                <w:color w:val="000000" w:themeColor="text1"/>
                <w:lang w:val="ro-MD"/>
              </w:rPr>
              <w:t>look-through</w:t>
            </w:r>
            <w:r w:rsidRPr="00C011B2">
              <w:rPr>
                <w:rFonts w:ascii="Times New Roman" w:hAnsi="Times New Roman" w:cs="Times New Roman"/>
                <w:color w:val="000000" w:themeColor="text1"/>
                <w:lang w:val="ro-MD"/>
              </w:rPr>
              <w:t> se pot baza pe o terță parte pentru a obține datele de intrare sau informațiile respective, dacă sunt îndeplinite toate condițiile următoare:</w:t>
            </w:r>
          </w:p>
          <w:p w14:paraId="0D42F916" w14:textId="415F842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partea terță este una dintre entitățile următoare:</w:t>
            </w:r>
          </w:p>
          <w:p w14:paraId="7135FCA5" w14:textId="5EF03CF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instituția depozitară sau instituția financiară depozitară a OPC-ului, cu condiția ca OPC-ul să investească exclusiv în titluri de valoare și să depoziteze toate titlurile de valoare la această instituție depozitară sau instituție financiară depozitară;</w:t>
            </w:r>
          </w:p>
          <w:p w14:paraId="509BB02D" w14:textId="1986586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societatea de administrare a OPC-ului, cu condiția să îndeplinească criteriile prevăzute la articolul 132 alineatul (3) litera (a);</w:t>
            </w:r>
          </w:p>
          <w:p w14:paraId="64515238" w14:textId="4B69163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un furnizor terț, cu condiția ca datele, informațiile sau indicatorii de risc să fie puși la dispoziție sau calculați de către părțile terțe menționate la punctul 1 sau 2 de la prezentul punct sau de către un alt furnizor terț de acest tip;</w:t>
            </w:r>
          </w:p>
          <w:p w14:paraId="198D0942" w14:textId="2E45EB8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partea terță furnizează instituției datele, informațiile sau indicatorii de risc pentru a calcula cerințele de fonduri proprii pentru riscul de piață aferentă poziției pe OPC în conformitate cu abordarea de tip </w:t>
            </w:r>
            <w:r w:rsidRPr="00C011B2">
              <w:rPr>
                <w:rFonts w:ascii="Times New Roman" w:hAnsi="Times New Roman" w:cs="Times New Roman"/>
                <w:i/>
                <w:iCs/>
                <w:color w:val="000000" w:themeColor="text1"/>
                <w:lang w:val="ro-MD"/>
              </w:rPr>
              <w:t>look-through</w:t>
            </w:r>
            <w:r w:rsidRPr="00C011B2">
              <w:rPr>
                <w:rFonts w:ascii="Times New Roman" w:hAnsi="Times New Roman" w:cs="Times New Roman"/>
                <w:color w:val="000000" w:themeColor="text1"/>
                <w:lang w:val="ro-MD"/>
              </w:rPr>
              <w:t> menționată la primul paragraf;</w:t>
            </w:r>
          </w:p>
          <w:p w14:paraId="26B412E8" w14:textId="7A0F0BD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un auditor extern al instituției a confirmat caracterul adecvat al datelor, al informațiilor sau al indicatorilor de risc de la partea terță menționați la punctul (ii) și autoritatea competentă a instituției are acces nerestricționat la aceste date, informații sau indicatori de risc la cerere;</w:t>
            </w:r>
          </w:p>
        </w:tc>
        <w:tc>
          <w:tcPr>
            <w:tcW w:w="1692" w:type="pct"/>
            <w:shd w:val="clear" w:color="auto" w:fill="auto"/>
          </w:tcPr>
          <w:p w14:paraId="2C906890" w14:textId="3999F691" w:rsidR="008A3314" w:rsidRPr="00C011B2" w:rsidRDefault="00652C99" w:rsidP="008A3314">
            <w:pPr>
              <w:spacing w:after="0" w:line="276" w:lineRule="auto"/>
              <w:jc w:val="both"/>
              <w:rPr>
                <w:rFonts w:ascii="Times New Roman" w:hAnsi="Times New Roman" w:cs="Times New Roman"/>
                <w:color w:val="000000" w:themeColor="text1"/>
                <w:lang w:val="ro-MD"/>
              </w:rPr>
            </w:pPr>
            <w:bookmarkStart w:id="378" w:name="_Hlk224129363"/>
            <w:r w:rsidRPr="00C011B2">
              <w:rPr>
                <w:rFonts w:ascii="Times New Roman" w:hAnsi="Times New Roman" w:cs="Times New Roman"/>
                <w:color w:val="000000" w:themeColor="text1"/>
                <w:lang w:val="ro-MD"/>
              </w:rPr>
              <w:lastRenderedPageBreak/>
              <w:t>380.</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care utilizează un model intern de măsurare a riscurilor folosit la calcularea cerințelor de fonduri proprii pentru riscul de piață, astfel cum sunt menționate la </w:t>
            </w:r>
            <w:r w:rsidRPr="00C011B2">
              <w:rPr>
                <w:rFonts w:ascii="Times New Roman" w:hAnsi="Times New Roman" w:cs="Times New Roman"/>
                <w:color w:val="000000" w:themeColor="text1"/>
                <w:lang w:val="ro-MD"/>
              </w:rPr>
              <w:t>sec</w:t>
            </w:r>
            <w:r w:rsidR="007116E1" w:rsidRPr="00C011B2">
              <w:rPr>
                <w:rFonts w:ascii="Times New Roman" w:hAnsi="Times New Roman" w:cs="Times New Roman"/>
                <w:color w:val="000000" w:themeColor="text1"/>
                <w:lang w:val="ro-MD"/>
              </w:rPr>
              <w:t>ț</w:t>
            </w:r>
            <w:r w:rsidRPr="00C011B2">
              <w:rPr>
                <w:rFonts w:ascii="Times New Roman" w:hAnsi="Times New Roman" w:cs="Times New Roman"/>
                <w:color w:val="000000" w:themeColor="text1"/>
                <w:lang w:val="ro-MD"/>
              </w:rPr>
              <w:t>iunea 1, subsecțiunea 2</w:t>
            </w:r>
            <w:r w:rsidR="008A3314" w:rsidRPr="00C011B2">
              <w:rPr>
                <w:rFonts w:ascii="Times New Roman" w:hAnsi="Times New Roman" w:cs="Times New Roman"/>
                <w:color w:val="000000" w:themeColor="text1"/>
                <w:lang w:val="ro-MD"/>
              </w:rPr>
              <w:t>, se asigură că respectivul model respectă cumulativ următoarele cerințe:</w:t>
            </w:r>
          </w:p>
          <w:p w14:paraId="3B0838C6" w14:textId="31B809AC" w:rsidR="008A3314" w:rsidRPr="00C011B2" w:rsidRDefault="00652C9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380.1.</w:t>
            </w:r>
            <w:r w:rsidR="008A3314" w:rsidRPr="00C011B2">
              <w:rPr>
                <w:rFonts w:ascii="Times New Roman" w:hAnsi="Times New Roman" w:cs="Times New Roman"/>
                <w:color w:val="000000" w:themeColor="text1"/>
                <w:lang w:val="ro-MD"/>
              </w:rPr>
              <w:t> modelul intern de măsurare a riscurilor reflectă un număr suficient de factori de risc, care cuprind cel puțin factorii de risc menționați în secțiunea 3 subsecțiunea 1 din capitolul </w:t>
            </w:r>
            <w:r w:rsidRPr="00C011B2">
              <w:rPr>
                <w:rFonts w:ascii="Times New Roman" w:hAnsi="Times New Roman" w:cs="Times New Roman"/>
                <w:color w:val="000000" w:themeColor="text1"/>
                <w:lang w:val="ro-MD"/>
              </w:rPr>
              <w:t>II</w:t>
            </w:r>
            <w:r w:rsidR="008A3314" w:rsidRPr="00C011B2">
              <w:rPr>
                <w:rFonts w:ascii="Times New Roman" w:hAnsi="Times New Roman" w:cs="Times New Roman"/>
                <w:color w:val="000000" w:themeColor="text1"/>
                <w:lang w:val="ro-MD"/>
              </w:rPr>
              <w:t xml:space="preserve">, cu excepția cazului în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demonstrează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că omiterea acestor factori de risc nu </w:t>
            </w:r>
            <w:r w:rsidR="008A3314" w:rsidRPr="00C011B2">
              <w:rPr>
                <w:rFonts w:ascii="Times New Roman" w:hAnsi="Times New Roman" w:cs="Times New Roman"/>
                <w:color w:val="000000" w:themeColor="text1"/>
                <w:lang w:val="ro-MD"/>
              </w:rPr>
              <w:lastRenderedPageBreak/>
              <w:t xml:space="preserve">are un impact semnificativ asupra rezultatelor cerinței privind atribuirea profitului și a pierderii menționate la </w:t>
            </w:r>
            <w:r w:rsidRPr="00C011B2">
              <w:rPr>
                <w:rFonts w:ascii="Times New Roman" w:hAnsi="Times New Roman" w:cs="Times New Roman"/>
                <w:color w:val="000000" w:themeColor="text1"/>
                <w:lang w:val="ro-MD"/>
              </w:rPr>
              <w:t>subsecțiunea 6</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este în măsură să explice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motivele pentru care a încorporat un anumit factor de risc în modelul său de evaluare, dar nu și în modelul intern de măsurare a riscurilor;</w:t>
            </w:r>
          </w:p>
          <w:p w14:paraId="4576E350" w14:textId="7C57DD01" w:rsidR="008A3314" w:rsidRPr="00C011B2" w:rsidRDefault="00652C9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380.2.</w:t>
            </w:r>
            <w:r w:rsidR="008A3314" w:rsidRPr="00C011B2">
              <w:rPr>
                <w:rFonts w:ascii="Times New Roman" w:hAnsi="Times New Roman" w:cs="Times New Roman"/>
                <w:color w:val="000000" w:themeColor="text1"/>
                <w:lang w:val="ro-MD"/>
              </w:rPr>
              <w:t> modelul intern de măsurare a riscurilor surprinde caracterul neliniar al opțiunilor și al altor produse, precum și riscul de corelație și riscul de bază;</w:t>
            </w:r>
          </w:p>
          <w:p w14:paraId="7CFB56AA" w14:textId="2BC3F465" w:rsidR="008A3314" w:rsidRPr="00C011B2" w:rsidRDefault="00652C9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380.3.</w:t>
            </w:r>
            <w:r w:rsidR="008A3314" w:rsidRPr="00C011B2">
              <w:rPr>
                <w:rFonts w:ascii="Times New Roman" w:hAnsi="Times New Roman" w:cs="Times New Roman"/>
                <w:color w:val="000000" w:themeColor="text1"/>
                <w:lang w:val="ro-MD"/>
              </w:rPr>
              <w:t xml:space="preserve"> modelul intern de măsurare a riscurilor încorporează un set de factori de risc corespunzători ratelor dobânzii pentru fiecare monedă în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înregistrează poziții bilanțiere sau extrabilanțiere sensibile la rata dobânzii;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modelează curbele de randament folosind una dintre abordările general acceptate; curba de randament este divizată în diferite benzi de scadență pentru a surprinde variațiile volatilității ratelor de-a lungul curbei de randament; pentru expunerile semnificative la riscul de rată a dobânzii în monede și pe piețe importante, curba de randament trebuie modelată cu ajutorul a minimum șase benzi de scadență, iar numărul de factori de risc utilizați pentru a modela curba de randament trebuie să fie proporțional cu natura și complexitatea strategiilor de tranzacționare ale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xml:space="preserve">; modelul trebuie, de asemenea, să surprindă diversificarea riscului legat de variațiile </w:t>
            </w:r>
            <w:r w:rsidR="008A3314" w:rsidRPr="00C011B2">
              <w:rPr>
                <w:rFonts w:ascii="Times New Roman" w:hAnsi="Times New Roman" w:cs="Times New Roman"/>
                <w:color w:val="000000" w:themeColor="text1"/>
                <w:lang w:val="ro-MD"/>
              </w:rPr>
              <w:lastRenderedPageBreak/>
              <w:t>imperfect corelate ale diferitelor curbe de randament sau ale diferitelor instrumente financiare asupra aceluiași emitent-suport;</w:t>
            </w:r>
          </w:p>
          <w:p w14:paraId="082FA788" w14:textId="7C782237" w:rsidR="008A3314" w:rsidRPr="00C011B2" w:rsidRDefault="00652C9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380.4.</w:t>
            </w:r>
            <w:r w:rsidR="008A3314" w:rsidRPr="00C011B2">
              <w:rPr>
                <w:rFonts w:ascii="Times New Roman" w:hAnsi="Times New Roman" w:cs="Times New Roman"/>
                <w:color w:val="000000" w:themeColor="text1"/>
                <w:lang w:val="ro-MD"/>
              </w:rPr>
              <w:t xml:space="preserve"> modelul intern de măsurare a riscurilor încorporează factorii de risc corespunzători aurului și valutelor individuale în care sunt denominate pozițiile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xml:space="preserve">; în cazul OPC-urilor, se iau în considerare pozițiile pe valută efective ale acestora;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se pot baza pe raportările terților privind poziția pe valută a unui OPC cu condiția asigurării în mod adecvat a corectitudinii acestor raportări;</w:t>
            </w:r>
          </w:p>
          <w:p w14:paraId="13FFB15B" w14:textId="7E500265" w:rsidR="008A3314" w:rsidRPr="00C011B2" w:rsidRDefault="00825FC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380.5.</w:t>
            </w:r>
            <w:r w:rsidR="008A3314" w:rsidRPr="00C011B2">
              <w:rPr>
                <w:rFonts w:ascii="Times New Roman" w:hAnsi="Times New Roman" w:cs="Times New Roman"/>
                <w:color w:val="000000" w:themeColor="text1"/>
                <w:lang w:val="ro-MD"/>
              </w:rPr>
              <w:t xml:space="preserve"> gradul de sofisticare al tehnicii de modelare este proporțional cu importanța activităților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pe piețele de titluri de capital respective; modelul intern de măsurare a riscurilor utilizează un factor de risc distinct cel puțin pentru fiecare dintre piețele de titluri de capital pe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deține poziții semnificative și cel puțin un factor de risc care reflectă variațiile sistemice ale prețurilor titlurilor de capital și dependența factorului de risc respectiv de factorii de risc individuali pentru fiecare piață de titluri de capital;</w:t>
            </w:r>
          </w:p>
          <w:p w14:paraId="53439C1E" w14:textId="0F89D951" w:rsidR="008A3314" w:rsidRPr="00C011B2" w:rsidRDefault="00825FC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380.6.</w:t>
            </w:r>
            <w:r w:rsidR="008A3314" w:rsidRPr="00C011B2">
              <w:rPr>
                <w:rFonts w:ascii="Times New Roman" w:hAnsi="Times New Roman" w:cs="Times New Roman"/>
                <w:color w:val="000000" w:themeColor="text1"/>
                <w:lang w:val="ro-MD"/>
              </w:rPr>
              <w:t xml:space="preserve"> modelul intern de măsurare a riscurilor utilizează un factor de risc distinct cel puțin pentru fiecare marfă pe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deține poziții semnificative, cu excepția cazului în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deține o poziție agregată pe mărfuri de </w:t>
            </w:r>
            <w:r w:rsidR="008A3314" w:rsidRPr="00C011B2">
              <w:rPr>
                <w:rFonts w:ascii="Times New Roman" w:hAnsi="Times New Roman" w:cs="Times New Roman"/>
                <w:color w:val="000000" w:themeColor="text1"/>
                <w:lang w:val="ro-MD"/>
              </w:rPr>
              <w:lastRenderedPageBreak/>
              <w:t>dimensiuni modeste în raport cu toate activitățile sale de tranzacționare; în acest caz, acesta poate utiliza un factor de risc distinct pentru fiecare tip general de mărfuri; în cazul expunerilor semnificative la piețele de mărfuri, modelul reflectă riscul variațiilor imperfect corelate între mărfuri care sunt similare, dar nu identice, expunerea la modificări ale prețurilor la termen rezultate din neconcordanțe de scadențe și randamentul de comoditate între pozițiile pe instrumente financiare derivate și pe numerar;</w:t>
            </w:r>
          </w:p>
          <w:p w14:paraId="63C8FD3E" w14:textId="05942A20" w:rsidR="008A3314" w:rsidRPr="00C011B2" w:rsidRDefault="00825FC8" w:rsidP="008A3314">
            <w:pPr>
              <w:spacing w:after="0" w:line="276" w:lineRule="auto"/>
              <w:jc w:val="both"/>
              <w:rPr>
                <w:rFonts w:ascii="Times New Roman" w:hAnsi="Times New Roman" w:cs="Times New Roman"/>
                <w:color w:val="000000" w:themeColor="text1"/>
                <w:lang w:val="ro-MD"/>
              </w:rPr>
            </w:pPr>
            <w:bookmarkStart w:id="379" w:name="_Hlk224129404"/>
            <w:bookmarkEnd w:id="378"/>
            <w:r w:rsidRPr="00C011B2">
              <w:rPr>
                <w:rFonts w:ascii="Times New Roman" w:hAnsi="Times New Roman" w:cs="Times New Roman"/>
                <w:color w:val="000000" w:themeColor="text1"/>
                <w:lang w:val="ro-MD"/>
              </w:rPr>
              <w:t>380.7.</w:t>
            </w:r>
            <w:r w:rsidR="008A3314" w:rsidRPr="00C011B2">
              <w:rPr>
                <w:rFonts w:ascii="Times New Roman" w:hAnsi="Times New Roman" w:cs="Times New Roman"/>
                <w:color w:val="000000" w:themeColor="text1"/>
                <w:lang w:val="ro-MD"/>
              </w:rPr>
              <w:t xml:space="preserve"> substituenții utilizați își dovedesc utilitatea printr-un istoric corespunzător pentru pozițiile reale deținute, sunt suficient de prudenți și sunt utilizați doar atunci când datele disponibile sunt insuficiente, cum ar fi în perioada de criză menționată la </w:t>
            </w:r>
            <w:r w:rsidR="00E43D4C" w:rsidRPr="00C011B2">
              <w:rPr>
                <w:rFonts w:ascii="Times New Roman" w:hAnsi="Times New Roman" w:cs="Times New Roman"/>
                <w:color w:val="000000" w:themeColor="text1"/>
                <w:lang w:val="ro-MD"/>
              </w:rPr>
              <w:t>subpct.349.3</w:t>
            </w:r>
            <w:r w:rsidR="008A3314" w:rsidRPr="00C011B2">
              <w:rPr>
                <w:rFonts w:ascii="Times New Roman" w:hAnsi="Times New Roman" w:cs="Times New Roman"/>
                <w:color w:val="000000" w:themeColor="text1"/>
                <w:lang w:val="ro-MD"/>
              </w:rPr>
              <w:t>;</w:t>
            </w:r>
          </w:p>
          <w:p w14:paraId="30A82544" w14:textId="2020B56A" w:rsidR="008A3314" w:rsidRPr="00C011B2" w:rsidRDefault="00825FC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380.8.</w:t>
            </w:r>
            <w:r w:rsidR="008A3314" w:rsidRPr="00C011B2">
              <w:rPr>
                <w:rFonts w:ascii="Times New Roman" w:hAnsi="Times New Roman" w:cs="Times New Roman"/>
                <w:color w:val="000000" w:themeColor="text1"/>
                <w:lang w:val="ro-MD"/>
              </w:rPr>
              <w:t> în cazul expunerilor semnificative la riscuri de volatilitate pe instrumente cu opționalitate, modelul intern de măsurare a riscurilor reflectă dependența volatilităților implicite în raport cu toate prețurile de exercitare și toate scadențele opțiunilor;</w:t>
            </w:r>
          </w:p>
          <w:p w14:paraId="4EC5A704" w14:textId="64D90CBE" w:rsidR="008A3314" w:rsidRPr="00C011B2" w:rsidRDefault="00825FC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380.9.</w:t>
            </w:r>
            <w:r w:rsidR="008A3314" w:rsidRPr="00C011B2">
              <w:rPr>
                <w:rFonts w:ascii="Times New Roman" w:hAnsi="Times New Roman" w:cs="Times New Roman"/>
                <w:color w:val="000000" w:themeColor="text1"/>
                <w:lang w:val="ro-MD"/>
              </w:rPr>
              <w:t xml:space="preserve"> pentru pozițiile pe OPC-uri,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aplică abordarea de tip </w:t>
            </w:r>
            <w:r w:rsidR="008A3314" w:rsidRPr="00C011B2">
              <w:rPr>
                <w:rFonts w:ascii="Times New Roman" w:hAnsi="Times New Roman" w:cs="Times New Roman"/>
                <w:i/>
                <w:iCs/>
                <w:color w:val="000000" w:themeColor="text1"/>
                <w:lang w:val="ro-MD"/>
              </w:rPr>
              <w:t>look-through</w:t>
            </w:r>
            <w:r w:rsidR="008A3314" w:rsidRPr="00C011B2">
              <w:rPr>
                <w:rFonts w:ascii="Times New Roman" w:hAnsi="Times New Roman" w:cs="Times New Roman"/>
                <w:color w:val="000000" w:themeColor="text1"/>
                <w:lang w:val="ro-MD"/>
              </w:rPr>
              <w:t xml:space="preserve"> pozițiilor-suport ale OPC-urilor cel puțin o dată pe săptămână pentru a-și calcula cerințele de fonduri proprii în conformitate cu prezentul capitol; în cazul în care abordarea de tip look-through este </w:t>
            </w:r>
            <w:r w:rsidR="008A3314" w:rsidRPr="00C011B2">
              <w:rPr>
                <w:rFonts w:ascii="Times New Roman" w:hAnsi="Times New Roman" w:cs="Times New Roman"/>
                <w:color w:val="000000" w:themeColor="text1"/>
                <w:lang w:val="ro-MD"/>
              </w:rPr>
              <w:lastRenderedPageBreak/>
              <w:t xml:space="preserve">efectuată săptămânal,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sunt în măsură să monitorizeze riscurile care rezultă din modificările semnificative ale compoziției OPC-ului;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care nu dispun de date de intrare sau de informații adecvate pentru a calcula cerințele de fonduri proprii pentru riscul de piață aferentă unei poziții pe un OPC în conformitate cu abordarea de tip </w:t>
            </w:r>
            <w:r w:rsidR="008A3314" w:rsidRPr="00C011B2">
              <w:rPr>
                <w:rFonts w:ascii="Times New Roman" w:hAnsi="Times New Roman" w:cs="Times New Roman"/>
                <w:i/>
                <w:iCs/>
                <w:color w:val="000000" w:themeColor="text1"/>
                <w:lang w:val="ro-MD"/>
              </w:rPr>
              <w:t>look-through</w:t>
            </w:r>
            <w:r w:rsidR="008A3314" w:rsidRPr="00C011B2">
              <w:rPr>
                <w:rFonts w:ascii="Times New Roman" w:hAnsi="Times New Roman" w:cs="Times New Roman"/>
                <w:color w:val="000000" w:themeColor="text1"/>
                <w:lang w:val="ro-MD"/>
              </w:rPr>
              <w:t> se pot baza pe o terță parte pentru a obține datele de intrare sau informațiile respective, dacă sunt îndeplinite toate condițiile următoare:</w:t>
            </w:r>
          </w:p>
          <w:p w14:paraId="0FA5171A" w14:textId="75CACB8F" w:rsidR="008A3314" w:rsidRPr="00C011B2" w:rsidRDefault="00825FC8" w:rsidP="008A3314">
            <w:pPr>
              <w:spacing w:after="0" w:line="276" w:lineRule="auto"/>
              <w:jc w:val="both"/>
              <w:rPr>
                <w:rFonts w:ascii="Times New Roman" w:hAnsi="Times New Roman" w:cs="Times New Roman"/>
                <w:color w:val="000000" w:themeColor="text1"/>
                <w:lang w:val="ro-MD"/>
              </w:rPr>
            </w:pPr>
            <w:bookmarkStart w:id="380" w:name="_Hlk225318787"/>
            <w:r w:rsidRPr="00C011B2">
              <w:rPr>
                <w:rFonts w:ascii="Times New Roman" w:hAnsi="Times New Roman" w:cs="Times New Roman"/>
                <w:color w:val="000000" w:themeColor="text1"/>
                <w:lang w:val="ro-MD"/>
              </w:rPr>
              <w:t>380.9.1.</w:t>
            </w:r>
            <w:r w:rsidR="008A3314" w:rsidRPr="00C011B2">
              <w:rPr>
                <w:rFonts w:ascii="Times New Roman" w:hAnsi="Times New Roman" w:cs="Times New Roman"/>
                <w:color w:val="000000" w:themeColor="text1"/>
                <w:lang w:val="ro-MD"/>
              </w:rPr>
              <w:t> partea terță este una dintre entitățile următoare:</w:t>
            </w:r>
          </w:p>
          <w:p w14:paraId="4B740155" w14:textId="384C6D98" w:rsidR="008A3314" w:rsidRPr="00C011B2" w:rsidRDefault="00825FC8"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380.9.1.</w:t>
            </w:r>
            <w:r w:rsidR="008A3314" w:rsidRPr="00C011B2">
              <w:rPr>
                <w:rFonts w:ascii="Times New Roman" w:hAnsi="Times New Roman" w:cs="Times New Roman"/>
                <w:color w:val="000000" w:themeColor="text1"/>
                <w:lang w:val="ro-MD"/>
              </w:rPr>
              <w:t xml:space="preserve">1.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depozitară sau instituția financiară depozitară a OPC-ului, cu condiția ca OPC-ul să investească exclusiv în titluri de valoare și să depoziteze toate titlurile de valoare la această </w:t>
            </w:r>
            <w:r w:rsidR="00FB716B" w:rsidRPr="00C011B2">
              <w:rPr>
                <w:rFonts w:ascii="Times New Roman" w:hAnsi="Times New Roman" w:cs="Times New Roman"/>
                <w:color w:val="000000" w:themeColor="text1"/>
                <w:lang w:val="ro-MD"/>
              </w:rPr>
              <w:t>bancă</w:t>
            </w:r>
            <w:r w:rsidR="008A3314" w:rsidRPr="00C011B2">
              <w:rPr>
                <w:rFonts w:ascii="Times New Roman" w:hAnsi="Times New Roman" w:cs="Times New Roman"/>
                <w:color w:val="000000" w:themeColor="text1"/>
                <w:lang w:val="ro-MD"/>
              </w:rPr>
              <w:t xml:space="preserve"> sau instituție financiară depozitară;</w:t>
            </w:r>
          </w:p>
          <w:bookmarkEnd w:id="380"/>
          <w:p w14:paraId="3C63FF42" w14:textId="67152B85" w:rsidR="008A3314" w:rsidRPr="00C011B2" w:rsidRDefault="00F9360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380.9.1.</w:t>
            </w:r>
            <w:r w:rsidR="008A3314" w:rsidRPr="00C011B2">
              <w:rPr>
                <w:rFonts w:ascii="Times New Roman" w:hAnsi="Times New Roman" w:cs="Times New Roman"/>
                <w:color w:val="000000" w:themeColor="text1"/>
                <w:lang w:val="ro-MD"/>
              </w:rPr>
              <w:t xml:space="preserve">2. societatea de administrare a OPC-ului, cu condiția să îndeplinească criteriile prevăzute la </w:t>
            </w:r>
            <w:r w:rsidR="00E33BC6" w:rsidRPr="00C011B2">
              <w:rPr>
                <w:rFonts w:ascii="Times New Roman" w:hAnsi="Times New Roman" w:cs="Times New Roman"/>
                <w:color w:val="000000" w:themeColor="text1"/>
                <w:lang w:val="ro-MD"/>
              </w:rPr>
              <w:t>pct.82</w:t>
            </w:r>
            <w:r w:rsidR="00E33BC6" w:rsidRPr="00C011B2">
              <w:rPr>
                <w:rFonts w:ascii="Times New Roman" w:hAnsi="Times New Roman" w:cs="Times New Roman"/>
                <w:color w:val="000000" w:themeColor="text1"/>
                <w:vertAlign w:val="superscript"/>
                <w:lang w:val="ro-MD"/>
              </w:rPr>
              <w:t>4</w:t>
            </w:r>
            <w:r w:rsidR="00E33BC6" w:rsidRPr="00C011B2">
              <w:rPr>
                <w:rFonts w:ascii="Times New Roman" w:hAnsi="Times New Roman" w:cs="Times New Roman"/>
                <w:color w:val="000000" w:themeColor="text1"/>
                <w:lang w:val="ro-MD"/>
              </w:rPr>
              <w:t xml:space="preserve"> subpct.1) din Regulamentul nr.113/2018 </w:t>
            </w:r>
            <w:r w:rsidR="008A3314" w:rsidRPr="00C011B2">
              <w:rPr>
                <w:rFonts w:ascii="Times New Roman" w:hAnsi="Times New Roman" w:cs="Times New Roman"/>
                <w:color w:val="000000" w:themeColor="text1"/>
                <w:lang w:val="ro-MD"/>
              </w:rPr>
              <w:t>;</w:t>
            </w:r>
          </w:p>
          <w:p w14:paraId="63445799" w14:textId="7C30F6DC" w:rsidR="008A3314" w:rsidRPr="00C011B2" w:rsidRDefault="00F9360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380.9.1.</w:t>
            </w:r>
            <w:r w:rsidR="008A3314" w:rsidRPr="00C011B2">
              <w:rPr>
                <w:rFonts w:ascii="Times New Roman" w:hAnsi="Times New Roman" w:cs="Times New Roman"/>
                <w:color w:val="000000" w:themeColor="text1"/>
                <w:lang w:val="ro-MD"/>
              </w:rPr>
              <w:t xml:space="preserve">3. un furnizor terț, cu condiția ca datele, informațiile sau indicatorii de risc să fie puși la dispoziție sau calculați de către părțile terțe menționate la </w:t>
            </w:r>
            <w:r w:rsidR="00E33BC6" w:rsidRPr="00C011B2">
              <w:rPr>
                <w:rFonts w:ascii="Times New Roman" w:hAnsi="Times New Roman" w:cs="Times New Roman"/>
                <w:color w:val="000000" w:themeColor="text1"/>
                <w:lang w:val="ro-MD"/>
              </w:rPr>
              <w:t>subpct.</w:t>
            </w:r>
            <w:r w:rsidR="008A3314" w:rsidRPr="00C011B2">
              <w:rPr>
                <w:rFonts w:ascii="Times New Roman" w:hAnsi="Times New Roman" w:cs="Times New Roman"/>
                <w:color w:val="000000" w:themeColor="text1"/>
                <w:lang w:val="ro-MD"/>
              </w:rPr>
              <w:t xml:space="preserve"> </w:t>
            </w:r>
            <w:r w:rsidR="00E33BC6" w:rsidRPr="00C011B2">
              <w:rPr>
                <w:rFonts w:ascii="Times New Roman" w:hAnsi="Times New Roman" w:cs="Times New Roman"/>
                <w:color w:val="000000" w:themeColor="text1"/>
                <w:lang w:val="ro-MD"/>
              </w:rPr>
              <w:t xml:space="preserve">380.9.1.1  </w:t>
            </w:r>
            <w:r w:rsidR="008A3314" w:rsidRPr="00C011B2">
              <w:rPr>
                <w:rFonts w:ascii="Times New Roman" w:hAnsi="Times New Roman" w:cs="Times New Roman"/>
                <w:color w:val="000000" w:themeColor="text1"/>
                <w:lang w:val="ro-MD"/>
              </w:rPr>
              <w:t xml:space="preserve">sau </w:t>
            </w:r>
            <w:r w:rsidR="00E33BC6" w:rsidRPr="00C011B2">
              <w:rPr>
                <w:rFonts w:ascii="Times New Roman" w:hAnsi="Times New Roman" w:cs="Times New Roman"/>
                <w:color w:val="000000" w:themeColor="text1"/>
                <w:lang w:val="ro-MD"/>
              </w:rPr>
              <w:t xml:space="preserve">380.9.1.2 </w:t>
            </w:r>
            <w:r w:rsidR="008A3314" w:rsidRPr="00C011B2">
              <w:rPr>
                <w:rFonts w:ascii="Times New Roman" w:hAnsi="Times New Roman" w:cs="Times New Roman"/>
                <w:color w:val="000000" w:themeColor="text1"/>
                <w:lang w:val="ro-MD"/>
              </w:rPr>
              <w:t>sau de către un alt furnizor terț de acest tip;</w:t>
            </w:r>
          </w:p>
          <w:p w14:paraId="4FE17381" w14:textId="4A5EC4DC" w:rsidR="008A3314" w:rsidRPr="00C011B2" w:rsidRDefault="007116E1"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380.9.2.</w:t>
            </w:r>
            <w:r w:rsidR="008A3314" w:rsidRPr="00C011B2">
              <w:rPr>
                <w:rFonts w:ascii="Times New Roman" w:hAnsi="Times New Roman" w:cs="Times New Roman"/>
                <w:color w:val="000000" w:themeColor="text1"/>
                <w:lang w:val="ro-MD"/>
              </w:rPr>
              <w:t xml:space="preserve"> partea terță furnizează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datele, informațiile sau indicatorii de risc pentru a calcula cerințele de fonduri proprii pentru riscul de piață aferentă poziției pe OPC în conformitate cu abordarea de tip </w:t>
            </w:r>
            <w:r w:rsidR="008A3314" w:rsidRPr="00C011B2">
              <w:rPr>
                <w:rFonts w:ascii="Times New Roman" w:hAnsi="Times New Roman" w:cs="Times New Roman"/>
                <w:i/>
                <w:iCs/>
                <w:color w:val="000000" w:themeColor="text1"/>
                <w:lang w:val="ro-MD"/>
              </w:rPr>
              <w:t>look-through</w:t>
            </w:r>
            <w:r w:rsidR="008A3314" w:rsidRPr="00C011B2">
              <w:rPr>
                <w:rFonts w:ascii="Times New Roman" w:hAnsi="Times New Roman" w:cs="Times New Roman"/>
                <w:color w:val="000000" w:themeColor="text1"/>
                <w:lang w:val="ro-MD"/>
              </w:rPr>
              <w:t xml:space="preserve"> menționată la </w:t>
            </w:r>
            <w:r w:rsidRPr="00C011B2">
              <w:rPr>
                <w:rFonts w:ascii="Times New Roman" w:hAnsi="Times New Roman" w:cs="Times New Roman"/>
                <w:color w:val="000000" w:themeColor="text1"/>
                <w:lang w:val="ro-MD"/>
              </w:rPr>
              <w:t>subpct.380.9</w:t>
            </w:r>
            <w:r w:rsidR="008A3314" w:rsidRPr="00C011B2">
              <w:rPr>
                <w:rFonts w:ascii="Times New Roman" w:hAnsi="Times New Roman" w:cs="Times New Roman"/>
                <w:color w:val="000000" w:themeColor="text1"/>
                <w:lang w:val="ro-MD"/>
              </w:rPr>
              <w:t>;</w:t>
            </w:r>
          </w:p>
          <w:p w14:paraId="6546250C" w14:textId="6D024F27" w:rsidR="008A3314" w:rsidRPr="00C011B2" w:rsidRDefault="007116E1"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380.9.3.</w:t>
            </w:r>
            <w:r w:rsidR="008A3314" w:rsidRPr="00C011B2">
              <w:rPr>
                <w:rFonts w:ascii="Times New Roman" w:hAnsi="Times New Roman" w:cs="Times New Roman"/>
                <w:color w:val="000000" w:themeColor="text1"/>
                <w:lang w:val="ro-MD"/>
              </w:rPr>
              <w:t xml:space="preserve"> un auditor extern al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a confirmat caracterul adecvat al datelor, al informațiilor sau al indicatorilor de risc de la partea terță menționați la </w:t>
            </w:r>
            <w:r w:rsidRPr="00C011B2">
              <w:rPr>
                <w:rFonts w:ascii="Times New Roman" w:hAnsi="Times New Roman" w:cs="Times New Roman"/>
                <w:color w:val="000000" w:themeColor="text1"/>
                <w:lang w:val="ro-MD"/>
              </w:rPr>
              <w:t>subpct.380.9.2</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are acces nerestricționat la aceste date, informații sau indicatori de risc la cerere;</w:t>
            </w:r>
            <w:bookmarkEnd w:id="379"/>
          </w:p>
        </w:tc>
        <w:tc>
          <w:tcPr>
            <w:tcW w:w="450" w:type="pct"/>
          </w:tcPr>
          <w:p w14:paraId="4F08243C" w14:textId="0F745C05"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662FAB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10F4C1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6D36DF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0" w:tooltip="32024R1623: REPLACED" w:history="1">
              <w:r w:rsidR="008A3314" w:rsidRPr="00C011B2">
                <w:rPr>
                  <w:rStyle w:val="Hyperlink"/>
                  <w:rFonts w:ascii="Times New Roman" w:hAnsi="Times New Roman" w:cs="Times New Roman"/>
                  <w:b/>
                  <w:bCs/>
                  <w:lang w:val="ro-MD"/>
                </w:rPr>
                <w:t>▼M17</w:t>
              </w:r>
            </w:hyperlink>
          </w:p>
          <w:p w14:paraId="3579B7B0" w14:textId="54BE046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pot utiliza corelații empirice în cadrul categoriilor generale de factori de risc și, în scopul calculării măsurii valorii la risc condiționate nerestricționate UES</w:t>
            </w:r>
            <w:r w:rsidRPr="00C011B2">
              <w:rPr>
                <w:rFonts w:ascii="Times New Roman" w:hAnsi="Times New Roman" w:cs="Times New Roman"/>
                <w:color w:val="000000" w:themeColor="text1"/>
                <w:vertAlign w:val="subscript"/>
                <w:lang w:val="ro-MD"/>
              </w:rPr>
              <w:t>t</w:t>
            </w:r>
            <w:r w:rsidRPr="00C011B2">
              <w:rPr>
                <w:rFonts w:ascii="Times New Roman" w:hAnsi="Times New Roman" w:cs="Times New Roman"/>
                <w:color w:val="000000" w:themeColor="text1"/>
                <w:lang w:val="ro-MD"/>
              </w:rPr>
              <w:t xml:space="preserve"> menționate la articolul 325bb alineatul (1), în raport cu toate categoriile generale de factori de risc numai dacă abordarea instituției cu privire la măsurarea corelațiilor respective este judicioasă, consecventă fie cu orizonturile de </w:t>
            </w:r>
            <w:r w:rsidRPr="00C011B2">
              <w:rPr>
                <w:rFonts w:ascii="Times New Roman" w:hAnsi="Times New Roman" w:cs="Times New Roman"/>
                <w:color w:val="000000" w:themeColor="text1"/>
                <w:lang w:val="ro-MD"/>
              </w:rPr>
              <w:lastRenderedPageBreak/>
              <w:t>lichiditate aplicabile, fie, în măsură satisfăcătoare pentru autoritatea competentă, cu orizontul de timp de bază de 10 zile prevăzut la articolul 325bc alineatul (1), și implementată cu integritate.</w:t>
            </w:r>
          </w:p>
          <w:p w14:paraId="0C30C41B" w14:textId="18BCD498" w:rsidR="008A3314" w:rsidRPr="00C011B2" w:rsidRDefault="00FA7D23" w:rsidP="008A3314">
            <w:pPr>
              <w:spacing w:after="0" w:line="276" w:lineRule="auto"/>
              <w:jc w:val="both"/>
              <w:rPr>
                <w:rFonts w:ascii="Times New Roman" w:hAnsi="Times New Roman" w:cs="Times New Roman"/>
                <w:color w:val="000000" w:themeColor="text1"/>
                <w:lang w:val="ro-MD"/>
              </w:rPr>
            </w:pPr>
            <w:hyperlink r:id="rId231" w:tooltip="32024R1623: DELETED" w:history="1">
              <w:r w:rsidR="008A3314" w:rsidRPr="00C011B2">
                <w:rPr>
                  <w:rStyle w:val="Hyperlink"/>
                  <w:rFonts w:ascii="Times New Roman" w:hAnsi="Times New Roman" w:cs="Times New Roman"/>
                  <w:b/>
                  <w:bCs/>
                  <w:lang w:val="ro-MD"/>
                </w:rPr>
                <w:t>▼M17</w:t>
              </w:r>
            </w:hyperlink>
            <w:r w:rsidR="008A3314" w:rsidRPr="00C011B2">
              <w:rPr>
                <w:rFonts w:ascii="Times New Roman" w:hAnsi="Times New Roman" w:cs="Times New Roman"/>
                <w:b/>
                <w:bCs/>
                <w:color w:val="000000" w:themeColor="text1"/>
                <w:lang w:val="ro-MD"/>
              </w:rPr>
              <w:t> —————</w:t>
            </w:r>
          </w:p>
        </w:tc>
        <w:tc>
          <w:tcPr>
            <w:tcW w:w="1692" w:type="pct"/>
            <w:shd w:val="clear" w:color="auto" w:fill="auto"/>
          </w:tcPr>
          <w:p w14:paraId="1973F5F1" w14:textId="35B10903" w:rsidR="008A3314" w:rsidRPr="00C011B2" w:rsidRDefault="007116E1" w:rsidP="008A3314">
            <w:pPr>
              <w:spacing w:after="0" w:line="276" w:lineRule="auto"/>
              <w:jc w:val="both"/>
              <w:rPr>
                <w:rFonts w:ascii="Times New Roman" w:hAnsi="Times New Roman" w:cs="Times New Roman"/>
                <w:color w:val="000000" w:themeColor="text1"/>
                <w:lang w:val="ro-MD"/>
              </w:rPr>
            </w:pPr>
            <w:bookmarkStart w:id="381" w:name="_Hlk224129459"/>
            <w:r w:rsidRPr="00C011B2">
              <w:rPr>
                <w:rFonts w:ascii="Times New Roman" w:hAnsi="Times New Roman" w:cs="Times New Roman"/>
                <w:color w:val="000000" w:themeColor="text1"/>
                <w:lang w:val="ro-MD"/>
              </w:rPr>
              <w:lastRenderedPageBreak/>
              <w:t>381.</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pot utiliza corelații empirice în cadrul categoriilor generale de factori de risc și, în scopul calculării măsurii valorii la risc condiționate nerestricționate UES</w:t>
            </w:r>
            <w:r w:rsidR="008A3314" w:rsidRPr="00C011B2">
              <w:rPr>
                <w:rFonts w:ascii="Times New Roman" w:hAnsi="Times New Roman" w:cs="Times New Roman"/>
                <w:color w:val="000000" w:themeColor="text1"/>
                <w:vertAlign w:val="subscript"/>
                <w:lang w:val="ro-MD"/>
              </w:rPr>
              <w:t>t</w:t>
            </w:r>
            <w:r w:rsidR="008A3314" w:rsidRPr="00C011B2">
              <w:rPr>
                <w:rFonts w:ascii="Times New Roman" w:hAnsi="Times New Roman" w:cs="Times New Roman"/>
                <w:color w:val="000000" w:themeColor="text1"/>
                <w:lang w:val="ro-MD"/>
              </w:rPr>
              <w:t xml:space="preserve"> menționate la </w:t>
            </w:r>
            <w:r w:rsidR="00EC62EC" w:rsidRPr="00C011B2">
              <w:rPr>
                <w:rFonts w:ascii="Times New Roman" w:hAnsi="Times New Roman" w:cs="Times New Roman"/>
                <w:color w:val="000000" w:themeColor="text1"/>
                <w:lang w:val="ro-MD"/>
              </w:rPr>
              <w:t>pct.344</w:t>
            </w:r>
            <w:r w:rsidR="008A3314" w:rsidRPr="00C011B2">
              <w:rPr>
                <w:rFonts w:ascii="Times New Roman" w:hAnsi="Times New Roman" w:cs="Times New Roman"/>
                <w:color w:val="000000" w:themeColor="text1"/>
                <w:lang w:val="ro-MD"/>
              </w:rPr>
              <w:t xml:space="preserve">, în raport cu toate categoriile generale de factori de risc numai dacă abordarea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 xml:space="preserve">cu privire la măsurarea corelațiilor respective este judicioasă, consecventă fie cu orizonturile de lichiditate aplicabile, fie, în măsură satisfăcătoare </w:t>
            </w:r>
            <w:r w:rsidR="008A3314" w:rsidRPr="00C011B2">
              <w:rPr>
                <w:rFonts w:ascii="Times New Roman" w:hAnsi="Times New Roman" w:cs="Times New Roman"/>
                <w:color w:val="000000" w:themeColor="text1"/>
                <w:lang w:val="ro-MD"/>
              </w:rPr>
              <w:lastRenderedPageBreak/>
              <w:t xml:space="preserve">pentru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cu orizontul de timp de bază de 10 zile prevăzut la </w:t>
            </w:r>
            <w:r w:rsidR="00EC62EC" w:rsidRPr="00C011B2">
              <w:rPr>
                <w:rFonts w:ascii="Times New Roman" w:hAnsi="Times New Roman" w:cs="Times New Roman"/>
                <w:color w:val="000000" w:themeColor="text1"/>
                <w:lang w:val="ro-MD"/>
              </w:rPr>
              <w:t>pct.348</w:t>
            </w:r>
            <w:r w:rsidR="008A3314" w:rsidRPr="00C011B2">
              <w:rPr>
                <w:rFonts w:ascii="Times New Roman" w:hAnsi="Times New Roman" w:cs="Times New Roman"/>
                <w:color w:val="000000" w:themeColor="text1"/>
                <w:lang w:val="ro-MD"/>
              </w:rPr>
              <w:t>, și implementată cu integritate.</w:t>
            </w:r>
          </w:p>
          <w:bookmarkEnd w:id="381"/>
          <w:p w14:paraId="45DFE486" w14:textId="7BF1FD9F"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94EC2AB" w14:textId="1859B2E4"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D8EF9B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E116E6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095344"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2" w:tooltip="32019R0876: INSERTED" w:history="1">
              <w:r w:rsidR="008A3314" w:rsidRPr="00C011B2">
                <w:rPr>
                  <w:rStyle w:val="Hyperlink"/>
                  <w:rFonts w:ascii="Times New Roman" w:hAnsi="Times New Roman" w:cs="Times New Roman"/>
                  <w:b/>
                  <w:bCs/>
                  <w:lang w:val="ro-MD"/>
                </w:rPr>
                <w:t>▼M8</w:t>
              </w:r>
            </w:hyperlink>
          </w:p>
          <w:p w14:paraId="2FCC4B9E"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325bi</w:t>
            </w:r>
          </w:p>
          <w:p w14:paraId="010C872B" w14:textId="221DDA1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calitative</w:t>
            </w:r>
          </w:p>
        </w:tc>
        <w:tc>
          <w:tcPr>
            <w:tcW w:w="1692" w:type="pct"/>
            <w:shd w:val="clear" w:color="auto" w:fill="auto"/>
          </w:tcPr>
          <w:p w14:paraId="58AA1DAA" w14:textId="1855D396" w:rsidR="008A3314" w:rsidRPr="00C011B2" w:rsidRDefault="00474057" w:rsidP="008A3314">
            <w:pPr>
              <w:spacing w:after="0" w:line="276" w:lineRule="auto"/>
              <w:jc w:val="both"/>
              <w:rPr>
                <w:rFonts w:ascii="Times New Roman" w:hAnsi="Times New Roman" w:cs="Times New Roman"/>
                <w:color w:val="000000" w:themeColor="text1"/>
                <w:lang w:val="ro-MD"/>
              </w:rPr>
            </w:pPr>
            <w:bookmarkStart w:id="382" w:name="_Hlk195098927"/>
            <w:r w:rsidRPr="00C011B2">
              <w:rPr>
                <w:rFonts w:ascii="Times New Roman" w:hAnsi="Times New Roman" w:cs="Times New Roman"/>
                <w:i/>
                <w:iCs/>
                <w:color w:val="000000" w:themeColor="text1"/>
                <w:lang w:val="ro-MD"/>
              </w:rPr>
              <w:t xml:space="preserve">Subsecțiunea 8. </w:t>
            </w:r>
            <w:r w:rsidR="008A3314" w:rsidRPr="00C011B2">
              <w:rPr>
                <w:rFonts w:ascii="Times New Roman" w:hAnsi="Times New Roman" w:cs="Times New Roman"/>
                <w:b/>
                <w:bCs/>
                <w:color w:val="000000" w:themeColor="text1"/>
                <w:lang w:val="ro-MD"/>
              </w:rPr>
              <w:t>Cerințe calitative</w:t>
            </w:r>
            <w:bookmarkEnd w:id="382"/>
          </w:p>
        </w:tc>
        <w:tc>
          <w:tcPr>
            <w:tcW w:w="450" w:type="pct"/>
          </w:tcPr>
          <w:p w14:paraId="1140E09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00F40FD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E33685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20FE1F" w14:textId="659E75C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Orice model intern de măsurare a riscurilor utilizat în sensul prezentului capitol este solid din punct de vedere conceptual, este calculat și implementat cu integritate și îndeplinește cumulativ cerințele calitative următoare:</w:t>
            </w:r>
          </w:p>
          <w:p w14:paraId="3F621DB3" w14:textId="1D5BCB9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orice model intern de măsurare a riscurilor utilizat pentru a calcula cerințele de capital pentru riscul de piață face parte integrantă din procesul instituției de administrare zilnică a riscului și servește ca bază pentru raportarea expunerilor la risc către conducerea superioară;</w:t>
            </w:r>
          </w:p>
          <w:p w14:paraId="321A2C6D"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3" w:tooltip="32024R1623: REPLACED" w:history="1">
              <w:r w:rsidR="008A3314" w:rsidRPr="00C011B2">
                <w:rPr>
                  <w:rStyle w:val="Hyperlink"/>
                  <w:rFonts w:ascii="Times New Roman" w:hAnsi="Times New Roman" w:cs="Times New Roman"/>
                  <w:b/>
                  <w:bCs/>
                  <w:lang w:val="ro-MD"/>
                </w:rPr>
                <w:t>▼M17</w:t>
              </w:r>
            </w:hyperlink>
          </w:p>
          <w:p w14:paraId="46279FF4" w14:textId="38407F2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o instituție are o unitate de control al riscului care este independentă de unitățile care desfășoară activități de tranzacționare și care raportează direct conducerii superioare; unitatea în cauză:</w:t>
            </w:r>
          </w:p>
          <w:p w14:paraId="4AFC9A72" w14:textId="487B2B7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(i) este responsabilă pentru conceperea și implementarea oricărui model intern de măsurare a riscurilor utilizat în abordarea bazată pe modele interne alternativă în sensul prezentului capitol;</w:t>
            </w:r>
          </w:p>
          <w:p w14:paraId="2C48F756" w14:textId="7D7D3C3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răspunde de sistemul global de gestionare a riscurilor;</w:t>
            </w:r>
          </w:p>
          <w:p w14:paraId="2FBB2AB8" w14:textId="62AF633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produce și analizează rapoarte zilnice asupra rezultatelor oricărui model intern utilizat pentru a calcula cerințele de fonduri proprii pentru riscul de piață, precum și asupra caracterului adecvat al măsurilor care trebuie luate în ceea ce privește limitele de tranzacționare;</w:t>
            </w:r>
          </w:p>
          <w:p w14:paraId="3A62A58B"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4" w:tooltip="32019R0876: INSERTED" w:history="1">
              <w:r w:rsidR="008A3314" w:rsidRPr="00C011B2">
                <w:rPr>
                  <w:rStyle w:val="Hyperlink"/>
                  <w:rFonts w:ascii="Times New Roman" w:hAnsi="Times New Roman" w:cs="Times New Roman"/>
                  <w:b/>
                  <w:bCs/>
                  <w:lang w:val="ro-MD"/>
                </w:rPr>
                <w:t>▼M8</w:t>
              </w:r>
            </w:hyperlink>
          </w:p>
          <w:p w14:paraId="3A49709E" w14:textId="17D85E8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organul de conducere și conducerea superioară sunt implicate în mod activ în procesul de control al riscului, iar rapoartele zilnice realizate de către unitatea de control al riscului sunt reexaminate la un nivel al conducerii care deține suficientă autoritate pentru a impune diminuarea pozițiilor asumate de fiecare trader și diminuarea expunerii totale la risc a instituției;</w:t>
            </w:r>
          </w:p>
          <w:p w14:paraId="6BE9916B" w14:textId="2E01D86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(d) instituția are personal suficient de numeros care să aibă un nivel de calificare adecvat în utilizarea modelelor interne sofisticate de măsurare a riscurilor și personal suficient de numeros care să dețină calificări în domenii precum tranzacționarea, controlul </w:t>
            </w:r>
            <w:r w:rsidRPr="00C011B2">
              <w:rPr>
                <w:rFonts w:ascii="Times New Roman" w:hAnsi="Times New Roman" w:cs="Times New Roman"/>
                <w:color w:val="000000" w:themeColor="text1"/>
                <w:lang w:val="ro-MD"/>
              </w:rPr>
              <w:lastRenderedPageBreak/>
              <w:t>riscurilor, auditul și înregistrarea și monitorizarea tranzacțiilor inițiate („back office”);</w:t>
            </w:r>
          </w:p>
          <w:p w14:paraId="1DB804C6" w14:textId="5A87FD0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instituția dispune de un set bine documentat de politici, proceduri și mecanisme de control interne pentru a monitoriza și a asigura conformitatea cu funcționarea generală a modelelor sale interne de măsurare a riscurilor;</w:t>
            </w:r>
          </w:p>
          <w:p w14:paraId="6FBF51D0" w14:textId="4846ADD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orice model intern de măsurare a riscurilor, inclusiv orice model de evaluare, are un istoric dovedit în ceea ce privește acuratețea rezonabilă a acestuia în măsurarea riscurilor și nu diferă semnificativ de modelele utilizate de instituție pentru administrarea sa internă a riscurilor;</w:t>
            </w:r>
          </w:p>
          <w:p w14:paraId="7259776F" w14:textId="1BB34AB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 instituția derulează în mod frecvent programe riguroase de simulări de criză, inclusiv simulări de criză în sens invers („reverse stress tests”), care cuprind orice model intern de măsurare a riscurilor; rezultatele respectivelor simulări de criză sunt analizate de conducerea superioară cel puțin o dată pe lună și sunt conforme cu politicile și limitele aprobate de către organul de conducere; instituția ia măsuri corespunzătoare în cazul în care rezultatele simulărilor de criză arată pierderi excesive generate de activitățile de tranzacționare ale instituției în anumite circumstanțe;</w:t>
            </w:r>
          </w:p>
          <w:p w14:paraId="7472AAC2" w14:textId="626A1BA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(h) instituția desfășoară, într-un mod pe care autoritățile competente îl consideră satisfăcător, o analiză independentă a modelelor sale interne de măsurare a riscurilor, fie în cadrul procesului său periodic de audit intern, fie prin mandatarea unei întreprinderi terțe să efectueze analiza în cauză.</w:t>
            </w:r>
          </w:p>
          <w:p w14:paraId="6E0DB967"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5" w:tooltip="32024R1623: INSERTED" w:history="1">
              <w:r w:rsidR="008A3314" w:rsidRPr="00C011B2">
                <w:rPr>
                  <w:rStyle w:val="Hyperlink"/>
                  <w:rFonts w:ascii="Times New Roman" w:hAnsi="Times New Roman" w:cs="Times New Roman"/>
                  <w:b/>
                  <w:bCs/>
                  <w:lang w:val="ro-MD"/>
                </w:rPr>
                <w:t>▼M17</w:t>
              </w:r>
            </w:hyperlink>
          </w:p>
          <w:p w14:paraId="1F8E9809"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 unitate de validare, care este separată de unitatea de control al riscului menționată la primul paragraf litera (b), efectuează validarea inițială și continuă a oricărui model intern de măsurare a riscurilor utilizat în abordarea bazată pe modele interne alternativă în sensul prezentului capitol.</w:t>
            </w:r>
          </w:p>
          <w:p w14:paraId="3C6B4F3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6" w:tooltip="32019R0876: INSERTED" w:history="1">
              <w:r w:rsidR="008A3314" w:rsidRPr="00C011B2">
                <w:rPr>
                  <w:rStyle w:val="Hyperlink"/>
                  <w:rFonts w:ascii="Times New Roman" w:hAnsi="Times New Roman" w:cs="Times New Roman"/>
                  <w:b/>
                  <w:bCs/>
                  <w:lang w:val="ro-MD"/>
                </w:rPr>
                <w:t>▼M8</w:t>
              </w:r>
            </w:hyperlink>
          </w:p>
          <w:p w14:paraId="0F26D77A" w14:textId="4F614A3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sensul literei (h) de la primul paragraf, o întreprindere terță înseamnă o întreprindere care furnizează servicii de audit sau de consultanță către instituții și care are personal cu suficiente calificări în domeniul riscului de piață în cadrul activităților de tranzacționare.</w:t>
            </w:r>
          </w:p>
        </w:tc>
        <w:tc>
          <w:tcPr>
            <w:tcW w:w="1692" w:type="pct"/>
            <w:shd w:val="clear" w:color="auto" w:fill="auto"/>
          </w:tcPr>
          <w:p w14:paraId="541D7440" w14:textId="2FA2ECCC" w:rsidR="008A3314" w:rsidRPr="00C011B2" w:rsidRDefault="00474057" w:rsidP="008A3314">
            <w:pPr>
              <w:spacing w:after="0" w:line="276" w:lineRule="auto"/>
              <w:jc w:val="both"/>
              <w:rPr>
                <w:rFonts w:ascii="Times New Roman" w:hAnsi="Times New Roman" w:cs="Times New Roman"/>
                <w:color w:val="000000" w:themeColor="text1"/>
                <w:lang w:val="ro-MD"/>
              </w:rPr>
            </w:pPr>
            <w:bookmarkStart w:id="383" w:name="_Hlk224129860"/>
            <w:r w:rsidRPr="00C011B2">
              <w:rPr>
                <w:rFonts w:ascii="Times New Roman" w:hAnsi="Times New Roman" w:cs="Times New Roman"/>
                <w:color w:val="000000" w:themeColor="text1"/>
                <w:lang w:val="ro-MD"/>
              </w:rPr>
              <w:lastRenderedPageBreak/>
              <w:t>382.</w:t>
            </w:r>
            <w:r w:rsidR="008A3314" w:rsidRPr="00C011B2">
              <w:rPr>
                <w:rFonts w:ascii="Times New Roman" w:hAnsi="Times New Roman" w:cs="Times New Roman"/>
                <w:color w:val="000000" w:themeColor="text1"/>
                <w:lang w:val="ro-MD"/>
              </w:rPr>
              <w:t>   Orice model intern de măsurare a riscurilor utilizat în sensul prezentului capitol este solid din punct de vedere conceptual, este calculat și implementat cu integritate și îndeplinește cumulativ cerințele calitative următoare:</w:t>
            </w:r>
          </w:p>
          <w:p w14:paraId="09019FCF" w14:textId="2C6864D3"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381.1.</w:t>
            </w:r>
            <w:r w:rsidR="008A3314" w:rsidRPr="00C011B2">
              <w:rPr>
                <w:rFonts w:ascii="Times New Roman" w:hAnsi="Times New Roman" w:cs="Times New Roman"/>
                <w:color w:val="000000" w:themeColor="text1"/>
                <w:lang w:val="ro-MD"/>
              </w:rPr>
              <w:t xml:space="preserve"> orice model intern de măsurare a riscurilor utilizat pentru a calcula cerințele de capital pentru riscul de piață face parte integrantă din procesul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de administrare zilnică a riscului și servește ca bază pentru raportarea expunerilor la risc către conducerea superioară;</w:t>
            </w:r>
          </w:p>
          <w:p w14:paraId="5BA2BD4C" w14:textId="33185AD9"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381.2.</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are o unitate de control al riscului care este independentă de unitățile care desfășoară activități de tranzacționare și care raportează direct conducerii superioare; unitatea în cauză:</w:t>
            </w:r>
          </w:p>
          <w:p w14:paraId="0D44EA0C" w14:textId="48620595"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381.2.1.</w:t>
            </w:r>
            <w:r w:rsidR="008A3314" w:rsidRPr="00C011B2">
              <w:rPr>
                <w:rFonts w:ascii="Times New Roman" w:hAnsi="Times New Roman" w:cs="Times New Roman"/>
                <w:color w:val="000000" w:themeColor="text1"/>
                <w:lang w:val="ro-MD"/>
              </w:rPr>
              <w:t> este responsabilă pentru conceperea și implementarea oricărui model intern de măsurare a riscurilor utilizat în abordarea bazată pe modele interne alternativă în sensul prezentului capitol;</w:t>
            </w:r>
          </w:p>
          <w:p w14:paraId="27D3953E" w14:textId="737CFB4B"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381.2.2.</w:t>
            </w:r>
            <w:r w:rsidR="008A3314" w:rsidRPr="00C011B2">
              <w:rPr>
                <w:rFonts w:ascii="Times New Roman" w:hAnsi="Times New Roman" w:cs="Times New Roman"/>
                <w:color w:val="000000" w:themeColor="text1"/>
                <w:lang w:val="ro-MD"/>
              </w:rPr>
              <w:t> răspunde de sistemul global de gestionare a riscurilor;</w:t>
            </w:r>
          </w:p>
          <w:p w14:paraId="7B113EEA" w14:textId="1CC1681B"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381.2.3.</w:t>
            </w:r>
            <w:r w:rsidR="008A3314" w:rsidRPr="00C011B2">
              <w:rPr>
                <w:rFonts w:ascii="Times New Roman" w:hAnsi="Times New Roman" w:cs="Times New Roman"/>
                <w:color w:val="000000" w:themeColor="text1"/>
                <w:lang w:val="ro-MD"/>
              </w:rPr>
              <w:t> produce și analizează rapoarte zilnice asupra rezultatelor oricărui model intern utilizat pentru a calcula cerințele de fonduri proprii pentru riscul de piață, precum și asupra caracterului adecvat al măsurilor care trebuie luate în ceea ce privește limitele de tranzacționare;</w:t>
            </w:r>
          </w:p>
          <w:p w14:paraId="3C55194C" w14:textId="78736FF9"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381.3.</w:t>
            </w:r>
            <w:r w:rsidR="008A3314" w:rsidRPr="00C011B2">
              <w:rPr>
                <w:rFonts w:ascii="Times New Roman" w:hAnsi="Times New Roman" w:cs="Times New Roman"/>
                <w:color w:val="000000" w:themeColor="text1"/>
                <w:lang w:val="ro-MD"/>
              </w:rPr>
              <w:t xml:space="preserve"> organul de conducere și conducerea superioară sunt implicate în mod activ în procesul de control al riscului, iar rapoartele zilnice realizate de către unitatea de control al riscului sunt reexaminate la un nivel al conducerii care deține suficientă autoritate pentru a impune diminuarea pozițiilor asumate de fiecare trader și diminuarea expunerii totale la risc a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w:t>
            </w:r>
          </w:p>
          <w:p w14:paraId="27B84CFB" w14:textId="10B17E6B"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381.4.</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are personal suficient de numeros care să aibă un nivel de calificare adecvat în utilizarea modelelor interne sofisticate de măsurare a riscurilor și personal suficient de numeros care să dețină calificări în domenii precum tranzacționarea, controlul riscurilor, auditul și înregistrarea și monitorizarea tranzacțiilor inițiate („back office”);</w:t>
            </w:r>
          </w:p>
          <w:p w14:paraId="646E00E3" w14:textId="60DCD61B" w:rsidR="008A3314" w:rsidRPr="00C011B2" w:rsidRDefault="0047405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381.5.</w:t>
            </w:r>
            <w:r w:rsidR="008A3314" w:rsidRPr="00C011B2">
              <w:rPr>
                <w:rFonts w:ascii="Times New Roman" w:hAnsi="Times New Roman" w:cs="Times New Roman"/>
                <w:color w:val="000000" w:themeColor="text1"/>
                <w:lang w:val="ro-MD"/>
              </w:rPr>
              <w:t> </w:t>
            </w:r>
            <w:r w:rsidR="002B0FD7"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dispune de un set bine documentat de politici, proceduri și mecanisme de control interne pentru a monitoriza și a asigura conformitatea cu funcționarea generală a modelelor sale interne de măsurare a riscurilor;</w:t>
            </w:r>
          </w:p>
          <w:p w14:paraId="6B24FE25" w14:textId="344421FE"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381.6.</w:t>
            </w:r>
            <w:r w:rsidR="008A3314" w:rsidRPr="00C011B2">
              <w:rPr>
                <w:rFonts w:ascii="Times New Roman" w:hAnsi="Times New Roman" w:cs="Times New Roman"/>
                <w:color w:val="000000" w:themeColor="text1"/>
                <w:lang w:val="ro-MD"/>
              </w:rPr>
              <w:t xml:space="preserve"> orice model intern de măsurare a riscurilor, inclusiv orice model de evaluare, are un istoric dovedit în ceea ce privește acuratețea rezonabilă a acestuia în măsurarea riscurilor și nu diferă semnificativ de modelele utilizate de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pentru administrarea sa internă a riscurilor;</w:t>
            </w:r>
          </w:p>
          <w:p w14:paraId="0536D10C" w14:textId="687D7AA2"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381.7.</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derulează în mod frecvent programe riguroase de simulări de criză, inclusiv simulări de criză în sens invers („reverse stress tests”), care cuprind orice model intern de măsurare a riscurilor; rezultatele respectivelor simulări de criză sunt analizate de conducerea superioară cel puțin o dată pe lună și sunt conforme cu politicile și limitele aprobate de către organul de conducere;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ia măsuri corespunzătoare în cazul în care rezultatele simulărilor de criză arată pierderi excesive generate de activitățile de tranzacționare ale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în anumite circumstanțe;</w:t>
            </w:r>
          </w:p>
          <w:p w14:paraId="22FE79BA" w14:textId="4EB7822D"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381.8.</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desfășoară, într-un mod pe care </w:t>
            </w:r>
            <w:r w:rsidRPr="00C011B2">
              <w:rPr>
                <w:rFonts w:ascii="Times New Roman" w:hAnsi="Times New Roman" w:cs="Times New Roman"/>
                <w:color w:val="000000" w:themeColor="text1"/>
                <w:lang w:val="ro-MD"/>
              </w:rPr>
              <w:t xml:space="preserve"> BNM</w:t>
            </w:r>
            <w:r w:rsidR="008A3314" w:rsidRPr="00C011B2">
              <w:rPr>
                <w:rFonts w:ascii="Times New Roman" w:hAnsi="Times New Roman" w:cs="Times New Roman"/>
                <w:color w:val="000000" w:themeColor="text1"/>
                <w:lang w:val="ro-MD"/>
              </w:rPr>
              <w:t xml:space="preserve"> îl consideră satisfăcător, o analiză independentă a modelelor sale interne de măsurare a riscurilor, fie în cadrul procesului său periodic de audit intern, fie prin mandatarea unei întreprinderi terțe să efectueze analiza în cauză.</w:t>
            </w:r>
          </w:p>
          <w:p w14:paraId="1EEB2418" w14:textId="228079B6"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382. </w:t>
            </w:r>
            <w:r w:rsidR="008A3314" w:rsidRPr="00C011B2">
              <w:rPr>
                <w:rFonts w:ascii="Times New Roman" w:hAnsi="Times New Roman" w:cs="Times New Roman"/>
                <w:color w:val="000000" w:themeColor="text1"/>
                <w:lang w:val="ro-MD"/>
              </w:rPr>
              <w:t xml:space="preserve">O unitate de validare, care este separată de unitatea de control al riscului menționată la </w:t>
            </w:r>
            <w:r w:rsidRPr="00C011B2">
              <w:rPr>
                <w:rFonts w:ascii="Times New Roman" w:hAnsi="Times New Roman" w:cs="Times New Roman"/>
                <w:color w:val="000000" w:themeColor="text1"/>
                <w:lang w:val="ro-MD"/>
              </w:rPr>
              <w:t>subpct.381.2</w:t>
            </w:r>
            <w:r w:rsidR="008A3314" w:rsidRPr="00C011B2">
              <w:rPr>
                <w:rFonts w:ascii="Times New Roman" w:hAnsi="Times New Roman" w:cs="Times New Roman"/>
                <w:color w:val="000000" w:themeColor="text1"/>
                <w:lang w:val="ro-MD"/>
              </w:rPr>
              <w:t xml:space="preserve">, efectuează validarea inițială și continuă a oricărui model intern de </w:t>
            </w:r>
            <w:r w:rsidR="008A3314" w:rsidRPr="00C011B2">
              <w:rPr>
                <w:rFonts w:ascii="Times New Roman" w:hAnsi="Times New Roman" w:cs="Times New Roman"/>
                <w:color w:val="000000" w:themeColor="text1"/>
                <w:lang w:val="ro-MD"/>
              </w:rPr>
              <w:lastRenderedPageBreak/>
              <w:t>măsurare a riscurilor utilizat în abordarea bazată pe modele interne alternativă în sensul prezentului capitol.</w:t>
            </w:r>
          </w:p>
          <w:p w14:paraId="602520AF" w14:textId="1D28693D"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383. </w:t>
            </w:r>
            <w:r w:rsidR="008A3314" w:rsidRPr="00C011B2">
              <w:rPr>
                <w:rFonts w:ascii="Times New Roman" w:hAnsi="Times New Roman" w:cs="Times New Roman"/>
                <w:color w:val="000000" w:themeColor="text1"/>
                <w:lang w:val="ro-MD"/>
              </w:rPr>
              <w:t xml:space="preserve">În sensul </w:t>
            </w:r>
            <w:r w:rsidRPr="00C011B2">
              <w:rPr>
                <w:rFonts w:ascii="Times New Roman" w:hAnsi="Times New Roman" w:cs="Times New Roman"/>
                <w:color w:val="000000" w:themeColor="text1"/>
                <w:lang w:val="ro-MD"/>
              </w:rPr>
              <w:t>subpct.381.8</w:t>
            </w:r>
            <w:r w:rsidR="008A3314" w:rsidRPr="00C011B2">
              <w:rPr>
                <w:rFonts w:ascii="Times New Roman" w:hAnsi="Times New Roman" w:cs="Times New Roman"/>
                <w:color w:val="000000" w:themeColor="text1"/>
                <w:lang w:val="ro-MD"/>
              </w:rPr>
              <w:t xml:space="preserve">, o întreprindere terță înseamnă o întreprindere care furnizează servicii de audit sau de consultanță către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și care are personal cu suficiente calificări în domeniul riscului de piață în cadrul activităților de tranzacționare.</w:t>
            </w:r>
            <w:bookmarkEnd w:id="383"/>
          </w:p>
        </w:tc>
        <w:tc>
          <w:tcPr>
            <w:tcW w:w="450" w:type="pct"/>
          </w:tcPr>
          <w:p w14:paraId="0B63D0B7" w14:textId="37726A58"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F4AA89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56742E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39E461C" w14:textId="3C0DD23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(2)  Analiza menționată la alineatul (1) litera (h) include atât activitățile unităților care desfășoară activități de tranzacționare, cât și activitățile unității independente de control al riscului. Instituția își reexaminează procesul general de administrare a </w:t>
            </w:r>
            <w:r w:rsidRPr="00C011B2">
              <w:rPr>
                <w:rFonts w:ascii="Times New Roman" w:hAnsi="Times New Roman" w:cs="Times New Roman"/>
                <w:color w:val="000000" w:themeColor="text1"/>
                <w:lang w:val="ro-MD"/>
              </w:rPr>
              <w:lastRenderedPageBreak/>
              <w:t>riscurilor cel puțin o dată pe an. Reexaminarea evaluează următoarele aspecte:</w:t>
            </w:r>
          </w:p>
          <w:p w14:paraId="6F7E7EDA" w14:textId="1BF818A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caracterul adecvat al documentației sistemului și procesului de administrare a riscului, precum și organizarea unității de control al riscului;</w:t>
            </w:r>
          </w:p>
          <w:p w14:paraId="2D55D6E1" w14:textId="521C1FA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integrarea rezultatelor măsurării riscurilor în cadrul gestionării zilnice a riscurilor și integritatea sistemului de informare a conducerii;</w:t>
            </w:r>
          </w:p>
          <w:p w14:paraId="01C682AE" w14:textId="159D644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procesele pe care instituția le utilizează pentru aprobarea modelelor de evaluare a riscului („risk-pricing models”) și pentru aprobarea sistemelor de evaluare care sunt folosite de către personalul din unitățile responsabile cu inițierea tranzacțiilor („front office”) și din unitățile responsabile cu înregistrarea și monitorizarea tranzacțiilor inițiate („back office”);</w:t>
            </w:r>
          </w:p>
          <w:p w14:paraId="2ACA8DDD" w14:textId="4F0889D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sfera riscurilor surprinse de către model, acuratețea și adecvarea sistemului de măsurare a riscurilor și validarea oricăror modificări semnificative în cadrul modelului intern de măsurare a riscurilor;</w:t>
            </w:r>
          </w:p>
          <w:p w14:paraId="20AE4D38" w14:textId="703226D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(e) acuratețea și caracterul complet al datelor aferente pozițiilor, acuratețea și caracterul adecvat în ceea ce privește ipotezele referitoare la volatilitate și corelare, acuratețea calculelor evaluării și ale sensibilității la risc, precum și acuratețea și caracterul adecvat al metodelor utilizate pentru generarea de date de </w:t>
            </w:r>
            <w:r w:rsidRPr="00C011B2">
              <w:rPr>
                <w:rFonts w:ascii="Times New Roman" w:hAnsi="Times New Roman" w:cs="Times New Roman"/>
                <w:color w:val="000000" w:themeColor="text1"/>
                <w:lang w:val="ro-MD"/>
              </w:rPr>
              <w:lastRenderedPageBreak/>
              <w:t>substituire atunci când datele disponibile sunt insuficiente pentru a îndeplini cerința prevăzută în prezentul capitol;</w:t>
            </w:r>
          </w:p>
          <w:p w14:paraId="5DE79A7A" w14:textId="02C8E62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procesul de verificare pe care instituția îl utilizează la evaluarea consecvenței, oportunității și fiabilității surselor de date utilizate pentru rularea modelelor sale interne de măsurare a riscurilor, inclusiv independența acestor surse de date;</w:t>
            </w:r>
          </w:p>
          <w:p w14:paraId="345F5EE4" w14:textId="6B6452C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 procesul de verificare pe care instituția îl utilizează la evaluarea cerințelor privind testarea </w:t>
            </w:r>
            <w:r w:rsidRPr="00C011B2">
              <w:rPr>
                <w:rFonts w:ascii="Times New Roman" w:hAnsi="Times New Roman" w:cs="Times New Roman"/>
                <w:i/>
                <w:iCs/>
                <w:color w:val="000000" w:themeColor="text1"/>
                <w:lang w:val="ro-MD"/>
              </w:rPr>
              <w:t>ex post</w:t>
            </w:r>
            <w:r w:rsidRPr="00C011B2">
              <w:rPr>
                <w:rFonts w:ascii="Times New Roman" w:hAnsi="Times New Roman" w:cs="Times New Roman"/>
                <w:color w:val="000000" w:themeColor="text1"/>
                <w:lang w:val="ro-MD"/>
              </w:rPr>
              <w:t> și a cerințelor privind atribuirea profitului și a pierderii pentru a aprecia acuratețea modelelor sale interne de măsurare a riscurilor;</w:t>
            </w:r>
          </w:p>
          <w:p w14:paraId="616CB808" w14:textId="54D7870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(h) în cazul în care reexaminarea este efectuată de o întreprindere terță în conformitate cu prezentul articol alineatul (1) litera (h), verificarea faptului că procesul de validare internă prevăzut la articolul 325bj își îndeplinește obiectivele.</w:t>
            </w:r>
          </w:p>
        </w:tc>
        <w:tc>
          <w:tcPr>
            <w:tcW w:w="1692" w:type="pct"/>
            <w:shd w:val="clear" w:color="auto" w:fill="auto"/>
          </w:tcPr>
          <w:p w14:paraId="0EFCD308" w14:textId="6ACA8DCE" w:rsidR="008A3314" w:rsidRPr="00C011B2" w:rsidRDefault="002B0FD7" w:rsidP="008A3314">
            <w:pPr>
              <w:spacing w:after="0" w:line="276" w:lineRule="auto"/>
              <w:jc w:val="both"/>
              <w:rPr>
                <w:rFonts w:ascii="Times New Roman" w:hAnsi="Times New Roman" w:cs="Times New Roman"/>
                <w:color w:val="000000" w:themeColor="text1"/>
                <w:lang w:val="ro-MD"/>
              </w:rPr>
            </w:pPr>
            <w:bookmarkStart w:id="384" w:name="_Hlk224129901"/>
            <w:r w:rsidRPr="00C011B2">
              <w:rPr>
                <w:rFonts w:ascii="Times New Roman" w:hAnsi="Times New Roman" w:cs="Times New Roman"/>
                <w:color w:val="000000" w:themeColor="text1"/>
                <w:lang w:val="ro-MD"/>
              </w:rPr>
              <w:lastRenderedPageBreak/>
              <w:t>384.</w:t>
            </w:r>
            <w:r w:rsidR="008A3314" w:rsidRPr="00C011B2">
              <w:rPr>
                <w:rFonts w:ascii="Times New Roman" w:hAnsi="Times New Roman" w:cs="Times New Roman"/>
                <w:color w:val="000000" w:themeColor="text1"/>
                <w:lang w:val="ro-MD"/>
              </w:rPr>
              <w:t xml:space="preserve">  Analiza menționată la </w:t>
            </w:r>
            <w:r w:rsidRPr="00C011B2">
              <w:rPr>
                <w:rFonts w:ascii="Times New Roman" w:hAnsi="Times New Roman" w:cs="Times New Roman"/>
                <w:color w:val="000000" w:themeColor="text1"/>
                <w:lang w:val="ro-MD"/>
              </w:rPr>
              <w:t xml:space="preserve">subpct.381.8 </w:t>
            </w:r>
            <w:r w:rsidR="008A3314" w:rsidRPr="00C011B2">
              <w:rPr>
                <w:rFonts w:ascii="Times New Roman" w:hAnsi="Times New Roman" w:cs="Times New Roman"/>
                <w:color w:val="000000" w:themeColor="text1"/>
                <w:lang w:val="ro-MD"/>
              </w:rPr>
              <w:t xml:space="preserve">include atât activitățile unităților care desfășoară activități de tranzacționare, cât și activitățile unității independente de control al riscului.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își reexaminează procesul </w:t>
            </w:r>
            <w:r w:rsidR="008A3314" w:rsidRPr="00C011B2">
              <w:rPr>
                <w:rFonts w:ascii="Times New Roman" w:hAnsi="Times New Roman" w:cs="Times New Roman"/>
                <w:color w:val="000000" w:themeColor="text1"/>
                <w:lang w:val="ro-MD"/>
              </w:rPr>
              <w:lastRenderedPageBreak/>
              <w:t>general de administrare a riscurilor cel puțin o dată pe an. Reexaminarea evaluează următoarele aspecte:</w:t>
            </w:r>
          </w:p>
          <w:p w14:paraId="1438A3B7" w14:textId="77AF1A48"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384.1.</w:t>
            </w:r>
            <w:r w:rsidR="008A3314" w:rsidRPr="00C011B2">
              <w:rPr>
                <w:rFonts w:ascii="Times New Roman" w:hAnsi="Times New Roman" w:cs="Times New Roman"/>
                <w:color w:val="000000" w:themeColor="text1"/>
                <w:lang w:val="ro-MD"/>
              </w:rPr>
              <w:t> caracterul adecvat al documentației sistemului și procesului de administrare a riscului, precum și organizarea unității de control al riscului;</w:t>
            </w:r>
          </w:p>
          <w:p w14:paraId="5BED53BC" w14:textId="13904581"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384.2.</w:t>
            </w:r>
            <w:r w:rsidR="008A3314" w:rsidRPr="00C011B2">
              <w:rPr>
                <w:rFonts w:ascii="Times New Roman" w:hAnsi="Times New Roman" w:cs="Times New Roman"/>
                <w:color w:val="000000" w:themeColor="text1"/>
                <w:lang w:val="ro-MD"/>
              </w:rPr>
              <w:t> integrarea rezultatelor măsurării riscurilor în cadrul gestionării zilnice a riscurilor și integritatea sistemului de informare a conducerii;</w:t>
            </w:r>
          </w:p>
          <w:p w14:paraId="3AB22C3D" w14:textId="10D933A5"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384.3.</w:t>
            </w:r>
            <w:r w:rsidR="008A3314" w:rsidRPr="00C011B2">
              <w:rPr>
                <w:rFonts w:ascii="Times New Roman" w:hAnsi="Times New Roman" w:cs="Times New Roman"/>
                <w:color w:val="000000" w:themeColor="text1"/>
                <w:lang w:val="ro-MD"/>
              </w:rPr>
              <w:t xml:space="preserve"> procesele pe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le utilizează pentru aprobarea modelelor de evaluare a riscului („risk-pricing models”) și pentru aprobarea sistemelor de evaluare care sunt folosite de către personalul din unitățile responsabile cu inițierea tranzacțiilor („front office”) și din unitățile responsabile cu înregistrarea și monitorizarea tranzacțiilor inițiate („back office”);</w:t>
            </w:r>
          </w:p>
          <w:p w14:paraId="6057EAF0" w14:textId="779EEC06"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384.4.</w:t>
            </w:r>
            <w:r w:rsidR="008A3314" w:rsidRPr="00C011B2">
              <w:rPr>
                <w:rFonts w:ascii="Times New Roman" w:hAnsi="Times New Roman" w:cs="Times New Roman"/>
                <w:color w:val="000000" w:themeColor="text1"/>
                <w:lang w:val="ro-MD"/>
              </w:rPr>
              <w:t> sfera riscurilor surprinse de către model, acuratețea și adecvarea sistemului de măsurare a riscurilor și validarea oricăror modificări semnificative în cadrul modelului intern de măsurare a riscurilor;</w:t>
            </w:r>
          </w:p>
          <w:p w14:paraId="27DCDDAB" w14:textId="26D18D08"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384.5.</w:t>
            </w:r>
            <w:r w:rsidR="008A3314" w:rsidRPr="00C011B2">
              <w:rPr>
                <w:rFonts w:ascii="Times New Roman" w:hAnsi="Times New Roman" w:cs="Times New Roman"/>
                <w:color w:val="000000" w:themeColor="text1"/>
                <w:lang w:val="ro-MD"/>
              </w:rPr>
              <w:t xml:space="preserve"> acuratețea și caracterul complet al datelor aferente pozițiilor, acuratețea și caracterul adecvat în ceea ce privește ipotezele referitoare la volatilitate și corelare, acuratețea calculelor evaluării și ale sensibilității la risc, precum și acuratețea și caracterul adecvat al metodelor utilizate pentru generarea de date de substituire atunci când </w:t>
            </w:r>
            <w:r w:rsidR="008A3314" w:rsidRPr="00C011B2">
              <w:rPr>
                <w:rFonts w:ascii="Times New Roman" w:hAnsi="Times New Roman" w:cs="Times New Roman"/>
                <w:color w:val="000000" w:themeColor="text1"/>
                <w:lang w:val="ro-MD"/>
              </w:rPr>
              <w:lastRenderedPageBreak/>
              <w:t>datele disponibile sunt insuficiente pentru a îndeplini cerința prevăzută în prezentul capitol;</w:t>
            </w:r>
          </w:p>
          <w:p w14:paraId="5F30B2D9" w14:textId="620F42B8"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384.6.</w:t>
            </w:r>
            <w:r w:rsidR="008A3314" w:rsidRPr="00C011B2">
              <w:rPr>
                <w:rFonts w:ascii="Times New Roman" w:hAnsi="Times New Roman" w:cs="Times New Roman"/>
                <w:color w:val="000000" w:themeColor="text1"/>
                <w:lang w:val="ro-MD"/>
              </w:rPr>
              <w:t xml:space="preserve"> procesul de verificare pe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îl utilizează la evaluarea consecvenței, oportunității și fiabilității surselor de date utilizate pentru rularea modelelor sale interne de măsurare a riscurilor, inclusiv independența acestor surse de date;</w:t>
            </w:r>
          </w:p>
          <w:p w14:paraId="6A4A24D8" w14:textId="7C982AF2"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384.7.</w:t>
            </w:r>
            <w:r w:rsidR="008A3314" w:rsidRPr="00C011B2">
              <w:rPr>
                <w:rFonts w:ascii="Times New Roman" w:hAnsi="Times New Roman" w:cs="Times New Roman"/>
                <w:color w:val="000000" w:themeColor="text1"/>
                <w:lang w:val="ro-MD"/>
              </w:rPr>
              <w:t xml:space="preserve"> procesul de verificare pe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îl utilizează la evaluarea cerințelor privind testarea </w:t>
            </w:r>
            <w:r w:rsidR="008A3314" w:rsidRPr="00C011B2">
              <w:rPr>
                <w:rFonts w:ascii="Times New Roman" w:hAnsi="Times New Roman" w:cs="Times New Roman"/>
                <w:i/>
                <w:iCs/>
                <w:color w:val="000000" w:themeColor="text1"/>
                <w:lang w:val="ro-MD"/>
              </w:rPr>
              <w:t>ex post</w:t>
            </w:r>
            <w:r w:rsidR="008A3314" w:rsidRPr="00C011B2">
              <w:rPr>
                <w:rFonts w:ascii="Times New Roman" w:hAnsi="Times New Roman" w:cs="Times New Roman"/>
                <w:color w:val="000000" w:themeColor="text1"/>
                <w:lang w:val="ro-MD"/>
              </w:rPr>
              <w:t> și a cerințelor privind atribuirea profitului și a pierderii pentru a aprecia acuratețea modelelor sale interne de măsurare a riscurilor;</w:t>
            </w:r>
          </w:p>
          <w:p w14:paraId="22DD051E" w14:textId="02F79A9E" w:rsidR="008A3314" w:rsidRPr="00C011B2" w:rsidRDefault="002B0FD7"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384.8.</w:t>
            </w:r>
            <w:r w:rsidR="008A3314" w:rsidRPr="00C011B2">
              <w:rPr>
                <w:rFonts w:ascii="Times New Roman" w:hAnsi="Times New Roman" w:cs="Times New Roman"/>
                <w:color w:val="000000" w:themeColor="text1"/>
                <w:lang w:val="ro-MD"/>
              </w:rPr>
              <w:t xml:space="preserve"> în cazul în care reexaminarea este efectuată de o întreprindere terță în conformitate cu </w:t>
            </w:r>
            <w:r w:rsidRPr="00C011B2">
              <w:rPr>
                <w:rFonts w:ascii="Times New Roman" w:hAnsi="Times New Roman" w:cs="Times New Roman"/>
                <w:color w:val="000000" w:themeColor="text1"/>
                <w:lang w:val="ro-MD"/>
              </w:rPr>
              <w:t>subpct.381.8</w:t>
            </w:r>
            <w:r w:rsidR="008A3314" w:rsidRPr="00C011B2">
              <w:rPr>
                <w:rFonts w:ascii="Times New Roman" w:hAnsi="Times New Roman" w:cs="Times New Roman"/>
                <w:color w:val="000000" w:themeColor="text1"/>
                <w:lang w:val="ro-MD"/>
              </w:rPr>
              <w:t xml:space="preserve">, verificarea faptului că procesul de validare internă prevăzut la </w:t>
            </w:r>
            <w:r w:rsidR="009843DD" w:rsidRPr="00C011B2">
              <w:rPr>
                <w:rFonts w:ascii="Times New Roman" w:hAnsi="Times New Roman" w:cs="Times New Roman"/>
                <w:color w:val="000000" w:themeColor="text1"/>
                <w:lang w:val="ro-MD"/>
              </w:rPr>
              <w:t>subsecțiunea 9</w:t>
            </w:r>
            <w:r w:rsidR="008A3314" w:rsidRPr="00C011B2">
              <w:rPr>
                <w:rFonts w:ascii="Times New Roman" w:hAnsi="Times New Roman" w:cs="Times New Roman"/>
                <w:color w:val="000000" w:themeColor="text1"/>
                <w:lang w:val="ro-MD"/>
              </w:rPr>
              <w:t xml:space="preserve"> își îndeplinește obiectivele.</w:t>
            </w:r>
            <w:bookmarkEnd w:id="384"/>
          </w:p>
        </w:tc>
        <w:tc>
          <w:tcPr>
            <w:tcW w:w="450" w:type="pct"/>
          </w:tcPr>
          <w:p w14:paraId="141A0D31" w14:textId="0A4BD826"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678DA9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5BE352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0229CAD" w14:textId="7A8A72C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Instituțiile își actualizează tehnicile și practicile utilizate pentru oricare dintre modelele interne de măsurare a riscurilor pe care le folosesc în sensul prezentului capitol pentru a ține seama de evoluția noilor tehnici și bune practici care apar referitor la respectivele modele interne de măsurare a riscurilor.</w:t>
            </w:r>
          </w:p>
        </w:tc>
        <w:tc>
          <w:tcPr>
            <w:tcW w:w="1692" w:type="pct"/>
            <w:shd w:val="clear" w:color="auto" w:fill="auto"/>
          </w:tcPr>
          <w:p w14:paraId="4AE14787" w14:textId="6734B0BA" w:rsidR="008A3314" w:rsidRPr="00C011B2" w:rsidRDefault="009843DD" w:rsidP="008A3314">
            <w:pPr>
              <w:spacing w:after="0" w:line="276" w:lineRule="auto"/>
              <w:jc w:val="both"/>
              <w:rPr>
                <w:rFonts w:ascii="Times New Roman" w:hAnsi="Times New Roman" w:cs="Times New Roman"/>
                <w:color w:val="000000" w:themeColor="text1"/>
                <w:lang w:val="ro-MD"/>
              </w:rPr>
            </w:pPr>
            <w:bookmarkStart w:id="385" w:name="_Hlk224129918"/>
            <w:r w:rsidRPr="00C011B2">
              <w:rPr>
                <w:rFonts w:ascii="Times New Roman" w:hAnsi="Times New Roman" w:cs="Times New Roman"/>
                <w:color w:val="000000" w:themeColor="text1"/>
                <w:lang w:val="ro-MD"/>
              </w:rPr>
              <w:t>385.</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își actualizează tehnicile și practicile utilizate pentru oricare dintre modelele interne de măsurare a riscurilor pe care le folosesc în sensul prezentului capitol pentru a ține seama de evoluția noilor tehnici și bune practici care apar referitor la respectivele modele interne de măsurare a riscurilor.</w:t>
            </w:r>
            <w:bookmarkEnd w:id="385"/>
          </w:p>
        </w:tc>
        <w:tc>
          <w:tcPr>
            <w:tcW w:w="450" w:type="pct"/>
          </w:tcPr>
          <w:p w14:paraId="3F81F19A" w14:textId="4CC0DD13"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71E701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FB9802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6204CB"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325bj</w:t>
            </w:r>
          </w:p>
          <w:p w14:paraId="4E06D728" w14:textId="371A074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Validarea internă</w:t>
            </w:r>
          </w:p>
        </w:tc>
        <w:tc>
          <w:tcPr>
            <w:tcW w:w="1692" w:type="pct"/>
            <w:shd w:val="clear" w:color="auto" w:fill="auto"/>
          </w:tcPr>
          <w:p w14:paraId="7778F1CB" w14:textId="4307EEAE" w:rsidR="008A3314" w:rsidRPr="00C011B2" w:rsidRDefault="009E061C" w:rsidP="008A3314">
            <w:pPr>
              <w:spacing w:after="0" w:line="276" w:lineRule="auto"/>
              <w:jc w:val="both"/>
              <w:rPr>
                <w:rFonts w:ascii="Times New Roman" w:hAnsi="Times New Roman" w:cs="Times New Roman"/>
                <w:color w:val="000000" w:themeColor="text1"/>
                <w:lang w:val="ro-MD"/>
              </w:rPr>
            </w:pPr>
            <w:bookmarkStart w:id="386" w:name="_Hlk195098965"/>
            <w:r w:rsidRPr="00C011B2">
              <w:rPr>
                <w:rFonts w:ascii="Times New Roman" w:hAnsi="Times New Roman" w:cs="Times New Roman"/>
                <w:i/>
                <w:iCs/>
                <w:color w:val="000000" w:themeColor="text1"/>
                <w:lang w:val="ro-MD"/>
              </w:rPr>
              <w:t xml:space="preserve">Subsecțiunea 9. </w:t>
            </w:r>
            <w:r w:rsidR="008A3314" w:rsidRPr="00C011B2">
              <w:rPr>
                <w:rFonts w:ascii="Times New Roman" w:hAnsi="Times New Roman" w:cs="Times New Roman"/>
                <w:b/>
                <w:bCs/>
                <w:color w:val="000000" w:themeColor="text1"/>
                <w:lang w:val="ro-MD"/>
              </w:rPr>
              <w:t>Validarea internă</w:t>
            </w:r>
            <w:bookmarkEnd w:id="386"/>
          </w:p>
        </w:tc>
        <w:tc>
          <w:tcPr>
            <w:tcW w:w="450" w:type="pct"/>
          </w:tcPr>
          <w:p w14:paraId="75E0F7E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529315D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C17446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F572479" w14:textId="5BA66CF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dispun de proceduri pentru a asigura validarea adecvată a oricărui model intern de măsurare a riscurilor utilizat în sensul prezentului capitol de către părți cu calificare adecvată care sunt independente de procesul de elaborare, pentru a se asigura că orice astfel de model este solid din punct de vedere conceptual și surprinde în mod adecvat toate riscurile semnificative.</w:t>
            </w:r>
          </w:p>
        </w:tc>
        <w:tc>
          <w:tcPr>
            <w:tcW w:w="1692" w:type="pct"/>
            <w:shd w:val="clear" w:color="auto" w:fill="auto"/>
          </w:tcPr>
          <w:p w14:paraId="4D1F3928" w14:textId="4AC158E1"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386.</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dispun de proceduri pentru a asigura validarea adecvată a oricărui model intern de măsurare a riscurilor utilizat în sensul prezentului capitol de către părți cu calificare adecvată care sunt independente de procesul de elaborare, pentru a se asigura că orice astfel de model este solid din punct de vedere conceptual și surprinde în mod adecvat toate riscurile semnificative.</w:t>
            </w:r>
          </w:p>
        </w:tc>
        <w:tc>
          <w:tcPr>
            <w:tcW w:w="450" w:type="pct"/>
          </w:tcPr>
          <w:p w14:paraId="41E08F78" w14:textId="1DEDF0F4"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EECC39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4E143F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542A93" w14:textId="36143B2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efectuează validarea menționată la alineatul (1) în următoarele circumstanțe:</w:t>
            </w:r>
          </w:p>
          <w:p w14:paraId="2E8FA698" w14:textId="412F07C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atunci când un model intern de măsurare a riscurilor este elaborat inițial și atunci când sunt operate modificări semnificative asupra modelului respectiv;</w:t>
            </w:r>
          </w:p>
          <w:p w14:paraId="2933010C" w14:textId="7B12F0A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periodic, în special atunci când au intervenit modificări structurale semnificative ale pieței sau modificări ale componenței portofoliului care ar putea face ca modelul intern de măsurare a riscurilor să nu mai fie adecvat.</w:t>
            </w:r>
          </w:p>
        </w:tc>
        <w:tc>
          <w:tcPr>
            <w:tcW w:w="1692" w:type="pct"/>
            <w:shd w:val="clear" w:color="auto" w:fill="auto"/>
          </w:tcPr>
          <w:p w14:paraId="0BEFDB46" w14:textId="127B972F"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387.</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efectuează validarea menționată la </w:t>
            </w:r>
            <w:r w:rsidRPr="00C011B2">
              <w:rPr>
                <w:rFonts w:ascii="Times New Roman" w:hAnsi="Times New Roman" w:cs="Times New Roman"/>
                <w:color w:val="000000" w:themeColor="text1"/>
                <w:lang w:val="ro-MD"/>
              </w:rPr>
              <w:t>pct.386</w:t>
            </w:r>
            <w:r w:rsidR="008A3314" w:rsidRPr="00C011B2">
              <w:rPr>
                <w:rFonts w:ascii="Times New Roman" w:hAnsi="Times New Roman" w:cs="Times New Roman"/>
                <w:color w:val="000000" w:themeColor="text1"/>
                <w:lang w:val="ro-MD"/>
              </w:rPr>
              <w:t xml:space="preserve"> în următoarele circumstanțe:</w:t>
            </w:r>
          </w:p>
          <w:p w14:paraId="0BBBB259" w14:textId="2A639D73"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387.1.</w:t>
            </w:r>
            <w:r w:rsidR="008A3314" w:rsidRPr="00C011B2">
              <w:rPr>
                <w:rFonts w:ascii="Times New Roman" w:hAnsi="Times New Roman" w:cs="Times New Roman"/>
                <w:color w:val="000000" w:themeColor="text1"/>
                <w:lang w:val="ro-MD"/>
              </w:rPr>
              <w:t> atunci când un model intern de măsurare a riscurilor este elaborat inițial și atunci când sunt operate modificări semnificative asupra modelului respectiv;</w:t>
            </w:r>
          </w:p>
          <w:p w14:paraId="24BBF783" w14:textId="4A9C012B"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387.2.</w:t>
            </w:r>
            <w:r w:rsidR="008A3314" w:rsidRPr="00C011B2">
              <w:rPr>
                <w:rFonts w:ascii="Times New Roman" w:hAnsi="Times New Roman" w:cs="Times New Roman"/>
                <w:color w:val="000000" w:themeColor="text1"/>
                <w:lang w:val="ro-MD"/>
              </w:rPr>
              <w:t> periodic, în special atunci când au intervenit modificări structurale semnificative ale pieței sau modificări ale componenței portofoliului care ar putea face ca modelul intern de măsurare a riscurilor să nu mai fie adecvat.</w:t>
            </w:r>
          </w:p>
        </w:tc>
        <w:tc>
          <w:tcPr>
            <w:tcW w:w="450" w:type="pct"/>
          </w:tcPr>
          <w:p w14:paraId="5A13215F" w14:textId="2092C480"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AF42FF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3C0659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4AB77AF" w14:textId="5A79ABE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Validarea modelelor interne de măsurare a riscurilor ale unei instituții nu se limitează la cerințele privind testarea ex post și atribuirea profitului și a pierderii, ci include cel puțin următoarele:</w:t>
            </w:r>
          </w:p>
          <w:p w14:paraId="59974F7F" w14:textId="0C6A062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 teste pentru a verifica dacă ipotezele aferente modelului intern sunt adecvate și nu subestimează sau supraestimează riscul;</w:t>
            </w:r>
          </w:p>
          <w:p w14:paraId="328EA6FD" w14:textId="76EA0FB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teste proprii de validare a modelului intern, inclusiv teste ex post, în plus față de programele de testare ex post impuse prin reglementări, în legătură cu riscurile și structurile portofoliilor lor;</w:t>
            </w:r>
          </w:p>
          <w:p w14:paraId="2121C353" w14:textId="1FE031F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utilizarea portofoliilor ipotetice pentru a avea siguranța că modelul intern de măsurare a riscurilor este în măsură să țină cont de trăsături structurale particulare care pot apărea, de exemplu riscurile semnificative aferente bazei și riscul de concentrare sau riscurile asociate utilizării de substituenți.</w:t>
            </w:r>
          </w:p>
        </w:tc>
        <w:tc>
          <w:tcPr>
            <w:tcW w:w="1692" w:type="pct"/>
            <w:shd w:val="clear" w:color="auto" w:fill="auto"/>
          </w:tcPr>
          <w:p w14:paraId="673BA3D1" w14:textId="50CCADE6"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388.</w:t>
            </w:r>
            <w:r w:rsidR="008A3314" w:rsidRPr="00C011B2">
              <w:rPr>
                <w:rFonts w:ascii="Times New Roman" w:hAnsi="Times New Roman" w:cs="Times New Roman"/>
                <w:color w:val="000000" w:themeColor="text1"/>
                <w:lang w:val="ro-MD"/>
              </w:rPr>
              <w:t xml:space="preserve">   Validarea modelelor interne de măsurare a riscurilor ale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nu se limitează la cerințele privind testarea ex post și atribuirea profitului și a pierderii, ci include cel puțin următoarele:</w:t>
            </w:r>
          </w:p>
          <w:p w14:paraId="7608866D" w14:textId="573824FF"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388.1.</w:t>
            </w:r>
            <w:r w:rsidR="008A3314" w:rsidRPr="00C011B2">
              <w:rPr>
                <w:rFonts w:ascii="Times New Roman" w:hAnsi="Times New Roman" w:cs="Times New Roman"/>
                <w:color w:val="000000" w:themeColor="text1"/>
                <w:lang w:val="ro-MD"/>
              </w:rPr>
              <w:t> teste pentru a verifica dacă ipotezele aferente modelului intern sunt adecvate și nu subestimează sau supraestimează riscul;</w:t>
            </w:r>
          </w:p>
          <w:p w14:paraId="401A0D51" w14:textId="1FF03FAD"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388.2.</w:t>
            </w:r>
            <w:r w:rsidR="008A3314" w:rsidRPr="00C011B2">
              <w:rPr>
                <w:rFonts w:ascii="Times New Roman" w:hAnsi="Times New Roman" w:cs="Times New Roman"/>
                <w:color w:val="000000" w:themeColor="text1"/>
                <w:lang w:val="ro-MD"/>
              </w:rPr>
              <w:t> teste proprii de validare a modelului intern, inclusiv teste ex post, în plus față de programele de testare ex post impuse prin reglementări, în legătură cu riscurile și structurile portofoliilor lor;</w:t>
            </w:r>
          </w:p>
          <w:p w14:paraId="274F1CF2" w14:textId="5EC79F0C"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388.3.</w:t>
            </w:r>
            <w:r w:rsidR="008A3314" w:rsidRPr="00C011B2">
              <w:rPr>
                <w:rFonts w:ascii="Times New Roman" w:hAnsi="Times New Roman" w:cs="Times New Roman"/>
                <w:color w:val="000000" w:themeColor="text1"/>
                <w:lang w:val="ro-MD"/>
              </w:rPr>
              <w:t> utilizarea portofoliilor ipotetice pentru a avea siguranța că modelul intern de măsurare a riscurilor este în măsură să țină cont de trăsături structurale particulare care pot apărea, de exemplu riscurile semnificative aferente bazei și riscul de concentrare sau riscurile asociate utilizării de substituenți.</w:t>
            </w:r>
          </w:p>
        </w:tc>
        <w:tc>
          <w:tcPr>
            <w:tcW w:w="450" w:type="pct"/>
          </w:tcPr>
          <w:p w14:paraId="211648EE" w14:textId="3D5D4ECF"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EF8A43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ED992A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A3082C3"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325bk</w:t>
            </w:r>
          </w:p>
          <w:p w14:paraId="0E9C20D4" w14:textId="46A9114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Calcularea măsurii riscurilor pentru scenarii de criză</w:t>
            </w:r>
          </w:p>
        </w:tc>
        <w:tc>
          <w:tcPr>
            <w:tcW w:w="1692" w:type="pct"/>
            <w:shd w:val="clear" w:color="auto" w:fill="auto"/>
          </w:tcPr>
          <w:p w14:paraId="16A41D24" w14:textId="0820FB97" w:rsidR="008A3314" w:rsidRPr="00C011B2" w:rsidRDefault="009E061C" w:rsidP="008A3314">
            <w:pPr>
              <w:spacing w:after="0" w:line="276" w:lineRule="auto"/>
              <w:jc w:val="both"/>
              <w:rPr>
                <w:rFonts w:ascii="Times New Roman" w:hAnsi="Times New Roman" w:cs="Times New Roman"/>
                <w:color w:val="000000" w:themeColor="text1"/>
                <w:lang w:val="ro-MD"/>
              </w:rPr>
            </w:pPr>
            <w:bookmarkStart w:id="387" w:name="_Hlk195098992"/>
            <w:r w:rsidRPr="00C011B2">
              <w:rPr>
                <w:rFonts w:ascii="Times New Roman" w:hAnsi="Times New Roman" w:cs="Times New Roman"/>
                <w:i/>
                <w:iCs/>
                <w:color w:val="000000" w:themeColor="text1"/>
                <w:lang w:val="ro-MD"/>
              </w:rPr>
              <w:t xml:space="preserve">Subsecțiunea 10. </w:t>
            </w:r>
            <w:r w:rsidR="008A3314" w:rsidRPr="00C011B2">
              <w:rPr>
                <w:rFonts w:ascii="Times New Roman" w:hAnsi="Times New Roman" w:cs="Times New Roman"/>
                <w:b/>
                <w:bCs/>
                <w:color w:val="000000" w:themeColor="text1"/>
                <w:lang w:val="ro-MD"/>
              </w:rPr>
              <w:t>Calcularea măsurii riscurilor pentru scenarii de criză</w:t>
            </w:r>
            <w:bookmarkEnd w:id="387"/>
          </w:p>
        </w:tc>
        <w:tc>
          <w:tcPr>
            <w:tcW w:w="450" w:type="pct"/>
          </w:tcPr>
          <w:p w14:paraId="30FEA36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33D07307"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D6E4E1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C363A22" w14:textId="39C9A0E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Măsura riscurilor pentru scenarii de criză aferentă unui factor de risc nemodelabil înseamnă pierderea suferită la nivelul tuturor pozițiilor aferente portofoliului de tranzacționare sau pozițiilor din afara portofoliului de tranzacționare care prezintă un risc valutar sau de marfă care include respectivul factor de risc nemodelabil în cazul în care respectivului factor de risc i se aplică un scenariu extrem al șocurilor viitoare.</w:t>
            </w:r>
          </w:p>
        </w:tc>
        <w:tc>
          <w:tcPr>
            <w:tcW w:w="1692" w:type="pct"/>
            <w:shd w:val="clear" w:color="auto" w:fill="auto"/>
          </w:tcPr>
          <w:p w14:paraId="576117F8" w14:textId="74608F3E"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389.</w:t>
            </w:r>
            <w:r w:rsidR="008A3314" w:rsidRPr="00C011B2">
              <w:rPr>
                <w:rFonts w:ascii="Times New Roman" w:hAnsi="Times New Roman" w:cs="Times New Roman"/>
                <w:color w:val="000000" w:themeColor="text1"/>
                <w:lang w:val="ro-MD"/>
              </w:rPr>
              <w:t>   Măsura riscurilor pentru scenarii de criză aferentă unui factor de risc nemodelabil înseamnă pierderea suferită la nivelul tuturor pozițiilor aferente portofoliului de tranzacționare sau pozițiilor din afara portofoliului de tranzacționare care prezintă un risc valutar sau de marfă care include respectivul factor de risc nemodelabil în cazul în care respectivului factor de risc i se aplică un scenariu extrem al șocurilor viitoare.</w:t>
            </w:r>
          </w:p>
        </w:tc>
        <w:tc>
          <w:tcPr>
            <w:tcW w:w="450" w:type="pct"/>
          </w:tcPr>
          <w:p w14:paraId="42E17B55" w14:textId="1884A86C"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F45377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23AAE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BFC9D0" w14:textId="13A0BAC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Instituțiile elaborează scenarii extreme ale șocurilor viitoare adecvate pentru toți factorii de risc nemodelabili, într-un mod pe care autoritățile competente îl consideră satisfăcător.</w:t>
            </w:r>
          </w:p>
        </w:tc>
        <w:tc>
          <w:tcPr>
            <w:tcW w:w="1692" w:type="pct"/>
            <w:shd w:val="clear" w:color="auto" w:fill="auto"/>
          </w:tcPr>
          <w:p w14:paraId="0CAE0144" w14:textId="4A21E45F" w:rsidR="008A3314" w:rsidRPr="00C011B2" w:rsidRDefault="009E061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390.</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elaborează scenarii extreme ale șocurilor viitoare adecvate pentru toți factorii de risc nemodelabili, într-un mod pe care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îl consideră satisfăcător.</w:t>
            </w:r>
          </w:p>
        </w:tc>
        <w:tc>
          <w:tcPr>
            <w:tcW w:w="450" w:type="pct"/>
          </w:tcPr>
          <w:p w14:paraId="0A7332DF" w14:textId="343DE3BE"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0734C17"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84244D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7123827" w14:textId="50B3532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ABE elaborează proiecte de standarde tehnice de reglementare pentru a preciza:</w:t>
            </w:r>
          </w:p>
          <w:p w14:paraId="0E90CFEC" w14:textId="0A8A2B3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modul în care instituțiile urmează să elaboreze care sunt scenariile extreme ale șocurilor viitoare aplicabile factorilor de risc nemodelabili și modul în care acestea urmează să aplice factorilor de risc în cauză respectivele scenarii extrem ale șocurilor viitoare;</w:t>
            </w:r>
          </w:p>
          <w:p w14:paraId="66E4654E" w14:textId="76F1973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un scenariu extrem al șocurilor viitoare stabilit prin reglementări pentru fiecare subcategorie generală de factori de risc enumerată în tabelul 2 de la articolul 325bd, pe care instituțiile să îl poată utiliza atunci când nu pot elabora un scenariu extrem al șocurilor viitoare în conformitate cu litera (a) de la prezentul paragraf sau pe care autoritățile competente să le poată impune instituțiilor să îl aplice dacă nu consideră că scenariul extrem al șocurilor viitoare elaborat de instituție este satisfăcător;</w:t>
            </w:r>
          </w:p>
          <w:p w14:paraId="5E185415" w14:textId="2D42DFC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circumstanțele în care instituțiile pot calcula o măsură a riscurilor pentru scenarii de criză pentru mai mulți factori de risc nemodelabili;</w:t>
            </w:r>
          </w:p>
          <w:p w14:paraId="54C38ECC" w14:textId="799014E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 modul în care instituțiile trebuie să prezinte în formă agregată măsurile riscurilor pentru scenarii de criză în cazul tuturor factorilor de risc nemodelabili incluși în pozițiile din portofoliul lor de tranzacționare și în pozițiile din afara portofoliului de tranzacționare care prezintă un risc valutar sau de marfă.</w:t>
            </w:r>
          </w:p>
          <w:p w14:paraId="6D4A07F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La elaborarea proiectelor de standarde tehnice de reglementare respective, ABE ia în considerare faptul că nivelul cerințelor de fonduri proprii pentru riscul de piață aferent unui factor de risc nemodelabil, astfel cum este prevăzut la prezentul articol, trebuie să fie la fel de ridicat ca și nivelul cerințelor de fonduri proprii pentru riscul de piață care ar fi calculate în conformitate cu prezentul capitol dacă acest factor de risc ar fi modelabil.</w:t>
            </w:r>
          </w:p>
          <w:p w14:paraId="4C1F8E9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28 septembrie 2020.</w:t>
            </w:r>
          </w:p>
          <w:p w14:paraId="35938A0F" w14:textId="277E0D6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78244194" w14:textId="19ABDB66"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21F4CCB2" w14:textId="27ADFD24"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475D7AF1" w14:textId="58D50B2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Alin.(6) stabilește obligații pentru autorități europene – Autoritatea Bancară Europeană.</w:t>
            </w:r>
          </w:p>
        </w:tc>
      </w:tr>
      <w:tr w:rsidR="008A3314" w:rsidRPr="00C011B2" w14:paraId="5CFBD18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03899E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3</w:t>
            </w:r>
          </w:p>
          <w:p w14:paraId="66758E28"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Modelul intern pentru riscul de nerambursare</w:t>
            </w:r>
          </w:p>
          <w:p w14:paraId="46DB80CD"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325bl</w:t>
            </w:r>
          </w:p>
          <w:p w14:paraId="1639654B" w14:textId="031ACCC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lastRenderedPageBreak/>
              <w:t>Sfera de aplicare a modelului intern pentru riscul de nerambursare</w:t>
            </w:r>
          </w:p>
        </w:tc>
        <w:tc>
          <w:tcPr>
            <w:tcW w:w="1692" w:type="pct"/>
            <w:shd w:val="clear" w:color="auto" w:fill="auto"/>
          </w:tcPr>
          <w:p w14:paraId="03B2D987"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bookmarkStart w:id="388" w:name="_Hlk195099030"/>
            <w:r w:rsidRPr="00C011B2">
              <w:rPr>
                <w:rFonts w:ascii="Times New Roman" w:hAnsi="Times New Roman" w:cs="Times New Roman"/>
                <w:b/>
                <w:bCs/>
                <w:color w:val="000000" w:themeColor="text1"/>
                <w:lang w:val="ro-MD"/>
              </w:rPr>
              <w:lastRenderedPageBreak/>
              <w:t>Secțiunea 3</w:t>
            </w:r>
          </w:p>
          <w:p w14:paraId="7F4FD4D3"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Modelul intern pentru riscul de nerambursare</w:t>
            </w:r>
          </w:p>
          <w:p w14:paraId="32EFA997" w14:textId="0CF2284F" w:rsidR="008A3314" w:rsidRPr="00C011B2" w:rsidRDefault="006012B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lastRenderedPageBreak/>
              <w:t xml:space="preserve">Subsecțiunea 1. </w:t>
            </w:r>
            <w:r w:rsidR="008A3314" w:rsidRPr="00C011B2">
              <w:rPr>
                <w:rFonts w:ascii="Times New Roman" w:hAnsi="Times New Roman" w:cs="Times New Roman"/>
                <w:b/>
                <w:bCs/>
                <w:color w:val="000000" w:themeColor="text1"/>
                <w:lang w:val="ro-MD"/>
              </w:rPr>
              <w:t>Sfera de aplicare a modelului intern pentru riscul de nerambursare</w:t>
            </w:r>
            <w:bookmarkEnd w:id="388"/>
          </w:p>
        </w:tc>
        <w:tc>
          <w:tcPr>
            <w:tcW w:w="450" w:type="pct"/>
          </w:tcPr>
          <w:p w14:paraId="2F49DA4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3F488AA6"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A401EF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59ED28B" w14:textId="0F5B203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Toate pozițiile unei instituții care au fost atribuite birourilor de tranzacționare pentru care instituția a primit aprobarea prevăzută la articolul 325az alineatul (2) sunt supuse unei cerințe de fonduri proprii pentru riscul de nerambursare în cazul în care pozițiile respective conțin cel puțin un factor de risc pus în corespondență cu categoriile generale de factori de risc „capital propriu” sau „marjă de credit” în conformitate cu articolul 325bd alineatul (1). Această cerință de fonduri proprii, care se adaugă la riscurile reflectate de cerințele de fonduri proprii menționate la articolul 325ba alineatul (1), se calculează pe baza modelului intern pentru riscul de nerambursare al instituției. Modelul respectiv respectă cerințele prevăzute în prezenta secțiune.</w:t>
            </w:r>
          </w:p>
        </w:tc>
        <w:tc>
          <w:tcPr>
            <w:tcW w:w="1692" w:type="pct"/>
            <w:shd w:val="clear" w:color="auto" w:fill="auto"/>
          </w:tcPr>
          <w:p w14:paraId="790001EC" w14:textId="2952B7E6" w:rsidR="008A3314" w:rsidRPr="00C011B2" w:rsidRDefault="006012B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391.</w:t>
            </w:r>
            <w:r w:rsidR="008A3314" w:rsidRPr="00C011B2">
              <w:rPr>
                <w:rFonts w:ascii="Times New Roman" w:hAnsi="Times New Roman" w:cs="Times New Roman"/>
                <w:color w:val="000000" w:themeColor="text1"/>
                <w:lang w:val="ro-MD"/>
              </w:rPr>
              <w:t xml:space="preserve">   Toate pozițiile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care au fost atribuite birourilor de tranzacționare pentru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a primit aprobarea prevăzută la </w:t>
            </w:r>
            <w:r w:rsidR="00EC62EC" w:rsidRPr="00C011B2">
              <w:rPr>
                <w:rFonts w:ascii="Times New Roman" w:hAnsi="Times New Roman" w:cs="Times New Roman"/>
                <w:color w:val="000000" w:themeColor="text1"/>
                <w:lang w:val="ro-MD"/>
              </w:rPr>
              <w:t>pct.331</w:t>
            </w:r>
            <w:r w:rsidR="008A3314" w:rsidRPr="00C011B2">
              <w:rPr>
                <w:rFonts w:ascii="Times New Roman" w:hAnsi="Times New Roman" w:cs="Times New Roman"/>
                <w:color w:val="000000" w:themeColor="text1"/>
                <w:lang w:val="ro-MD"/>
              </w:rPr>
              <w:t xml:space="preserve"> sunt supuse unei cerințe de fonduri proprii pentru riscul de nerambursare în cazul în care pozițiile respective conțin cel puțin un factor de risc pus în corespondență cu categoriile generale de factori de risc „capital propriu” sau „marjă de credit” în conformitate cu</w:t>
            </w:r>
            <w:r w:rsidR="00A34689" w:rsidRPr="00C011B2">
              <w:rPr>
                <w:rFonts w:ascii="Times New Roman" w:hAnsi="Times New Roman" w:cs="Times New Roman"/>
                <w:color w:val="000000" w:themeColor="text1"/>
                <w:lang w:val="ro-MD"/>
              </w:rPr>
              <w:t xml:space="preserve"> </w:t>
            </w:r>
            <w:r w:rsidR="00EC62EC" w:rsidRPr="00C011B2">
              <w:rPr>
                <w:rFonts w:ascii="Times New Roman" w:hAnsi="Times New Roman" w:cs="Times New Roman"/>
                <w:color w:val="000000" w:themeColor="text1"/>
                <w:lang w:val="ro-MD"/>
              </w:rPr>
              <w:t>pct.353</w:t>
            </w:r>
            <w:r w:rsidR="008A3314" w:rsidRPr="00C011B2">
              <w:rPr>
                <w:rFonts w:ascii="Times New Roman" w:hAnsi="Times New Roman" w:cs="Times New Roman"/>
                <w:color w:val="000000" w:themeColor="text1"/>
                <w:lang w:val="ro-MD"/>
              </w:rPr>
              <w:t xml:space="preserve">. Această cerință de fonduri proprii, care se adaugă la riscurile reflectate de cerințele de fonduri proprii menționate la </w:t>
            </w:r>
            <w:r w:rsidR="00EC62EC" w:rsidRPr="00C011B2">
              <w:rPr>
                <w:rFonts w:ascii="Times New Roman" w:hAnsi="Times New Roman" w:cs="Times New Roman"/>
                <w:color w:val="000000" w:themeColor="text1"/>
                <w:lang w:val="ro-MD"/>
              </w:rPr>
              <w:t>pct.339-340</w:t>
            </w:r>
            <w:r w:rsidR="008A3314" w:rsidRPr="00C011B2">
              <w:rPr>
                <w:rFonts w:ascii="Times New Roman" w:hAnsi="Times New Roman" w:cs="Times New Roman"/>
                <w:color w:val="000000" w:themeColor="text1"/>
                <w:lang w:val="ro-MD"/>
              </w:rPr>
              <w:t xml:space="preserve">, se calculează pe baza modelului intern pentru riscul de nerambursare al </w:t>
            </w:r>
            <w:r w:rsidRPr="00C011B2">
              <w:rPr>
                <w:rFonts w:ascii="Times New Roman" w:hAnsi="Times New Roman" w:cs="Times New Roman"/>
                <w:color w:val="000000" w:themeColor="text1"/>
                <w:lang w:val="ro-MD"/>
              </w:rPr>
              <w:t>băncii</w:t>
            </w:r>
            <w:r w:rsidR="008A3314" w:rsidRPr="00C011B2">
              <w:rPr>
                <w:rFonts w:ascii="Times New Roman" w:hAnsi="Times New Roman" w:cs="Times New Roman"/>
                <w:color w:val="000000" w:themeColor="text1"/>
                <w:lang w:val="ro-MD"/>
              </w:rPr>
              <w:t>. Modelul respectiv respectă cerințele prevăzute în prezenta secțiune.</w:t>
            </w:r>
          </w:p>
        </w:tc>
        <w:tc>
          <w:tcPr>
            <w:tcW w:w="450" w:type="pct"/>
          </w:tcPr>
          <w:p w14:paraId="1056BC5D" w14:textId="1CC8EAEF"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A84F88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DED231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10E8F0" w14:textId="7B27F84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Pentru fiecare dintre pozițiile menționate la alineatul (1), o instituție identifică un singur emitent de titluri de datorie sau de capital tranzacționate legate de cel puțin un factor de risc.</w:t>
            </w:r>
          </w:p>
        </w:tc>
        <w:tc>
          <w:tcPr>
            <w:tcW w:w="1692" w:type="pct"/>
            <w:shd w:val="clear" w:color="auto" w:fill="auto"/>
          </w:tcPr>
          <w:p w14:paraId="54C53D5E" w14:textId="4088E01F" w:rsidR="008A3314" w:rsidRPr="00C011B2" w:rsidRDefault="006012B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392.</w:t>
            </w:r>
            <w:r w:rsidR="008A3314" w:rsidRPr="00C011B2">
              <w:rPr>
                <w:rFonts w:ascii="Times New Roman" w:hAnsi="Times New Roman" w:cs="Times New Roman"/>
                <w:color w:val="000000" w:themeColor="text1"/>
                <w:lang w:val="ro-MD"/>
              </w:rPr>
              <w:t xml:space="preserve">  Pentru fiecare dintre pozițiile menționate la </w:t>
            </w:r>
            <w:r w:rsidRPr="00C011B2">
              <w:rPr>
                <w:rFonts w:ascii="Times New Roman" w:hAnsi="Times New Roman" w:cs="Times New Roman"/>
                <w:color w:val="000000" w:themeColor="text1"/>
                <w:lang w:val="ro-MD"/>
              </w:rPr>
              <w:t>pct.391</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identifică un singur emitent de titluri de datorie sau de capital tranzacționate legate de cel puțin un factor de risc.</w:t>
            </w:r>
          </w:p>
        </w:tc>
        <w:tc>
          <w:tcPr>
            <w:tcW w:w="450" w:type="pct"/>
          </w:tcPr>
          <w:p w14:paraId="2DD0147E" w14:textId="1A8A15B2"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2AEFB58"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736683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F1A26E9"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325bm</w:t>
            </w:r>
          </w:p>
          <w:p w14:paraId="2DD22FAA" w14:textId="5C46FAD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Aprobarea de a utiliza un model intern pentru riscul de nerambursare</w:t>
            </w:r>
          </w:p>
        </w:tc>
        <w:tc>
          <w:tcPr>
            <w:tcW w:w="1692" w:type="pct"/>
            <w:shd w:val="clear" w:color="auto" w:fill="auto"/>
          </w:tcPr>
          <w:p w14:paraId="737B67F1" w14:textId="220A9368" w:rsidR="008A3314" w:rsidRPr="00C011B2" w:rsidRDefault="006012B9" w:rsidP="008A3314">
            <w:pPr>
              <w:spacing w:after="0" w:line="276" w:lineRule="auto"/>
              <w:jc w:val="both"/>
              <w:rPr>
                <w:rFonts w:ascii="Times New Roman" w:hAnsi="Times New Roman" w:cs="Times New Roman"/>
                <w:color w:val="000000" w:themeColor="text1"/>
                <w:lang w:val="ro-MD"/>
              </w:rPr>
            </w:pPr>
            <w:bookmarkStart w:id="389" w:name="_Hlk195099062"/>
            <w:r w:rsidRPr="00C011B2">
              <w:rPr>
                <w:rFonts w:ascii="Times New Roman" w:hAnsi="Times New Roman" w:cs="Times New Roman"/>
                <w:i/>
                <w:iCs/>
                <w:color w:val="000000" w:themeColor="text1"/>
                <w:lang w:val="ro-MD"/>
              </w:rPr>
              <w:t xml:space="preserve">Subsecțiunea 2. </w:t>
            </w:r>
            <w:r w:rsidR="008A3314" w:rsidRPr="00C011B2">
              <w:rPr>
                <w:rFonts w:ascii="Times New Roman" w:hAnsi="Times New Roman" w:cs="Times New Roman"/>
                <w:b/>
                <w:bCs/>
                <w:color w:val="000000" w:themeColor="text1"/>
                <w:lang w:val="ro-MD"/>
              </w:rPr>
              <w:t xml:space="preserve">Aprobarea </w:t>
            </w:r>
            <w:r w:rsidR="00650836" w:rsidRPr="00C011B2">
              <w:rPr>
                <w:rFonts w:ascii="Times New Roman" w:hAnsi="Times New Roman" w:cs="Times New Roman"/>
                <w:b/>
                <w:bCs/>
                <w:color w:val="000000" w:themeColor="text1"/>
                <w:lang w:val="ro-MD"/>
              </w:rPr>
              <w:t xml:space="preserve">prealabilă </w:t>
            </w:r>
            <w:r w:rsidR="008A3314" w:rsidRPr="00C011B2">
              <w:rPr>
                <w:rFonts w:ascii="Times New Roman" w:hAnsi="Times New Roman" w:cs="Times New Roman"/>
                <w:b/>
                <w:bCs/>
                <w:color w:val="000000" w:themeColor="text1"/>
                <w:lang w:val="ro-MD"/>
              </w:rPr>
              <w:t>de a utiliza un model intern pentru riscul de nerambursare</w:t>
            </w:r>
            <w:bookmarkEnd w:id="389"/>
          </w:p>
        </w:tc>
        <w:tc>
          <w:tcPr>
            <w:tcW w:w="450" w:type="pct"/>
          </w:tcPr>
          <w:p w14:paraId="604F8AE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66918208"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103BD8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83451B" w14:textId="253D251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Autoritățile competente acordă unei instituții aprobarea de a utiliza un model intern pentru riscul de nerambursare pentru a calcula cerințele de fonduri proprii menționate la articolul 325ba alineatul (2) pentru toate pozițiile din portofoliul de tranzacționare menționate la articolul 325bl care sunt atribuite unui birou de tranzacționare pentru care modelul intern pentru riscul de nerambursare să fie conform cu cerințele stabilite la articolele 325bi, 325bj, 325bn, 325bo și 325bp.</w:t>
            </w:r>
          </w:p>
        </w:tc>
        <w:tc>
          <w:tcPr>
            <w:tcW w:w="1692" w:type="pct"/>
            <w:shd w:val="clear" w:color="auto" w:fill="auto"/>
          </w:tcPr>
          <w:p w14:paraId="51FECD83" w14:textId="761622F3" w:rsidR="008A3314" w:rsidRPr="00C011B2" w:rsidRDefault="006012B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393.</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acordă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aprobarea</w:t>
            </w:r>
            <w:r w:rsidR="00650836" w:rsidRPr="00C011B2">
              <w:rPr>
                <w:lang w:val="ro-MD"/>
              </w:rPr>
              <w:t xml:space="preserve"> </w:t>
            </w:r>
            <w:r w:rsidR="00650836" w:rsidRPr="00C011B2">
              <w:rPr>
                <w:rFonts w:ascii="Times New Roman" w:hAnsi="Times New Roman" w:cs="Times New Roman"/>
                <w:color w:val="000000" w:themeColor="text1"/>
                <w:lang w:val="ro-MD"/>
              </w:rPr>
              <w:t>prealabilă</w:t>
            </w:r>
            <w:r w:rsidR="008A3314" w:rsidRPr="00C011B2">
              <w:rPr>
                <w:rFonts w:ascii="Times New Roman" w:hAnsi="Times New Roman" w:cs="Times New Roman"/>
                <w:color w:val="000000" w:themeColor="text1"/>
                <w:lang w:val="ro-MD"/>
              </w:rPr>
              <w:t xml:space="preserve"> de a utiliza un model intern pentru riscul de nerambursare pentru a calcula cerințele de fonduri proprii menționate la </w:t>
            </w:r>
            <w:r w:rsidR="00EC62EC" w:rsidRPr="00C011B2">
              <w:rPr>
                <w:rFonts w:ascii="Times New Roman" w:hAnsi="Times New Roman" w:cs="Times New Roman"/>
                <w:color w:val="000000" w:themeColor="text1"/>
                <w:lang w:val="ro-MD"/>
              </w:rPr>
              <w:t>pct.341-342</w:t>
            </w:r>
            <w:r w:rsidR="008A3314" w:rsidRPr="00C011B2">
              <w:rPr>
                <w:rFonts w:ascii="Times New Roman" w:hAnsi="Times New Roman" w:cs="Times New Roman"/>
                <w:color w:val="000000" w:themeColor="text1"/>
                <w:lang w:val="ro-MD"/>
              </w:rPr>
              <w:t xml:space="preserve"> pentru toate pozițiile din portofoliul de tranzacționare menționate la </w:t>
            </w:r>
            <w:r w:rsidRPr="00C011B2">
              <w:rPr>
                <w:rFonts w:ascii="Times New Roman" w:hAnsi="Times New Roman" w:cs="Times New Roman"/>
                <w:color w:val="000000" w:themeColor="text1"/>
                <w:lang w:val="ro-MD"/>
              </w:rPr>
              <w:t>subsecțiunea 1</w:t>
            </w:r>
            <w:r w:rsidR="008A3314" w:rsidRPr="00C011B2">
              <w:rPr>
                <w:rFonts w:ascii="Times New Roman" w:hAnsi="Times New Roman" w:cs="Times New Roman"/>
                <w:color w:val="000000" w:themeColor="text1"/>
                <w:lang w:val="ro-MD"/>
              </w:rPr>
              <w:t xml:space="preserve"> care sunt atribuite unui birou de tranzacționare pentru care modelul intern pentru riscul de nerambursare să fie conform cu cerințele stabilite la </w:t>
            </w:r>
            <w:r w:rsidRPr="00C011B2">
              <w:rPr>
                <w:rFonts w:ascii="Times New Roman" w:hAnsi="Times New Roman" w:cs="Times New Roman"/>
                <w:color w:val="000000" w:themeColor="text1"/>
                <w:lang w:val="ro-MD"/>
              </w:rPr>
              <w:t>secțiunea 2, subsecțiunile 8 și 9 și prezenta secțiune</w:t>
            </w:r>
            <w:r w:rsidR="008A3314" w:rsidRPr="00C011B2">
              <w:rPr>
                <w:rFonts w:ascii="Times New Roman" w:hAnsi="Times New Roman" w:cs="Times New Roman"/>
                <w:color w:val="000000" w:themeColor="text1"/>
                <w:lang w:val="ro-MD"/>
              </w:rPr>
              <w:t>,</w:t>
            </w:r>
            <w:r w:rsidRPr="00C011B2">
              <w:rPr>
                <w:rFonts w:ascii="Times New Roman" w:hAnsi="Times New Roman" w:cs="Times New Roman"/>
                <w:color w:val="000000" w:themeColor="text1"/>
                <w:lang w:val="ro-MD"/>
              </w:rPr>
              <w:t xml:space="preserve"> subsecțiunile 3-5</w:t>
            </w:r>
            <w:r w:rsidR="008A3314" w:rsidRPr="00C011B2">
              <w:rPr>
                <w:rFonts w:ascii="Times New Roman" w:hAnsi="Times New Roman" w:cs="Times New Roman"/>
                <w:color w:val="000000" w:themeColor="text1"/>
                <w:lang w:val="ro-MD"/>
              </w:rPr>
              <w:t>.</w:t>
            </w:r>
          </w:p>
        </w:tc>
        <w:tc>
          <w:tcPr>
            <w:tcW w:w="450" w:type="pct"/>
          </w:tcPr>
          <w:p w14:paraId="371EF6FA" w14:textId="6E2FFA55"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9F5AD3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1BABE0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9FD23D1" w14:textId="56DFB1D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cazul în care un birou de tranzacționare al unei instituții căruia i-a fost atribuită cel puțin una dintre pozițiile din portofoliul de tranzacționare menționate la articolul 325bl nu îndeplinește cerințele stabilite la alineatul (1) din prezentul articol, cerințele de fonduri proprii pentru riscul de piață aferent tuturor pozițiilor din respectivul birou de tranzacționare se calculează în conformitate cu abordarea prevăzută la capitolul 1a.</w:t>
            </w:r>
          </w:p>
        </w:tc>
        <w:tc>
          <w:tcPr>
            <w:tcW w:w="1692" w:type="pct"/>
            <w:shd w:val="clear" w:color="auto" w:fill="auto"/>
          </w:tcPr>
          <w:p w14:paraId="3F53D2BB" w14:textId="49BDB2CF" w:rsidR="008A3314" w:rsidRPr="00C011B2" w:rsidRDefault="006012B9"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394.</w:t>
            </w:r>
            <w:r w:rsidR="008A3314" w:rsidRPr="00C011B2">
              <w:rPr>
                <w:rFonts w:ascii="Times New Roman" w:hAnsi="Times New Roman" w:cs="Times New Roman"/>
                <w:color w:val="000000" w:themeColor="text1"/>
                <w:lang w:val="ro-MD"/>
              </w:rPr>
              <w:t xml:space="preserve"> În cazul în care un birou de tranzacționare al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căruia i-a fost atribuită cel puțin una dintre pozițiile din portofoliul de tranzacționare menționate la </w:t>
            </w:r>
            <w:r w:rsidRPr="00C011B2">
              <w:rPr>
                <w:rFonts w:ascii="Times New Roman" w:hAnsi="Times New Roman" w:cs="Times New Roman"/>
                <w:color w:val="000000" w:themeColor="text1"/>
                <w:lang w:val="ro-MD"/>
              </w:rPr>
              <w:t>subsecțiunea 1</w:t>
            </w:r>
            <w:r w:rsidR="008A3314" w:rsidRPr="00C011B2">
              <w:rPr>
                <w:rFonts w:ascii="Times New Roman" w:hAnsi="Times New Roman" w:cs="Times New Roman"/>
                <w:color w:val="000000" w:themeColor="text1"/>
                <w:lang w:val="ro-MD"/>
              </w:rPr>
              <w:t xml:space="preserve"> nu îndeplinește cerințele stabilite la </w:t>
            </w:r>
            <w:r w:rsidRPr="00C011B2">
              <w:rPr>
                <w:rFonts w:ascii="Times New Roman" w:hAnsi="Times New Roman" w:cs="Times New Roman"/>
                <w:color w:val="000000" w:themeColor="text1"/>
                <w:lang w:val="ro-MD"/>
              </w:rPr>
              <w:t>pct.393</w:t>
            </w:r>
            <w:r w:rsidR="008A3314" w:rsidRPr="00C011B2">
              <w:rPr>
                <w:rFonts w:ascii="Times New Roman" w:hAnsi="Times New Roman" w:cs="Times New Roman"/>
                <w:color w:val="000000" w:themeColor="text1"/>
                <w:lang w:val="ro-MD"/>
              </w:rPr>
              <w:t>, cerințele de fonduri proprii pentru riscul de piață aferent tuturor pozițiilor din respectivul birou de tranzacționare se calculează în conformitate cu abordarea prevăzută la capitolul </w:t>
            </w:r>
            <w:r w:rsidRPr="00C011B2">
              <w:rPr>
                <w:rFonts w:ascii="Times New Roman" w:hAnsi="Times New Roman" w:cs="Times New Roman"/>
                <w:color w:val="000000" w:themeColor="text1"/>
                <w:lang w:val="ro-MD"/>
              </w:rPr>
              <w:t>II</w:t>
            </w:r>
            <w:r w:rsidR="008A3314" w:rsidRPr="00C011B2">
              <w:rPr>
                <w:rFonts w:ascii="Times New Roman" w:hAnsi="Times New Roman" w:cs="Times New Roman"/>
                <w:color w:val="000000" w:themeColor="text1"/>
                <w:lang w:val="ro-MD"/>
              </w:rPr>
              <w:t>.</w:t>
            </w:r>
          </w:p>
        </w:tc>
        <w:tc>
          <w:tcPr>
            <w:tcW w:w="450" w:type="pct"/>
          </w:tcPr>
          <w:p w14:paraId="0DC8268E" w14:textId="41A37D19"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27BC829"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76A733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1F53C0"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325bn</w:t>
            </w:r>
          </w:p>
          <w:p w14:paraId="40E9F928" w14:textId="0623FCF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Cerințele de fonduri proprii pentru riscul de nerambursare cu utilizarea unui model intern pentru riscul de nerambursare</w:t>
            </w:r>
          </w:p>
        </w:tc>
        <w:tc>
          <w:tcPr>
            <w:tcW w:w="1692" w:type="pct"/>
            <w:shd w:val="clear" w:color="auto" w:fill="auto"/>
          </w:tcPr>
          <w:p w14:paraId="6B085802" w14:textId="3E3F2D1F" w:rsidR="008A3314" w:rsidRPr="00C011B2" w:rsidRDefault="005721A2" w:rsidP="008A3314">
            <w:pPr>
              <w:spacing w:after="0" w:line="276" w:lineRule="auto"/>
              <w:jc w:val="both"/>
              <w:rPr>
                <w:rFonts w:ascii="Times New Roman" w:hAnsi="Times New Roman" w:cs="Times New Roman"/>
                <w:color w:val="000000" w:themeColor="text1"/>
                <w:lang w:val="ro-MD"/>
              </w:rPr>
            </w:pPr>
            <w:bookmarkStart w:id="390" w:name="_Hlk195099091"/>
            <w:r w:rsidRPr="00C011B2">
              <w:rPr>
                <w:rFonts w:ascii="Times New Roman" w:hAnsi="Times New Roman" w:cs="Times New Roman"/>
                <w:i/>
                <w:iCs/>
                <w:color w:val="000000" w:themeColor="text1"/>
                <w:lang w:val="ro-MD"/>
              </w:rPr>
              <w:t xml:space="preserve">Subsecțiunea 3. </w:t>
            </w:r>
            <w:r w:rsidR="008A3314" w:rsidRPr="00C011B2">
              <w:rPr>
                <w:rFonts w:ascii="Times New Roman" w:hAnsi="Times New Roman" w:cs="Times New Roman"/>
                <w:b/>
                <w:bCs/>
                <w:color w:val="000000" w:themeColor="text1"/>
                <w:lang w:val="ro-MD"/>
              </w:rPr>
              <w:t>Cerințele de fonduri proprii pentru riscul de nerambursare cu utilizarea unui model intern pentru riscul de nerambursare</w:t>
            </w:r>
            <w:bookmarkEnd w:id="390"/>
          </w:p>
        </w:tc>
        <w:tc>
          <w:tcPr>
            <w:tcW w:w="450" w:type="pct"/>
          </w:tcPr>
          <w:p w14:paraId="3A2534D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40682BF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523357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ABC97E" w14:textId="486BE37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Instituțiile calculează cerințele de fonduri proprii pentru riscul de nerambursare utilizând un model intern pentru riscul de nerambursare în cazul portofoliului </w:t>
            </w:r>
            <w:r w:rsidRPr="00C011B2">
              <w:rPr>
                <w:rFonts w:ascii="Times New Roman" w:hAnsi="Times New Roman" w:cs="Times New Roman"/>
                <w:color w:val="000000" w:themeColor="text1"/>
                <w:lang w:val="ro-MD"/>
              </w:rPr>
              <w:lastRenderedPageBreak/>
              <w:t>tuturor pozițiilor menționate la articolul 325bl, după cum urmează:</w:t>
            </w:r>
          </w:p>
          <w:p w14:paraId="6030E4FA" w14:textId="3E39BF4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cerințele de fonduri proprii sunt egale cu un număr al valorii la risc care măsoară pierderea potențială – la nivelul valorii de piață – a portofoliului cauzată de starea de nerambursare a emitenților cu privire la pozițiile respective, la un interval de încredere de 99,9 %, pe un orizont de timp de un an;</w:t>
            </w:r>
          </w:p>
          <w:p w14:paraId="2F20F7C6" w14:textId="148E9D6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pierderea potențială menționată la litera (a) reprezintă o pierdere directă sau indirectă la nivelul valorii de piață a unei poziții care a fost cauzată de starea de nerambursare a emitenților și care se adaugă pierderilor eventuale care au fost deja luate în considerare în cadrul evaluării curente a poziției; starea de nerambursare a emitenților pozițiilor pe titluri de capital este reprezentată de scăderea la zero a cuantumului prețurilor titlurilor de capital ale emitenților;</w:t>
            </w:r>
          </w:p>
          <w:p w14:paraId="69191CED" w14:textId="34CF6CD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instituțiile stabilesc corelațiile între nerambursările diferiților emitenți pe baza unei metodologii solide din punct de vedere conceptual, utilizând date istorice obiective privind marjele de credit de pe piață sau prețurile titlurilor de capital pentru o perioadă de cel puțin 10 ani, care include și perioada de criză identificată de instituție în conformitate cu </w:t>
            </w:r>
            <w:r w:rsidRPr="00C011B2">
              <w:rPr>
                <w:rFonts w:ascii="Times New Roman" w:hAnsi="Times New Roman" w:cs="Times New Roman"/>
                <w:color w:val="000000" w:themeColor="text1"/>
                <w:lang w:val="ro-MD"/>
              </w:rPr>
              <w:lastRenderedPageBreak/>
              <w:t>articolul 325bc alineatul (2); calculul corelațiilor între nerambursările diferiților emitenți este calibrat în funcție de un orizont de timp de un an;</w:t>
            </w:r>
          </w:p>
          <w:p w14:paraId="2D665CAB" w14:textId="2DFBED6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modelul intern pentru riscul de nerambursare se bazează pe ipoteza unei poziții constante pe un an.</w:t>
            </w:r>
          </w:p>
        </w:tc>
        <w:tc>
          <w:tcPr>
            <w:tcW w:w="1692" w:type="pct"/>
            <w:shd w:val="clear" w:color="auto" w:fill="auto"/>
          </w:tcPr>
          <w:p w14:paraId="30A5517E" w14:textId="3213F110"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1" w:name="_Hlk224202587"/>
            <w:r w:rsidRPr="00C011B2">
              <w:rPr>
                <w:rFonts w:ascii="Times New Roman" w:hAnsi="Times New Roman" w:cs="Times New Roman"/>
                <w:color w:val="000000" w:themeColor="text1"/>
                <w:lang w:val="ro-MD"/>
              </w:rPr>
              <w:lastRenderedPageBreak/>
              <w:t>395.</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calculează cerințele de fonduri proprii pentru riscul de nerambursare utilizând un model intern pentru riscul de nerambursare în cazul portofoliului tuturor </w:t>
            </w:r>
            <w:r w:rsidR="008A3314" w:rsidRPr="00C011B2">
              <w:rPr>
                <w:rFonts w:ascii="Times New Roman" w:hAnsi="Times New Roman" w:cs="Times New Roman"/>
                <w:color w:val="000000" w:themeColor="text1"/>
                <w:lang w:val="ro-MD"/>
              </w:rPr>
              <w:lastRenderedPageBreak/>
              <w:t xml:space="preserve">pozițiilor menționate la </w:t>
            </w:r>
            <w:r w:rsidRPr="00C011B2">
              <w:rPr>
                <w:rFonts w:ascii="Times New Roman" w:hAnsi="Times New Roman" w:cs="Times New Roman"/>
                <w:color w:val="000000" w:themeColor="text1"/>
                <w:lang w:val="ro-MD"/>
              </w:rPr>
              <w:t>subsecțiunea 1</w:t>
            </w:r>
            <w:r w:rsidR="008A3314" w:rsidRPr="00C011B2">
              <w:rPr>
                <w:rFonts w:ascii="Times New Roman" w:hAnsi="Times New Roman" w:cs="Times New Roman"/>
                <w:color w:val="000000" w:themeColor="text1"/>
                <w:lang w:val="ro-MD"/>
              </w:rPr>
              <w:t>, după cum urmează:</w:t>
            </w:r>
          </w:p>
          <w:p w14:paraId="513428B0" w14:textId="4213B99F"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395.1.</w:t>
            </w:r>
            <w:r w:rsidR="008A3314" w:rsidRPr="00C011B2">
              <w:rPr>
                <w:rFonts w:ascii="Times New Roman" w:hAnsi="Times New Roman" w:cs="Times New Roman"/>
                <w:color w:val="000000" w:themeColor="text1"/>
                <w:lang w:val="ro-MD"/>
              </w:rPr>
              <w:t> cerințele de fonduri proprii sunt egale cu un număr al valorii la risc care măsoară pierderea potențială – la nivelul valorii de piață – a portofoliului cauzată de starea de nerambursare a emitenților cu privire la pozițiile respective, la un interval de încredere de 99,9 %, pe un orizont de timp de un an;</w:t>
            </w:r>
          </w:p>
          <w:p w14:paraId="5909C094" w14:textId="4B150329"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395.2.</w:t>
            </w:r>
            <w:r w:rsidR="008A3314" w:rsidRPr="00C011B2">
              <w:rPr>
                <w:rFonts w:ascii="Times New Roman" w:hAnsi="Times New Roman" w:cs="Times New Roman"/>
                <w:color w:val="000000" w:themeColor="text1"/>
                <w:lang w:val="ro-MD"/>
              </w:rPr>
              <w:t> pierderea potențială menționată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subpct.395.1</w:t>
            </w:r>
            <w:r w:rsidR="008A3314" w:rsidRPr="00C011B2">
              <w:rPr>
                <w:rFonts w:ascii="Times New Roman" w:hAnsi="Times New Roman" w:cs="Times New Roman"/>
                <w:color w:val="000000" w:themeColor="text1"/>
                <w:lang w:val="ro-MD"/>
              </w:rPr>
              <w:t xml:space="preserve"> reprezintă o pierdere directă sau indirectă la nivelul valorii de piață a unei poziții care a fost cauzată de starea de nerambursare a emitenților și care se adaugă pierderilor eventuale care au fost deja luate în considerare în cadrul evaluării curente a poziției; starea de nerambursare a emitenților pozițiilor pe titluri de capital este reprezentată de scăderea la zero a cuantumului prețurilor titlurilor de capital ale emitenților;</w:t>
            </w:r>
          </w:p>
          <w:p w14:paraId="662DC308" w14:textId="6C4AEEF5"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395.3. băncile </w:t>
            </w:r>
            <w:r w:rsidR="008A3314" w:rsidRPr="00C011B2">
              <w:rPr>
                <w:rFonts w:ascii="Times New Roman" w:hAnsi="Times New Roman" w:cs="Times New Roman"/>
                <w:color w:val="000000" w:themeColor="text1"/>
                <w:lang w:val="ro-MD"/>
              </w:rPr>
              <w:t>stabilesc corelațiile între nerambursările diferiților emitenți pe baza unei metodologii solide din punct de vedere conceptual, utilizând date istorice obiective privind marjele de credit de pe piață sau prețurile titlurilor de capital pentru o perioadă de cel puțin 10 ani, care include și perioada de criză identificată de instituție în conformitate cu</w:t>
            </w:r>
            <w:r w:rsidR="0087785E" w:rsidRPr="00C011B2">
              <w:rPr>
                <w:rFonts w:ascii="Times New Roman" w:hAnsi="Times New Roman" w:cs="Times New Roman"/>
                <w:color w:val="000000" w:themeColor="text1"/>
                <w:lang w:val="ro-MD"/>
              </w:rPr>
              <w:t xml:space="preserve"> </w:t>
            </w:r>
            <w:r w:rsidR="00633D02" w:rsidRPr="00C011B2">
              <w:rPr>
                <w:rFonts w:ascii="Times New Roman" w:hAnsi="Times New Roman" w:cs="Times New Roman"/>
                <w:color w:val="000000" w:themeColor="text1"/>
                <w:lang w:val="ro-MD"/>
              </w:rPr>
              <w:t>pct.349</w:t>
            </w:r>
            <w:r w:rsidR="008A3314" w:rsidRPr="00C011B2">
              <w:rPr>
                <w:rFonts w:ascii="Times New Roman" w:hAnsi="Times New Roman" w:cs="Times New Roman"/>
                <w:color w:val="000000" w:themeColor="text1"/>
                <w:lang w:val="ro-MD"/>
              </w:rPr>
              <w:t xml:space="preserve">; calculul corelațiilor între </w:t>
            </w:r>
            <w:r w:rsidR="008A3314" w:rsidRPr="00C011B2">
              <w:rPr>
                <w:rFonts w:ascii="Times New Roman" w:hAnsi="Times New Roman" w:cs="Times New Roman"/>
                <w:color w:val="000000" w:themeColor="text1"/>
                <w:lang w:val="ro-MD"/>
              </w:rPr>
              <w:lastRenderedPageBreak/>
              <w:t>nerambursările diferiților emitenți este calibrat în funcție de un orizont de timp de un an;</w:t>
            </w:r>
          </w:p>
          <w:p w14:paraId="4AFDC6F1" w14:textId="7E360D52"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395.4.</w:t>
            </w:r>
            <w:r w:rsidR="008A3314" w:rsidRPr="00C011B2">
              <w:rPr>
                <w:rFonts w:ascii="Times New Roman" w:hAnsi="Times New Roman" w:cs="Times New Roman"/>
                <w:color w:val="000000" w:themeColor="text1"/>
                <w:lang w:val="ro-MD"/>
              </w:rPr>
              <w:t> modelul intern pentru riscul de nerambursare se bazează pe ipoteza unei poziții constante pe un an.</w:t>
            </w:r>
            <w:bookmarkEnd w:id="391"/>
          </w:p>
        </w:tc>
        <w:tc>
          <w:tcPr>
            <w:tcW w:w="450" w:type="pct"/>
          </w:tcPr>
          <w:p w14:paraId="04C5D595" w14:textId="69749BED"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49F7A4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714A3C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0D33B5" w14:textId="1E76962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Instituțiile calculează cerința de fonduri proprii pentru riscul de nerambursare utilizând un model intern pentru riscul de nerambursare menționat la alineatul (1) cel puțin o dată pe săptămână.</w:t>
            </w:r>
          </w:p>
        </w:tc>
        <w:tc>
          <w:tcPr>
            <w:tcW w:w="1692" w:type="pct"/>
            <w:shd w:val="clear" w:color="auto" w:fill="auto"/>
          </w:tcPr>
          <w:p w14:paraId="1D856ADE" w14:textId="16AA4949"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2" w:name="_Hlk224202634"/>
            <w:r w:rsidRPr="00C011B2">
              <w:rPr>
                <w:rFonts w:ascii="Times New Roman" w:hAnsi="Times New Roman" w:cs="Times New Roman"/>
                <w:color w:val="000000" w:themeColor="text1"/>
                <w:lang w:val="ro-MD"/>
              </w:rPr>
              <w:t>396.</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calculează cerința de fonduri proprii pentru riscul de nerambursare utilizând un model intern pentru riscul de nerambursare menționat la </w:t>
            </w:r>
            <w:r w:rsidRPr="00C011B2">
              <w:rPr>
                <w:rFonts w:ascii="Times New Roman" w:hAnsi="Times New Roman" w:cs="Times New Roman"/>
                <w:color w:val="000000" w:themeColor="text1"/>
                <w:lang w:val="ro-MD"/>
              </w:rPr>
              <w:t>pct.395</w:t>
            </w:r>
            <w:r w:rsidR="008A3314" w:rsidRPr="00C011B2">
              <w:rPr>
                <w:rFonts w:ascii="Times New Roman" w:hAnsi="Times New Roman" w:cs="Times New Roman"/>
                <w:color w:val="000000" w:themeColor="text1"/>
                <w:lang w:val="ro-MD"/>
              </w:rPr>
              <w:t xml:space="preserve"> cel puțin o dată pe săptămână.</w:t>
            </w:r>
            <w:bookmarkEnd w:id="392"/>
          </w:p>
        </w:tc>
        <w:tc>
          <w:tcPr>
            <w:tcW w:w="450" w:type="pct"/>
          </w:tcPr>
          <w:p w14:paraId="22617E66" w14:textId="408D76B1"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13AC7E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395350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71C92A6" w14:textId="466C09C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Prin derogare de la alineatul (1) literele (a) și (c), o instituție poate înlocui orizontul de timp de un an cu un orizont de timp de șaizeci de zile pentru calcularea riscului de nerambursare aferent unora dintre pozițiile pe titluri de capital sau tuturor acestor poziții, după caz. În acest caz, calculul corelațiilor între nerambursările aferente prețurilor titlurilor de capital și probabilitățile de nerambursare trebuie să fie consecvent cu un orizont de timp de șaizeci de zile, iar calculul corelațiilor între nerambursările aferente prețurilor titlurilor de capital și cele aferente prețurilor obligațiunilor trebuie să fie consecvent cu un orizont de timp de un an.</w:t>
            </w:r>
          </w:p>
        </w:tc>
        <w:tc>
          <w:tcPr>
            <w:tcW w:w="1692" w:type="pct"/>
            <w:shd w:val="clear" w:color="auto" w:fill="auto"/>
          </w:tcPr>
          <w:p w14:paraId="0E32BD07" w14:textId="50252436"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3" w:name="_Hlk224202662"/>
            <w:r w:rsidRPr="00C011B2">
              <w:rPr>
                <w:rFonts w:ascii="Times New Roman" w:hAnsi="Times New Roman" w:cs="Times New Roman"/>
                <w:color w:val="000000" w:themeColor="text1"/>
                <w:lang w:val="ro-MD"/>
              </w:rPr>
              <w:t>397.</w:t>
            </w:r>
            <w:r w:rsidR="008A3314" w:rsidRPr="00C011B2">
              <w:rPr>
                <w:rFonts w:ascii="Times New Roman" w:hAnsi="Times New Roman" w:cs="Times New Roman"/>
                <w:color w:val="000000" w:themeColor="text1"/>
                <w:lang w:val="ro-MD"/>
              </w:rPr>
              <w:t xml:space="preserve">   Prin derogare de la </w:t>
            </w:r>
            <w:r w:rsidRPr="00C011B2">
              <w:rPr>
                <w:rFonts w:ascii="Times New Roman" w:hAnsi="Times New Roman" w:cs="Times New Roman"/>
                <w:color w:val="000000" w:themeColor="text1"/>
                <w:lang w:val="ro-MD"/>
              </w:rPr>
              <w:t>subpct.395.1</w:t>
            </w:r>
            <w:r w:rsidR="008A3314"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395.3</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poate înlocui orizontul de timp de un an cu un orizont de timp de șaizeci de zile pentru calcularea riscului de nerambursare aferent unora dintre pozițiile pe titluri de capital sau tuturor acestor poziții, după caz. În acest caz, calculul corelațiilor între nerambursările aferente prețurilor titlurilor de capital și probabilitățile de nerambursare trebuie să fie consecvent cu un orizont de timp de șaizeci de zile, iar calculul corelațiilor între nerambursările aferente prețurilor titlurilor de capital și cele aferente prețurilor obligațiunilor trebuie să fie consecvent cu un orizont de timp de un an.</w:t>
            </w:r>
            <w:bookmarkEnd w:id="393"/>
          </w:p>
        </w:tc>
        <w:tc>
          <w:tcPr>
            <w:tcW w:w="450" w:type="pct"/>
          </w:tcPr>
          <w:p w14:paraId="4B8A7D66" w14:textId="0E0F3D18"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AF9935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89B765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D7A6AF"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325bo</w:t>
            </w:r>
          </w:p>
          <w:p w14:paraId="52DB10E6" w14:textId="3522BF6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Recunoașterea acoperirilor în cadrul unui model intern pentru riscul de nerambursare</w:t>
            </w:r>
          </w:p>
        </w:tc>
        <w:tc>
          <w:tcPr>
            <w:tcW w:w="1692" w:type="pct"/>
            <w:shd w:val="clear" w:color="auto" w:fill="auto"/>
          </w:tcPr>
          <w:p w14:paraId="39243194" w14:textId="43933BC9"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4" w:name="_Hlk195099118"/>
            <w:r w:rsidRPr="00C011B2">
              <w:rPr>
                <w:rFonts w:ascii="Times New Roman" w:hAnsi="Times New Roman" w:cs="Times New Roman"/>
                <w:i/>
                <w:iCs/>
                <w:color w:val="000000" w:themeColor="text1"/>
                <w:lang w:val="ro-MD"/>
              </w:rPr>
              <w:t xml:space="preserve">Subsecțiunea 4. </w:t>
            </w:r>
            <w:r w:rsidR="008A3314" w:rsidRPr="00C011B2">
              <w:rPr>
                <w:rFonts w:ascii="Times New Roman" w:hAnsi="Times New Roman" w:cs="Times New Roman"/>
                <w:b/>
                <w:bCs/>
                <w:color w:val="000000" w:themeColor="text1"/>
                <w:lang w:val="ro-MD"/>
              </w:rPr>
              <w:t>Recunoașterea acoperirilor în cadrul unui model intern pentru riscul de nerambursare</w:t>
            </w:r>
            <w:bookmarkEnd w:id="394"/>
          </w:p>
        </w:tc>
        <w:tc>
          <w:tcPr>
            <w:tcW w:w="450" w:type="pct"/>
          </w:tcPr>
          <w:p w14:paraId="3C8ED56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4E9EAE8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FE89D3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F6FE146" w14:textId="67AD4D1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Instituțiile pot include acoperirile în modelul lor intern pentru riscul de nerambursare și pot compensa pozițiile atunci când pozițiile lungi și cele scurte sunt asociate aceluiași instrument financiar.</w:t>
            </w:r>
          </w:p>
        </w:tc>
        <w:tc>
          <w:tcPr>
            <w:tcW w:w="1692" w:type="pct"/>
            <w:shd w:val="clear" w:color="auto" w:fill="auto"/>
          </w:tcPr>
          <w:p w14:paraId="422221AE" w14:textId="21F00704"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5" w:name="_Hlk224202697"/>
            <w:r w:rsidRPr="00C011B2">
              <w:rPr>
                <w:rFonts w:ascii="Times New Roman" w:hAnsi="Times New Roman" w:cs="Times New Roman"/>
                <w:color w:val="000000" w:themeColor="text1"/>
                <w:lang w:val="ro-MD"/>
              </w:rPr>
              <w:t>398.</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pot include acoperirile în modelul lor intern pentru riscul de nerambursare și pot compensa pozițiile atunci când pozițiile lungi și cele scurte sunt asociate aceluiași instrument financiar</w:t>
            </w:r>
            <w:bookmarkEnd w:id="395"/>
            <w:r w:rsidR="008A3314" w:rsidRPr="00C011B2">
              <w:rPr>
                <w:rFonts w:ascii="Times New Roman" w:hAnsi="Times New Roman" w:cs="Times New Roman"/>
                <w:color w:val="000000" w:themeColor="text1"/>
                <w:lang w:val="ro-MD"/>
              </w:rPr>
              <w:t>.</w:t>
            </w:r>
          </w:p>
        </w:tc>
        <w:tc>
          <w:tcPr>
            <w:tcW w:w="450" w:type="pct"/>
          </w:tcPr>
          <w:p w14:paraId="3272F597" w14:textId="0D96344C"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F44727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E94CBC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0729134" w14:textId="4367296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pot recunoaște, în modelul lor intern pentru riscul de nerambursare, doar efectele acoperirii sau ale diversificării asociate cu poziții lungi și poziții scurte care implică instrumente sau titluri de valoare diferite ale aceluiași debitor, precum și cu poziții lungi și poziții scurte pe emitenți diferiți, prin modelarea explicită a pozițiilor lungi și a pozițiilor scurte brute pe diferitele instrumente, inclusiv prin modelarea riscurilor aferente bazei între emitenți diferiți.</w:t>
            </w:r>
          </w:p>
        </w:tc>
        <w:tc>
          <w:tcPr>
            <w:tcW w:w="1692" w:type="pct"/>
            <w:shd w:val="clear" w:color="auto" w:fill="auto"/>
          </w:tcPr>
          <w:p w14:paraId="063945BF" w14:textId="00011F32"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6" w:name="_Hlk224202714"/>
            <w:r w:rsidRPr="00C011B2">
              <w:rPr>
                <w:rFonts w:ascii="Times New Roman" w:hAnsi="Times New Roman" w:cs="Times New Roman"/>
                <w:color w:val="000000" w:themeColor="text1"/>
                <w:lang w:val="ro-MD"/>
              </w:rPr>
              <w:t>399.</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pot recunoaște, în modelul lor intern pentru riscul de nerambursare, doar efectele acoperirii sau ale diversificării asociate cu poziții lungi și poziții scurte care implică instrumente sau titluri de valoare diferite ale aceluiași debitor, precum și cu poziții lungi și poziții scurte pe emitenți diferiți, prin modelarea explicită a pozițiilor lungi și a pozițiilor scurte brute pe diferitele instrumente, inclusiv prin modelarea riscurilor aferente bazei între emitenți diferiți.</w:t>
            </w:r>
            <w:bookmarkEnd w:id="396"/>
          </w:p>
        </w:tc>
        <w:tc>
          <w:tcPr>
            <w:tcW w:w="450" w:type="pct"/>
          </w:tcPr>
          <w:p w14:paraId="5E35594C" w14:textId="56610F2A"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FAF993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B1F871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92C92CF"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7" w:tooltip="32024R1623: REPLACED" w:history="1">
              <w:r w:rsidR="008A3314" w:rsidRPr="00C011B2">
                <w:rPr>
                  <w:rStyle w:val="Hyperlink"/>
                  <w:rFonts w:ascii="Times New Roman" w:hAnsi="Times New Roman" w:cs="Times New Roman"/>
                  <w:b/>
                  <w:bCs/>
                  <w:lang w:val="ro-MD"/>
                </w:rPr>
                <w:t>▼M17</w:t>
              </w:r>
            </w:hyperlink>
          </w:p>
          <w:p w14:paraId="14827198" w14:textId="448E7D4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modelele lor interne pentru riscul de nerambursare, instituțiile reflectă riscurile de bază semnificative pe care le au strategiile de acoperire și care decurg din diferențele în ceea ce privește tipul de produs, rangul în structura capitalului, ratingurile interne sau externe, data emiterii („vintage”) și alte diferențe.</w:t>
            </w:r>
          </w:p>
          <w:p w14:paraId="6B4CA0CB"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Instituțiile se asigură că neconcordanțele de scadențe dintre un instrument de acoperire și instrumentul acoperit care ar putea apărea în orizontul de timp de un an, în cazul în care aceste neconcordanțe nu sunt </w:t>
            </w:r>
            <w:r w:rsidRPr="00C011B2">
              <w:rPr>
                <w:rFonts w:ascii="Times New Roman" w:hAnsi="Times New Roman" w:cs="Times New Roman"/>
                <w:color w:val="000000" w:themeColor="text1"/>
                <w:lang w:val="ro-MD"/>
              </w:rPr>
              <w:lastRenderedPageBreak/>
              <w:t>reflectate în modelul lor intern pentru riscul de nerambursare, nu conduc la o subestimare semnificativă a riscului.</w:t>
            </w:r>
          </w:p>
          <w:p w14:paraId="0A005ED8" w14:textId="2968B88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recunosc un instrument de acoperire numai în măsura în care acesta poate fi menținut chiar și atunci când un eveniment de credit sau de alt tip este iminent pentru debitor.</w:t>
            </w:r>
          </w:p>
        </w:tc>
        <w:tc>
          <w:tcPr>
            <w:tcW w:w="1692" w:type="pct"/>
            <w:shd w:val="clear" w:color="auto" w:fill="auto"/>
          </w:tcPr>
          <w:p w14:paraId="00861A5D" w14:textId="41D3F90F"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7" w:name="_Hlk224202743"/>
            <w:r w:rsidRPr="00C011B2">
              <w:rPr>
                <w:rFonts w:ascii="Times New Roman" w:hAnsi="Times New Roman" w:cs="Times New Roman"/>
                <w:color w:val="000000" w:themeColor="text1"/>
                <w:lang w:val="ro-MD"/>
              </w:rPr>
              <w:lastRenderedPageBreak/>
              <w:t>400.</w:t>
            </w:r>
            <w:r w:rsidR="008A3314" w:rsidRPr="00C011B2">
              <w:rPr>
                <w:rFonts w:ascii="Times New Roman" w:hAnsi="Times New Roman" w:cs="Times New Roman"/>
                <w:color w:val="000000" w:themeColor="text1"/>
                <w:lang w:val="ro-MD"/>
              </w:rPr>
              <w:t xml:space="preserve">   În modelele lor interne pentru riscul de nerambursare,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reflectă riscurile de bază semnificative pe care le au strategiile de acoperire și care decurg din diferențele în ceea ce privește tipul de produs, rangul în structura capitalului, ratingurile interne sau externe, data emiterii („vintage”) și alte diferențe.</w:t>
            </w:r>
          </w:p>
          <w:p w14:paraId="33AE150A" w14:textId="7C0691BB"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401. Băncile </w:t>
            </w:r>
            <w:r w:rsidR="008A3314" w:rsidRPr="00C011B2">
              <w:rPr>
                <w:rFonts w:ascii="Times New Roman" w:hAnsi="Times New Roman" w:cs="Times New Roman"/>
                <w:color w:val="000000" w:themeColor="text1"/>
                <w:lang w:val="ro-MD"/>
              </w:rPr>
              <w:t>se asigură că neconcordanțele de scadențe dintre un instrument de acoperire și instrumentul acoperit care ar putea apărea în orizontul de timp de un an, în cazul în care aceste neconcordanțe nu sunt reflectate în modelul lor intern pentru riscul de nerambursare, nu conduc la o subestimare semnificativă a riscului.</w:t>
            </w:r>
          </w:p>
          <w:p w14:paraId="4B434522" w14:textId="2311B89C"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402. Băncile </w:t>
            </w:r>
            <w:r w:rsidR="008A3314" w:rsidRPr="00C011B2">
              <w:rPr>
                <w:rFonts w:ascii="Times New Roman" w:hAnsi="Times New Roman" w:cs="Times New Roman"/>
                <w:color w:val="000000" w:themeColor="text1"/>
                <w:lang w:val="ro-MD"/>
              </w:rPr>
              <w:t>recunosc un instrument de acoperire numai în măsura în care acesta poate fi menținut chiar și atunci când un eveniment de credit sau de alt tip este iminent pentru debitor.</w:t>
            </w:r>
            <w:bookmarkEnd w:id="397"/>
          </w:p>
        </w:tc>
        <w:tc>
          <w:tcPr>
            <w:tcW w:w="450" w:type="pct"/>
          </w:tcPr>
          <w:p w14:paraId="6EBFF9D2" w14:textId="33229CFF"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5DFF0A3"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B02B45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E6B23BA"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8" w:tooltip="32019R0876: INSERTED" w:history="1">
              <w:r w:rsidR="008A3314" w:rsidRPr="00C011B2">
                <w:rPr>
                  <w:rStyle w:val="Hyperlink"/>
                  <w:rFonts w:ascii="Times New Roman" w:hAnsi="Times New Roman" w:cs="Times New Roman"/>
                  <w:b/>
                  <w:bCs/>
                  <w:lang w:val="ro-MD"/>
                </w:rPr>
                <w:t>▼M8</w:t>
              </w:r>
            </w:hyperlink>
          </w:p>
          <w:p w14:paraId="1F4692CE"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325bp</w:t>
            </w:r>
          </w:p>
          <w:p w14:paraId="43EB62F2" w14:textId="34B9DFC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specifice privind modelul intern pentru riscul de nerambursare</w:t>
            </w:r>
          </w:p>
        </w:tc>
        <w:tc>
          <w:tcPr>
            <w:tcW w:w="1692" w:type="pct"/>
            <w:shd w:val="clear" w:color="auto" w:fill="auto"/>
          </w:tcPr>
          <w:p w14:paraId="383FA9AB" w14:textId="1414F23D"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8" w:name="_Hlk195099142"/>
            <w:r w:rsidRPr="00C011B2">
              <w:rPr>
                <w:rFonts w:ascii="Times New Roman" w:hAnsi="Times New Roman" w:cs="Times New Roman"/>
                <w:i/>
                <w:iCs/>
                <w:color w:val="000000" w:themeColor="text1"/>
                <w:lang w:val="ro-MD"/>
              </w:rPr>
              <w:t xml:space="preserve">Subsecțiunea 5. </w:t>
            </w:r>
            <w:r w:rsidR="008A3314" w:rsidRPr="00C011B2">
              <w:rPr>
                <w:rFonts w:ascii="Times New Roman" w:hAnsi="Times New Roman" w:cs="Times New Roman"/>
                <w:b/>
                <w:bCs/>
                <w:color w:val="000000" w:themeColor="text1"/>
                <w:lang w:val="ro-MD"/>
              </w:rPr>
              <w:t>Cerințe specifice privind modelul intern pentru riscul de nerambursare</w:t>
            </w:r>
            <w:bookmarkEnd w:id="398"/>
          </w:p>
        </w:tc>
        <w:tc>
          <w:tcPr>
            <w:tcW w:w="450" w:type="pct"/>
          </w:tcPr>
          <w:p w14:paraId="7D5CD118"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6CCE8CF6"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FAA9DA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D0F8516" w14:textId="404D552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Modelul intern pentru riscul de nerambursare menționat la articolul 325bm alineatul (1) este în măsură să modeleze intrarea în stare de nerambursare a unor emitenți individuali, precum și intrarea simultană în stare de nerambursare a mai multor emitenți și reflectă impactul acestor stări de nerambursare la nivelul valorilor de piață ale pozițiilor care sunt incluse în sfera de aplicare a modelului respectiv. În acest scop, intrarea în stare de nerambursare a fiecărui emitent în parte este modelată utilizând două tipuri de factori de risc sistematic.</w:t>
            </w:r>
          </w:p>
        </w:tc>
        <w:tc>
          <w:tcPr>
            <w:tcW w:w="1692" w:type="pct"/>
            <w:shd w:val="clear" w:color="auto" w:fill="auto"/>
          </w:tcPr>
          <w:p w14:paraId="17717F9A" w14:textId="7ACC685B"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399" w:name="_Hlk224202786"/>
            <w:r w:rsidRPr="00C011B2">
              <w:rPr>
                <w:rFonts w:ascii="Times New Roman" w:hAnsi="Times New Roman" w:cs="Times New Roman"/>
                <w:color w:val="000000" w:themeColor="text1"/>
                <w:lang w:val="ro-MD"/>
              </w:rPr>
              <w:t>403.</w:t>
            </w:r>
            <w:r w:rsidR="008A3314" w:rsidRPr="00C011B2">
              <w:rPr>
                <w:rFonts w:ascii="Times New Roman" w:hAnsi="Times New Roman" w:cs="Times New Roman"/>
                <w:color w:val="000000" w:themeColor="text1"/>
                <w:lang w:val="ro-MD"/>
              </w:rPr>
              <w:t xml:space="preserve">  Modelul intern pentru riscul de nerambursare menționat la </w:t>
            </w:r>
            <w:r w:rsidRPr="00C011B2">
              <w:rPr>
                <w:rFonts w:ascii="Times New Roman" w:hAnsi="Times New Roman" w:cs="Times New Roman"/>
                <w:color w:val="000000" w:themeColor="text1"/>
                <w:lang w:val="ro-MD"/>
              </w:rPr>
              <w:t>pct.393</w:t>
            </w:r>
            <w:r w:rsidR="008A3314" w:rsidRPr="00C011B2">
              <w:rPr>
                <w:rFonts w:ascii="Times New Roman" w:hAnsi="Times New Roman" w:cs="Times New Roman"/>
                <w:color w:val="000000" w:themeColor="text1"/>
                <w:lang w:val="ro-MD"/>
              </w:rPr>
              <w:t xml:space="preserve"> este în măsură să modeleze intrarea în stare de nerambursare a unor emitenți individuali, precum și intrarea simultană în stare de nerambursare a mai multor emitenți și reflectă impactul acestor stări de nerambursare la nivelul valorilor de piață ale pozițiilor care sunt incluse în sfera de aplicare a modelului respectiv. În acest scop, intrarea în stare de nerambursare a fiecărui emitent în parte este modelată utilizând două tipuri de factori de risc sistematic.</w:t>
            </w:r>
            <w:bookmarkEnd w:id="399"/>
          </w:p>
        </w:tc>
        <w:tc>
          <w:tcPr>
            <w:tcW w:w="450" w:type="pct"/>
          </w:tcPr>
          <w:p w14:paraId="7838EBEB" w14:textId="204C14E5"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ABF805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A92F7C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F8C48B" w14:textId="5E95077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Modelul intern pentru riscul de nerambursare reflectă ciclul economic, inclusiv dependența dintre </w:t>
            </w:r>
            <w:r w:rsidRPr="00C011B2">
              <w:rPr>
                <w:rFonts w:ascii="Times New Roman" w:hAnsi="Times New Roman" w:cs="Times New Roman"/>
                <w:color w:val="000000" w:themeColor="text1"/>
                <w:lang w:val="ro-MD"/>
              </w:rPr>
              <w:lastRenderedPageBreak/>
              <w:t>ratele de recuperare și factorii de risc sistematic menționați la alineatul (1).</w:t>
            </w:r>
          </w:p>
        </w:tc>
        <w:tc>
          <w:tcPr>
            <w:tcW w:w="1692" w:type="pct"/>
            <w:shd w:val="clear" w:color="auto" w:fill="auto"/>
          </w:tcPr>
          <w:p w14:paraId="0098C69E" w14:textId="51E5C17B"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400" w:name="_Hlk224202805"/>
            <w:r w:rsidRPr="00C011B2">
              <w:rPr>
                <w:rFonts w:ascii="Times New Roman" w:hAnsi="Times New Roman" w:cs="Times New Roman"/>
                <w:color w:val="000000" w:themeColor="text1"/>
                <w:lang w:val="ro-MD"/>
              </w:rPr>
              <w:lastRenderedPageBreak/>
              <w:t>404.</w:t>
            </w:r>
            <w:r w:rsidR="008A3314" w:rsidRPr="00C011B2">
              <w:rPr>
                <w:rFonts w:ascii="Times New Roman" w:hAnsi="Times New Roman" w:cs="Times New Roman"/>
                <w:color w:val="000000" w:themeColor="text1"/>
                <w:lang w:val="ro-MD"/>
              </w:rPr>
              <w:t xml:space="preserve">  Modelul intern pentru riscul de nerambursare reflectă ciclul economic, inclusiv dependența dintre ratele </w:t>
            </w:r>
            <w:r w:rsidR="008A3314" w:rsidRPr="00C011B2">
              <w:rPr>
                <w:rFonts w:ascii="Times New Roman" w:hAnsi="Times New Roman" w:cs="Times New Roman"/>
                <w:color w:val="000000" w:themeColor="text1"/>
                <w:lang w:val="ro-MD"/>
              </w:rPr>
              <w:lastRenderedPageBreak/>
              <w:t xml:space="preserve">de recuperare și factorii de risc sistematic menționați la </w:t>
            </w:r>
            <w:r w:rsidRPr="00C011B2">
              <w:rPr>
                <w:rFonts w:ascii="Times New Roman" w:hAnsi="Times New Roman" w:cs="Times New Roman"/>
                <w:color w:val="000000" w:themeColor="text1"/>
                <w:lang w:val="ro-MD"/>
              </w:rPr>
              <w:t>pct.403</w:t>
            </w:r>
            <w:r w:rsidR="008A3314" w:rsidRPr="00C011B2">
              <w:rPr>
                <w:rFonts w:ascii="Times New Roman" w:hAnsi="Times New Roman" w:cs="Times New Roman"/>
                <w:color w:val="000000" w:themeColor="text1"/>
                <w:lang w:val="ro-MD"/>
              </w:rPr>
              <w:t>.</w:t>
            </w:r>
            <w:bookmarkEnd w:id="400"/>
          </w:p>
        </w:tc>
        <w:tc>
          <w:tcPr>
            <w:tcW w:w="450" w:type="pct"/>
          </w:tcPr>
          <w:p w14:paraId="00083EC5" w14:textId="43D7F258"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75CB4D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921C22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1"/>
        </w:trPr>
        <w:tc>
          <w:tcPr>
            <w:tcW w:w="1597" w:type="pct"/>
            <w:shd w:val="clear" w:color="auto" w:fill="auto"/>
          </w:tcPr>
          <w:p w14:paraId="64225D43" w14:textId="5F24005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Modelul intern pentru riscul de nerambursare reflectă impactul neliniar al opțiunilor și al altor poziții cu un comportament neliniar semnificativ în ceea ce privește variațiile de preț. Instituțiile țin cont de asemenea de dimensiunea riscului de model care este inerent evaluării și estimării riscurilor de preț asociate acestor produse.</w:t>
            </w:r>
          </w:p>
        </w:tc>
        <w:tc>
          <w:tcPr>
            <w:tcW w:w="1692" w:type="pct"/>
            <w:shd w:val="clear" w:color="auto" w:fill="auto"/>
          </w:tcPr>
          <w:p w14:paraId="1560AEE8" w14:textId="046ECA1C"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401" w:name="_Hlk224202832"/>
            <w:r w:rsidRPr="00C011B2">
              <w:rPr>
                <w:rFonts w:ascii="Times New Roman" w:hAnsi="Times New Roman" w:cs="Times New Roman"/>
                <w:color w:val="000000" w:themeColor="text1"/>
                <w:lang w:val="ro-MD"/>
              </w:rPr>
              <w:t>405.</w:t>
            </w:r>
            <w:r w:rsidR="008A3314" w:rsidRPr="00C011B2">
              <w:rPr>
                <w:rFonts w:ascii="Times New Roman" w:hAnsi="Times New Roman" w:cs="Times New Roman"/>
                <w:color w:val="000000" w:themeColor="text1"/>
                <w:lang w:val="ro-MD"/>
              </w:rPr>
              <w:t xml:space="preserve">   Modelul intern pentru riscul de nerambursare reflectă impactul neliniar al opțiunilor și al altor poziții cu un comportament neliniar semnificativ în ceea ce privește variațiile de preț.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țin cont de asemenea de dimensiunea riscului de model care este inerent evaluării și estimării riscurilor de preț asociate acestor produse.</w:t>
            </w:r>
            <w:bookmarkEnd w:id="401"/>
          </w:p>
        </w:tc>
        <w:tc>
          <w:tcPr>
            <w:tcW w:w="450" w:type="pct"/>
          </w:tcPr>
          <w:p w14:paraId="3922AC69" w14:textId="4C9B7FF2"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23CFF7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E577F1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BA4B1A" w14:textId="032DA03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Modelul intern pentru riscul de nerambursare se bazează pe date obiective și actualizate.</w:t>
            </w:r>
          </w:p>
        </w:tc>
        <w:tc>
          <w:tcPr>
            <w:tcW w:w="1692" w:type="pct"/>
            <w:shd w:val="clear" w:color="auto" w:fill="auto"/>
          </w:tcPr>
          <w:p w14:paraId="0DDFFFC9" w14:textId="294C3704"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402" w:name="_Hlk224202851"/>
            <w:r w:rsidRPr="00C011B2">
              <w:rPr>
                <w:rFonts w:ascii="Times New Roman" w:hAnsi="Times New Roman" w:cs="Times New Roman"/>
                <w:color w:val="000000" w:themeColor="text1"/>
                <w:lang w:val="ro-MD"/>
              </w:rPr>
              <w:t>406.</w:t>
            </w:r>
            <w:r w:rsidR="008A3314" w:rsidRPr="00C011B2">
              <w:rPr>
                <w:rFonts w:ascii="Times New Roman" w:hAnsi="Times New Roman" w:cs="Times New Roman"/>
                <w:color w:val="000000" w:themeColor="text1"/>
                <w:lang w:val="ro-MD"/>
              </w:rPr>
              <w:t>   Modelul intern pentru riscul de nerambursare se bazează pe date obiective și actualizate.</w:t>
            </w:r>
            <w:bookmarkEnd w:id="402"/>
          </w:p>
        </w:tc>
        <w:tc>
          <w:tcPr>
            <w:tcW w:w="450" w:type="pct"/>
          </w:tcPr>
          <w:p w14:paraId="6564859A" w14:textId="72F14832"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C665F0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EC356E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82E91F0" w14:textId="19A281E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Pentru a simula starea de nerambursare a emitenților în modelul intern pentru riscul de nerambursare, estimările instituției privind probabilitățile de nerambursare îndeplinesc următoarele cerințe:</w:t>
            </w:r>
          </w:p>
          <w:p w14:paraId="1DA17D48"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39" w:tooltip="32024R1623: REPLACED" w:history="1">
              <w:r w:rsidR="008A3314" w:rsidRPr="00C011B2">
                <w:rPr>
                  <w:rStyle w:val="Hyperlink"/>
                  <w:rFonts w:ascii="Times New Roman" w:hAnsi="Times New Roman" w:cs="Times New Roman"/>
                  <w:b/>
                  <w:bCs/>
                  <w:lang w:val="ro-MD"/>
                </w:rPr>
                <w:t>▼M17</w:t>
              </w:r>
            </w:hyperlink>
          </w:p>
          <w:p w14:paraId="2F248877" w14:textId="7F9BDE0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probabilitățile de nerambursare au un prag minim de 0,01  % pentru expunerile cărora li se aplică o pondere de risc de 0 %, în conformitate cu articolele 114-118, și de 0,01  % pentru obligațiunile garantate cărora li se aplică o pondere de risc de 10 %, în conformitate cu articolul 129; în caz contrar, </w:t>
            </w:r>
            <w:r w:rsidRPr="00C011B2">
              <w:rPr>
                <w:rFonts w:ascii="Times New Roman" w:hAnsi="Times New Roman" w:cs="Times New Roman"/>
                <w:color w:val="000000" w:themeColor="text1"/>
                <w:lang w:val="ro-MD"/>
              </w:rPr>
              <w:lastRenderedPageBreak/>
              <w:t>probabilitățile de nerambursare au un prag minim de 0,03  %;</w:t>
            </w:r>
          </w:p>
          <w:p w14:paraId="279407B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0" w:tooltip="32019R0876: INSERTED" w:history="1">
              <w:r w:rsidR="008A3314" w:rsidRPr="00C011B2">
                <w:rPr>
                  <w:rStyle w:val="Hyperlink"/>
                  <w:rFonts w:ascii="Times New Roman" w:hAnsi="Times New Roman" w:cs="Times New Roman"/>
                  <w:b/>
                  <w:bCs/>
                  <w:lang w:val="ro-MD"/>
                </w:rPr>
                <w:t>▼M8</w:t>
              </w:r>
            </w:hyperlink>
          </w:p>
          <w:p w14:paraId="002E286D" w14:textId="0A692ACE"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probabilitățile de nerambursare se bazează pe un orizont de timp de un an, cu excepția cazului în care se prevede altfel în prezenta secțiune;</w:t>
            </w:r>
          </w:p>
          <w:p w14:paraId="51F6EBC0" w14:textId="039BC88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probabilitățile de nerambursare se măsoară utilizând, singure sau în combinație cu prețurile de piață curente, date observate într-o perioadă istorică de cel puțin cinci ani privind nerambursări reale din trecut și scăderi extreme ale prețurilor de piață echivalente cu situații de nerambursare; probabilitățile de nerambursare nu se deduc exclusiv pe baza prețurilor de piață curente;</w:t>
            </w:r>
          </w:p>
          <w:p w14:paraId="08BF0339"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1" w:tooltip="32024R1623: REPLACED" w:history="1">
              <w:r w:rsidR="008A3314" w:rsidRPr="00C011B2">
                <w:rPr>
                  <w:rStyle w:val="Hyperlink"/>
                  <w:rFonts w:ascii="Times New Roman" w:hAnsi="Times New Roman" w:cs="Times New Roman"/>
                  <w:b/>
                  <w:bCs/>
                  <w:lang w:val="ro-MD"/>
                </w:rPr>
                <w:t>▼M17</w:t>
              </w:r>
            </w:hyperlink>
          </w:p>
          <w:p w14:paraId="3BCA9FBE" w14:textId="47BB9DA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o instituție care a primit aprobarea de a estima probabilitățile de nerambursare în conformitate cu titlul II capitolul 3 secțiunea 1 pentru clasa de expuneri și sistemul de rating corespunzător unui anumit emitent utilizează metodologia prevăzută în acea secțiune pentru a calcula probabilitățile de nerambursare ale emitentului respectiv, cu condiția ca datele pentru o astfel de estimare să fie disponibile;</w:t>
            </w:r>
          </w:p>
          <w:p w14:paraId="46384C8F" w14:textId="6E8D8F3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(e) o instituție care nu a primit aprobarea de a estima probabilitățile de nerambursare menționate la litera (d) </w:t>
            </w:r>
            <w:r w:rsidRPr="00C011B2">
              <w:rPr>
                <w:rFonts w:ascii="Times New Roman" w:hAnsi="Times New Roman" w:cs="Times New Roman"/>
                <w:color w:val="000000" w:themeColor="text1"/>
                <w:lang w:val="ro-MD"/>
              </w:rPr>
              <w:lastRenderedPageBreak/>
              <w:t>elaborează o metodologie internă sau utilizează surse externe pentru a estima aceste probabilități de nerambursare în conformitate cu cerințele aplicabile estimărilor probabilității de nerambursare în temeiul prezentului articol.</w:t>
            </w:r>
          </w:p>
          <w:p w14:paraId="78DDF0A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2" w:tooltip="32024R1623: INSERTED" w:history="1">
              <w:r w:rsidR="008A3314" w:rsidRPr="00C011B2">
                <w:rPr>
                  <w:rStyle w:val="Hyperlink"/>
                  <w:rFonts w:ascii="Times New Roman" w:hAnsi="Times New Roman" w:cs="Times New Roman"/>
                  <w:b/>
                  <w:bCs/>
                  <w:lang w:val="ro-MD"/>
                </w:rPr>
                <w:t>▼M17</w:t>
              </w:r>
            </w:hyperlink>
          </w:p>
          <w:p w14:paraId="7566F7CF"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sensul primului paragraf litera (d), datele necesare pentru estimarea probabilităților de nerambursare ale unui anumit emitent al unei poziții din portofoliul de tranzacționare sunt disponibile dacă, la data calculului, instituția deține o poziție din afara portofoliului de tranzacționare pe același debitor pentru care estimează probabilitățile de nerambursare în conformitate cu titlul II capitolul 3 secțiunea 1 în vederea calculării cerințelor de fonduri proprii prevăzute în capitolul respectiv.</w:t>
            </w:r>
          </w:p>
          <w:p w14:paraId="4C1A3C4A"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0951028" w14:textId="2568887C" w:rsidR="008A3314" w:rsidRPr="00C011B2" w:rsidRDefault="003E1794" w:rsidP="008A3314">
            <w:pPr>
              <w:spacing w:after="0" w:line="276" w:lineRule="auto"/>
              <w:jc w:val="both"/>
              <w:rPr>
                <w:rFonts w:ascii="Times New Roman" w:hAnsi="Times New Roman" w:cs="Times New Roman"/>
                <w:color w:val="000000" w:themeColor="text1"/>
                <w:lang w:val="ro-MD"/>
              </w:rPr>
            </w:pPr>
            <w:bookmarkStart w:id="403" w:name="_Hlk224202888"/>
            <w:r w:rsidRPr="00C011B2">
              <w:rPr>
                <w:rFonts w:ascii="Times New Roman" w:hAnsi="Times New Roman" w:cs="Times New Roman"/>
                <w:color w:val="000000" w:themeColor="text1"/>
                <w:lang w:val="ro-MD"/>
              </w:rPr>
              <w:lastRenderedPageBreak/>
              <w:t>407.</w:t>
            </w:r>
            <w:r w:rsidR="008A3314" w:rsidRPr="00C011B2">
              <w:rPr>
                <w:rFonts w:ascii="Times New Roman" w:hAnsi="Times New Roman" w:cs="Times New Roman"/>
                <w:color w:val="000000" w:themeColor="text1"/>
                <w:lang w:val="ro-MD"/>
              </w:rPr>
              <w:t xml:space="preserve">   Pentru a simula starea de nerambursare a emitenților în modelul intern pentru riscul de nerambursare, estimările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privind probabilitățile de nerambursare îndeplinesc următoarele cerințe:</w:t>
            </w:r>
          </w:p>
          <w:p w14:paraId="5D78A638" w14:textId="7708955E" w:rsidR="008A3314" w:rsidRPr="00C011B2" w:rsidRDefault="003E179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407.1.</w:t>
            </w:r>
            <w:r w:rsidR="008A3314" w:rsidRPr="00C011B2">
              <w:rPr>
                <w:rFonts w:ascii="Times New Roman" w:hAnsi="Times New Roman" w:cs="Times New Roman"/>
                <w:color w:val="000000" w:themeColor="text1"/>
                <w:lang w:val="ro-MD"/>
              </w:rPr>
              <w:t xml:space="preserve"> probabilitățile de nerambursare au un prag minim de 0,01  % pentru expunerile cărora li se aplică o pondere de risc de 0 %, în conformitate cu </w:t>
            </w:r>
            <w:r w:rsidRPr="00C011B2">
              <w:rPr>
                <w:rFonts w:ascii="Times New Roman" w:hAnsi="Times New Roman" w:cs="Times New Roman"/>
                <w:color w:val="000000" w:themeColor="text1"/>
                <w:lang w:val="ro-MD"/>
              </w:rPr>
              <w:t>capitolul III, secțiunile 1-5 din Regulamentul nr.111/2018</w:t>
            </w:r>
            <w:r w:rsidR="008A3314" w:rsidRPr="00C011B2">
              <w:rPr>
                <w:rFonts w:ascii="Times New Roman" w:hAnsi="Times New Roman" w:cs="Times New Roman"/>
                <w:color w:val="000000" w:themeColor="text1"/>
                <w:lang w:val="ro-MD"/>
              </w:rPr>
              <w:t xml:space="preserve">, și de 0,01  % pentru obligațiunile garantate cărora li se aplică o pondere de risc de 10 %, în conformitate cu </w:t>
            </w:r>
            <w:r w:rsidR="00996273" w:rsidRPr="00C011B2">
              <w:rPr>
                <w:rFonts w:ascii="Times New Roman" w:hAnsi="Times New Roman" w:cs="Times New Roman"/>
                <w:color w:val="000000" w:themeColor="text1"/>
                <w:lang w:val="ro-MD"/>
              </w:rPr>
              <w:t>capitolul III, secțiunea 14</w:t>
            </w:r>
            <w:r w:rsidR="00996273" w:rsidRPr="00C011B2">
              <w:rPr>
                <w:rFonts w:ascii="Times New Roman" w:hAnsi="Times New Roman" w:cs="Times New Roman"/>
                <w:color w:val="000000" w:themeColor="text1"/>
                <w:vertAlign w:val="superscript"/>
                <w:lang w:val="ro-MD"/>
              </w:rPr>
              <w:t>2</w:t>
            </w:r>
            <w:r w:rsidR="00996273" w:rsidRPr="00C011B2">
              <w:rPr>
                <w:rFonts w:ascii="Times New Roman" w:hAnsi="Times New Roman" w:cs="Times New Roman"/>
                <w:color w:val="000000" w:themeColor="text1"/>
                <w:lang w:val="ro-MD"/>
              </w:rPr>
              <w:t xml:space="preserve"> din Regulamentul nr.111/2018</w:t>
            </w:r>
            <w:r w:rsidR="008A3314" w:rsidRPr="00C011B2">
              <w:rPr>
                <w:rFonts w:ascii="Times New Roman" w:hAnsi="Times New Roman" w:cs="Times New Roman"/>
                <w:color w:val="000000" w:themeColor="text1"/>
                <w:lang w:val="ro-MD"/>
              </w:rPr>
              <w:t>; în caz contrar, probabilitățile de nerambursare au un prag minim de 0,03  %;</w:t>
            </w:r>
          </w:p>
          <w:p w14:paraId="6B0DE44F" w14:textId="6E04DFAF" w:rsidR="008A3314" w:rsidRPr="00C011B2" w:rsidRDefault="0099627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407.2.</w:t>
            </w:r>
            <w:r w:rsidR="008A3314" w:rsidRPr="00C011B2">
              <w:rPr>
                <w:rFonts w:ascii="Times New Roman" w:hAnsi="Times New Roman" w:cs="Times New Roman"/>
                <w:color w:val="000000" w:themeColor="text1"/>
                <w:lang w:val="ro-MD"/>
              </w:rPr>
              <w:t> probabilitățile de nerambursare se bazează pe un orizont de timp de un an, cu excepția cazului în care se prevede altfel în prezenta secțiune;</w:t>
            </w:r>
          </w:p>
          <w:p w14:paraId="0EFCAB81" w14:textId="4C062F37" w:rsidR="008A3314" w:rsidRPr="00C011B2" w:rsidRDefault="0099627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407.3.</w:t>
            </w:r>
            <w:r w:rsidR="008A3314" w:rsidRPr="00C011B2">
              <w:rPr>
                <w:rFonts w:ascii="Times New Roman" w:hAnsi="Times New Roman" w:cs="Times New Roman"/>
                <w:color w:val="000000" w:themeColor="text1"/>
                <w:lang w:val="ro-MD"/>
              </w:rPr>
              <w:t> probabilitățile de nerambursare se măsoară utilizând, singure sau în combinație cu prețurile de piață curente, date observate într-o perioadă istorică de cel puțin cinci ani privind nerambursări reale din trecut și scăderi extreme ale prețurilor de piață echivalente cu situații de nerambursare; probabilitățile de nerambursare nu se deduc exclusiv pe baza prețurilor de piață curente;</w:t>
            </w:r>
          </w:p>
          <w:p w14:paraId="1BF2763E" w14:textId="06FABDE9" w:rsidR="008A3314" w:rsidRPr="00C011B2" w:rsidRDefault="00996273"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407.4.</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care a primit aprobarea de a estima probabilitățile de nerambursare în conformitate cu capitolul </w:t>
            </w:r>
            <w:r w:rsidR="00AE17EB" w:rsidRPr="00C011B2">
              <w:rPr>
                <w:rFonts w:ascii="Times New Roman" w:hAnsi="Times New Roman" w:cs="Times New Roman"/>
                <w:color w:val="000000" w:themeColor="text1"/>
                <w:lang w:val="ro-MD"/>
              </w:rPr>
              <w:t>III</w:t>
            </w:r>
            <w:r w:rsidR="008A3314" w:rsidRPr="00C011B2">
              <w:rPr>
                <w:rFonts w:ascii="Times New Roman" w:hAnsi="Times New Roman" w:cs="Times New Roman"/>
                <w:color w:val="000000" w:themeColor="text1"/>
                <w:lang w:val="ro-MD"/>
              </w:rPr>
              <w:t xml:space="preserve"> secțiunea 1</w:t>
            </w:r>
            <w:r w:rsidR="00AE17EB" w:rsidRPr="00C011B2">
              <w:rPr>
                <w:rFonts w:ascii="Times New Roman" w:hAnsi="Times New Roman" w:cs="Times New Roman"/>
                <w:color w:val="000000" w:themeColor="text1"/>
                <w:lang w:val="ro-MD"/>
              </w:rPr>
              <w:t xml:space="preserve"> din Regulamentul </w:t>
            </w:r>
            <w:r w:rsidR="008A3314" w:rsidRPr="00C011B2">
              <w:rPr>
                <w:rFonts w:ascii="Times New Roman" w:hAnsi="Times New Roman" w:cs="Times New Roman"/>
                <w:color w:val="000000" w:themeColor="text1"/>
                <w:lang w:val="ro-MD"/>
              </w:rPr>
              <w:t xml:space="preserve"> </w:t>
            </w:r>
            <w:r w:rsidR="00AE17EB" w:rsidRPr="00C011B2">
              <w:rPr>
                <w:rFonts w:ascii="Times New Roman" w:hAnsi="Times New Roman" w:cs="Times New Roman"/>
                <w:color w:val="000000" w:themeColor="text1"/>
                <w:lang w:val="ro-MD"/>
              </w:rPr>
              <w:t xml:space="preserve">privind tratamentul riscului de credit pentru bănci potrivit abordării bazate pe modele interne de rating </w:t>
            </w:r>
            <w:r w:rsidR="008A3314" w:rsidRPr="00C011B2">
              <w:rPr>
                <w:rFonts w:ascii="Times New Roman" w:hAnsi="Times New Roman" w:cs="Times New Roman"/>
                <w:color w:val="000000" w:themeColor="text1"/>
                <w:lang w:val="ro-MD"/>
              </w:rPr>
              <w:t>pentru clasa de expuneri și sistemul de rating corespunzător unui anumit emitent utilizează metodologia prevăzută în acea secțiune pentru a calcula probabilitățile de nerambursare ale emitentului respectiv, cu condiția ca datele pentru o astfel de estimare să fie disponibile;</w:t>
            </w:r>
          </w:p>
          <w:p w14:paraId="3FAEF5A0" w14:textId="585F6364" w:rsidR="008A3314" w:rsidRPr="00C011B2" w:rsidRDefault="00AE17E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407.5.</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care nu a primit aprobarea de a estima probabilitățile de nerambursare menționate la </w:t>
            </w:r>
            <w:r w:rsidRPr="00C011B2">
              <w:rPr>
                <w:rFonts w:ascii="Times New Roman" w:hAnsi="Times New Roman" w:cs="Times New Roman"/>
                <w:color w:val="000000" w:themeColor="text1"/>
                <w:lang w:val="ro-MD"/>
              </w:rPr>
              <w:t>subpct.407.4</w:t>
            </w:r>
            <w:r w:rsidR="008A3314" w:rsidRPr="00C011B2">
              <w:rPr>
                <w:rFonts w:ascii="Times New Roman" w:hAnsi="Times New Roman" w:cs="Times New Roman"/>
                <w:color w:val="000000" w:themeColor="text1"/>
                <w:lang w:val="ro-MD"/>
              </w:rPr>
              <w:t xml:space="preserve"> elaborează o metodologie internă sau utilizează surse externe pentru a estima aceste probabilități de nerambursare în conformitate cu cerințele aplicabile </w:t>
            </w:r>
            <w:r w:rsidR="008A3314" w:rsidRPr="00C011B2">
              <w:rPr>
                <w:rFonts w:ascii="Times New Roman" w:hAnsi="Times New Roman" w:cs="Times New Roman"/>
                <w:color w:val="000000" w:themeColor="text1"/>
                <w:lang w:val="ro-MD"/>
              </w:rPr>
              <w:lastRenderedPageBreak/>
              <w:t xml:space="preserve">estimărilor probabilității de nerambursare în temeiul </w:t>
            </w:r>
            <w:r w:rsidRPr="00C011B2">
              <w:rPr>
                <w:rFonts w:ascii="Times New Roman" w:hAnsi="Times New Roman" w:cs="Times New Roman"/>
                <w:color w:val="000000" w:themeColor="text1"/>
                <w:lang w:val="ro-MD"/>
              </w:rPr>
              <w:t>prezentei secțiuni</w:t>
            </w:r>
            <w:r w:rsidR="008A3314" w:rsidRPr="00C011B2">
              <w:rPr>
                <w:rFonts w:ascii="Times New Roman" w:hAnsi="Times New Roman" w:cs="Times New Roman"/>
                <w:color w:val="000000" w:themeColor="text1"/>
                <w:lang w:val="ro-MD"/>
              </w:rPr>
              <w:t>.</w:t>
            </w:r>
          </w:p>
          <w:p w14:paraId="649CBF7B" w14:textId="50456CD1" w:rsidR="008A3314" w:rsidRPr="00C011B2" w:rsidRDefault="00AE17EB"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408. </w:t>
            </w:r>
            <w:r w:rsidR="008A3314" w:rsidRPr="00C011B2">
              <w:rPr>
                <w:rFonts w:ascii="Times New Roman" w:hAnsi="Times New Roman" w:cs="Times New Roman"/>
                <w:color w:val="000000" w:themeColor="text1"/>
                <w:lang w:val="ro-MD"/>
              </w:rPr>
              <w:t xml:space="preserve">În sensul </w:t>
            </w:r>
            <w:r w:rsidRPr="00C011B2">
              <w:rPr>
                <w:rFonts w:ascii="Times New Roman" w:hAnsi="Times New Roman" w:cs="Times New Roman"/>
                <w:color w:val="000000" w:themeColor="text1"/>
                <w:lang w:val="ro-MD"/>
              </w:rPr>
              <w:t>subpct.407.4</w:t>
            </w:r>
            <w:r w:rsidR="008A3314" w:rsidRPr="00C011B2">
              <w:rPr>
                <w:rFonts w:ascii="Times New Roman" w:hAnsi="Times New Roman" w:cs="Times New Roman"/>
                <w:color w:val="000000" w:themeColor="text1"/>
                <w:lang w:val="ro-MD"/>
              </w:rPr>
              <w:t xml:space="preserve">, datele necesare pentru estimarea probabilităților de nerambursare ale unui anumit emitent al unei poziții din portofoliul de tranzacționare sunt disponibile dacă, la data calculului,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deține o poziție din afara portofoliului de tranzacționare pe același debitor pentru care estimează probabilitățile de nerambursare în conformitate cu capitolul </w:t>
            </w:r>
            <w:r w:rsidRPr="00C011B2">
              <w:rPr>
                <w:rFonts w:ascii="Times New Roman" w:hAnsi="Times New Roman" w:cs="Times New Roman"/>
                <w:color w:val="000000" w:themeColor="text1"/>
                <w:lang w:val="ro-MD"/>
              </w:rPr>
              <w:t>III</w:t>
            </w:r>
            <w:r w:rsidR="008A3314" w:rsidRPr="00C011B2">
              <w:rPr>
                <w:rFonts w:ascii="Times New Roman" w:hAnsi="Times New Roman" w:cs="Times New Roman"/>
                <w:color w:val="000000" w:themeColor="text1"/>
                <w:lang w:val="ro-MD"/>
              </w:rPr>
              <w:t xml:space="preserve"> secțiunea 1 </w:t>
            </w:r>
            <w:r w:rsidRPr="00C011B2">
              <w:rPr>
                <w:rFonts w:ascii="Times New Roman" w:hAnsi="Times New Roman" w:cs="Times New Roman"/>
                <w:color w:val="000000" w:themeColor="text1"/>
                <w:lang w:val="ro-MD"/>
              </w:rPr>
              <w:t xml:space="preserve">din Regulamentul  privind tratamentul riscului de credit pentru bănci potrivit abordării bazate pe modele interne de rating </w:t>
            </w:r>
            <w:r w:rsidR="008A3314" w:rsidRPr="00C011B2">
              <w:rPr>
                <w:rFonts w:ascii="Times New Roman" w:hAnsi="Times New Roman" w:cs="Times New Roman"/>
                <w:color w:val="000000" w:themeColor="text1"/>
                <w:lang w:val="ro-MD"/>
              </w:rPr>
              <w:t>în vederea calculării cerințelor de fonduri proprii prevăzute în capitolul respectiv.</w:t>
            </w:r>
          </w:p>
          <w:bookmarkEnd w:id="403"/>
          <w:p w14:paraId="2587CFD5"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663CD5E6" w14:textId="30ADA5C2"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6E6C93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FBD603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AAD2C73"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3" w:tooltip="32019R0876: INSERTED" w:history="1">
              <w:r w:rsidR="008A3314" w:rsidRPr="00C011B2">
                <w:rPr>
                  <w:rStyle w:val="Hyperlink"/>
                  <w:rFonts w:ascii="Times New Roman" w:hAnsi="Times New Roman" w:cs="Times New Roman"/>
                  <w:b/>
                  <w:bCs/>
                  <w:lang w:val="ro-MD"/>
                </w:rPr>
                <w:t>▼M8</w:t>
              </w:r>
            </w:hyperlink>
          </w:p>
          <w:p w14:paraId="74A4DCA3" w14:textId="141C06F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Pentru a simula starea de nerambursare a emitenților în modelul intern pentru riscul de nerambursare, estimările instituției privind pierderea în caz de nerambursare îndeplinesc următoarele cerințe:</w:t>
            </w:r>
          </w:p>
          <w:p w14:paraId="753ED582" w14:textId="1243F81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estimările privind pierderea în caz de nerambursare au un prag minim de 0 %;</w:t>
            </w:r>
          </w:p>
          <w:p w14:paraId="25D62D4B" w14:textId="54915356"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estimările privind pierderea în caz de nerambursare reflectă rangul fiecărei poziții;</w:t>
            </w:r>
          </w:p>
          <w:p w14:paraId="24946A9E"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4" w:tooltip="32024R1623: REPLACED" w:history="1">
              <w:r w:rsidR="008A3314" w:rsidRPr="00C011B2">
                <w:rPr>
                  <w:rStyle w:val="Hyperlink"/>
                  <w:rFonts w:ascii="Times New Roman" w:hAnsi="Times New Roman" w:cs="Times New Roman"/>
                  <w:b/>
                  <w:bCs/>
                  <w:lang w:val="ro-MD"/>
                </w:rPr>
                <w:t>▼M17</w:t>
              </w:r>
            </w:hyperlink>
          </w:p>
          <w:p w14:paraId="41769A21" w14:textId="6636E0E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o instituție care a primit aprobarea de a estima LGD în conformitate cu titlul II capitolul 3 secțiunea 1 pentru clasa de expuneri și sistemul de rating corespunzător unei anumite expuneri utilizează metodologia prevăzută în acea secțiune pentru a calcula estimările LGD ale emitentului respectiv, cu condiția ca datele pentru o astfel de estimare să fie disponibile;</w:t>
            </w:r>
          </w:p>
          <w:p w14:paraId="707F40B8" w14:textId="626010B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o instituție care nu a primit aprobarea de a estima LGD menționată la litera (c) elaborează o metodologie internă sau utilizează surse externe pentru a estima LGD în conformitate cu cerințele aplicabile estimărilor LGD în temeiul prezentului articol.</w:t>
            </w:r>
          </w:p>
          <w:p w14:paraId="5CE2CD5A"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5" w:tooltip="32024R1623: INSERTED" w:history="1">
              <w:r w:rsidR="008A3314" w:rsidRPr="00C011B2">
                <w:rPr>
                  <w:rStyle w:val="Hyperlink"/>
                  <w:rFonts w:ascii="Times New Roman" w:hAnsi="Times New Roman" w:cs="Times New Roman"/>
                  <w:b/>
                  <w:bCs/>
                  <w:lang w:val="ro-MD"/>
                </w:rPr>
                <w:t>▼M17</w:t>
              </w:r>
            </w:hyperlink>
          </w:p>
          <w:p w14:paraId="577E7338" w14:textId="1A6EC2F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sensul primului paragraf litera (c), datele necesare pentru estimarea LGD a unui anumit emitent al unei poziții din portofoliul de tranzacționare sunt disponibile dacă, la data calculului, instituția deține o poziție din afara portofoliului de tranzacționare pe aceeași expunere pentru care estimează LGD în conformitate cu titlul II capitolul 3 secțiunea 1 în </w:t>
            </w:r>
            <w:r w:rsidRPr="00C011B2">
              <w:rPr>
                <w:rFonts w:ascii="Times New Roman" w:hAnsi="Times New Roman" w:cs="Times New Roman"/>
                <w:color w:val="000000" w:themeColor="text1"/>
                <w:lang w:val="ro-MD"/>
              </w:rPr>
              <w:lastRenderedPageBreak/>
              <w:t>vederea calculării cerințelor de fonduri proprii prevăzute în capitolul respectiv.</w:t>
            </w:r>
          </w:p>
        </w:tc>
        <w:tc>
          <w:tcPr>
            <w:tcW w:w="1692" w:type="pct"/>
            <w:shd w:val="clear" w:color="auto" w:fill="auto"/>
          </w:tcPr>
          <w:p w14:paraId="5379A2E5" w14:textId="0E5A5EEF" w:rsidR="008A3314" w:rsidRPr="00C011B2" w:rsidRDefault="007509BC" w:rsidP="008A3314">
            <w:pPr>
              <w:spacing w:after="0" w:line="276" w:lineRule="auto"/>
              <w:jc w:val="both"/>
              <w:rPr>
                <w:rFonts w:ascii="Times New Roman" w:hAnsi="Times New Roman" w:cs="Times New Roman"/>
                <w:color w:val="000000" w:themeColor="text1"/>
                <w:lang w:val="ro-MD"/>
              </w:rPr>
            </w:pPr>
            <w:bookmarkStart w:id="404" w:name="_Hlk224202994"/>
            <w:r w:rsidRPr="00C011B2">
              <w:rPr>
                <w:rFonts w:ascii="Times New Roman" w:hAnsi="Times New Roman" w:cs="Times New Roman"/>
                <w:color w:val="000000" w:themeColor="text1"/>
                <w:lang w:val="ro-MD"/>
              </w:rPr>
              <w:lastRenderedPageBreak/>
              <w:t>409.</w:t>
            </w:r>
            <w:r w:rsidR="008A3314" w:rsidRPr="00C011B2">
              <w:rPr>
                <w:rFonts w:ascii="Times New Roman" w:hAnsi="Times New Roman" w:cs="Times New Roman"/>
                <w:color w:val="000000" w:themeColor="text1"/>
                <w:lang w:val="ro-MD"/>
              </w:rPr>
              <w:t xml:space="preserve">   Pentru a simula starea de nerambursare a emitenților în modelul intern pentru riscul de nerambursare, estimările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privind pierderea în caz de nerambursare îndeplinesc următoarele cerințe:</w:t>
            </w:r>
          </w:p>
          <w:p w14:paraId="7C6B0314" w14:textId="3BF8BB9C"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409.1.</w:t>
            </w:r>
            <w:r w:rsidR="008A3314" w:rsidRPr="00C011B2">
              <w:rPr>
                <w:rFonts w:ascii="Times New Roman" w:hAnsi="Times New Roman" w:cs="Times New Roman"/>
                <w:color w:val="000000" w:themeColor="text1"/>
                <w:lang w:val="ro-MD"/>
              </w:rPr>
              <w:t> estimările privind pierderea în caz de nerambursare au un prag minim de 0 %;</w:t>
            </w:r>
          </w:p>
          <w:p w14:paraId="306218F1" w14:textId="50421FC5"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409.2.</w:t>
            </w:r>
            <w:r w:rsidR="008A3314" w:rsidRPr="00C011B2">
              <w:rPr>
                <w:rFonts w:ascii="Times New Roman" w:hAnsi="Times New Roman" w:cs="Times New Roman"/>
                <w:color w:val="000000" w:themeColor="text1"/>
                <w:lang w:val="ro-MD"/>
              </w:rPr>
              <w:t> estimările privind pierderea în caz de nerambursare reflectă rangul fiecărei poziții;</w:t>
            </w:r>
          </w:p>
          <w:p w14:paraId="100A6F7D" w14:textId="77349D71"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409.3.</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care a primit aprobarea de a estima LGD în conformitate cu capitolul </w:t>
            </w:r>
            <w:r w:rsidRPr="00C011B2">
              <w:rPr>
                <w:rFonts w:ascii="Times New Roman" w:hAnsi="Times New Roman" w:cs="Times New Roman"/>
                <w:color w:val="000000" w:themeColor="text1"/>
                <w:lang w:val="ro-MD"/>
              </w:rPr>
              <w:t>III</w:t>
            </w:r>
            <w:r w:rsidR="008A3314" w:rsidRPr="00C011B2">
              <w:rPr>
                <w:rFonts w:ascii="Times New Roman" w:hAnsi="Times New Roman" w:cs="Times New Roman"/>
                <w:color w:val="000000" w:themeColor="text1"/>
                <w:lang w:val="ro-MD"/>
              </w:rPr>
              <w:t xml:space="preserve"> secțiunea 1 </w:t>
            </w:r>
            <w:r w:rsidRPr="00C011B2">
              <w:rPr>
                <w:rFonts w:ascii="Times New Roman" w:hAnsi="Times New Roman" w:cs="Times New Roman"/>
                <w:color w:val="000000" w:themeColor="text1"/>
                <w:lang w:val="ro-MD"/>
              </w:rPr>
              <w:t xml:space="preserve">din Regulamentul  privind tratamentul riscului de credit pentru bănci potrivit abordării bazate pe modele interne de rating </w:t>
            </w:r>
            <w:r w:rsidR="008A3314" w:rsidRPr="00C011B2">
              <w:rPr>
                <w:rFonts w:ascii="Times New Roman" w:hAnsi="Times New Roman" w:cs="Times New Roman"/>
                <w:color w:val="000000" w:themeColor="text1"/>
                <w:lang w:val="ro-MD"/>
              </w:rPr>
              <w:t>pentru clasa de expuneri și sistemul de rating corespunzător unei anumite expuneri utilizează metodologia prevăzută în acea secțiune pentru a calcula estimările LGD ale emitentului respectiv, cu condiția ca datele pentru o astfel de estimare să fie disponibile;</w:t>
            </w:r>
          </w:p>
          <w:p w14:paraId="7B63C2A2" w14:textId="759BF5E0"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409.4.</w:t>
            </w:r>
            <w:r w:rsidR="008A3314"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care nu a primit aprobarea de a estima LGD menționată la </w:t>
            </w:r>
            <w:r w:rsidRPr="00C011B2">
              <w:rPr>
                <w:rFonts w:ascii="Times New Roman" w:hAnsi="Times New Roman" w:cs="Times New Roman"/>
                <w:color w:val="000000" w:themeColor="text1"/>
                <w:lang w:val="ro-MD"/>
              </w:rPr>
              <w:t>subpct.409.3</w:t>
            </w:r>
            <w:r w:rsidR="008A3314" w:rsidRPr="00C011B2">
              <w:rPr>
                <w:rFonts w:ascii="Times New Roman" w:hAnsi="Times New Roman" w:cs="Times New Roman"/>
                <w:color w:val="000000" w:themeColor="text1"/>
                <w:lang w:val="ro-MD"/>
              </w:rPr>
              <w:t xml:space="preserve"> elaborează o metodologie internă sau utilizează surse externe pentru a estima LGD în conformitate cu cerințele aplicabile estimărilor LGD în temeiul </w:t>
            </w:r>
            <w:r w:rsidRPr="00C011B2">
              <w:rPr>
                <w:rFonts w:ascii="Times New Roman" w:hAnsi="Times New Roman" w:cs="Times New Roman"/>
                <w:color w:val="000000" w:themeColor="text1"/>
                <w:lang w:val="ro-MD"/>
              </w:rPr>
              <w:t>prezentei subsecțiuni</w:t>
            </w:r>
            <w:r w:rsidR="008A3314" w:rsidRPr="00C011B2">
              <w:rPr>
                <w:rFonts w:ascii="Times New Roman" w:hAnsi="Times New Roman" w:cs="Times New Roman"/>
                <w:color w:val="000000" w:themeColor="text1"/>
                <w:lang w:val="ro-MD"/>
              </w:rPr>
              <w:t>.</w:t>
            </w:r>
          </w:p>
          <w:p w14:paraId="2917003D" w14:textId="0D7E9352"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410. </w:t>
            </w:r>
            <w:r w:rsidR="008A3314" w:rsidRPr="00C011B2">
              <w:rPr>
                <w:rFonts w:ascii="Times New Roman" w:hAnsi="Times New Roman" w:cs="Times New Roman"/>
                <w:color w:val="000000" w:themeColor="text1"/>
                <w:lang w:val="ro-MD"/>
              </w:rPr>
              <w:t xml:space="preserve">În sensul </w:t>
            </w:r>
            <w:r w:rsidRPr="00C011B2">
              <w:rPr>
                <w:rFonts w:ascii="Times New Roman" w:hAnsi="Times New Roman" w:cs="Times New Roman"/>
                <w:color w:val="000000" w:themeColor="text1"/>
                <w:lang w:val="ro-MD"/>
              </w:rPr>
              <w:t>subpct.409.3</w:t>
            </w:r>
            <w:r w:rsidR="008A3314" w:rsidRPr="00C011B2">
              <w:rPr>
                <w:rFonts w:ascii="Times New Roman" w:hAnsi="Times New Roman" w:cs="Times New Roman"/>
                <w:color w:val="000000" w:themeColor="text1"/>
                <w:lang w:val="ro-MD"/>
              </w:rPr>
              <w:t xml:space="preserve">, datele necesare pentru estimarea LGD a unui anumit emitent al unei poziții din portofoliul de tranzacționare sunt disponibile dacă, la data calculului,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deține o poziție din afara portofoliului de tranzacționare pe aceeași expunere pentru care estimează LGD în conformitate cu capitolul </w:t>
            </w:r>
            <w:r w:rsidRPr="00C011B2">
              <w:rPr>
                <w:rFonts w:ascii="Times New Roman" w:hAnsi="Times New Roman" w:cs="Times New Roman"/>
                <w:color w:val="000000" w:themeColor="text1"/>
                <w:lang w:val="ro-MD"/>
              </w:rPr>
              <w:t>III</w:t>
            </w:r>
            <w:r w:rsidR="008A3314" w:rsidRPr="00C011B2">
              <w:rPr>
                <w:rFonts w:ascii="Times New Roman" w:hAnsi="Times New Roman" w:cs="Times New Roman"/>
                <w:color w:val="000000" w:themeColor="text1"/>
                <w:lang w:val="ro-MD"/>
              </w:rPr>
              <w:t xml:space="preserve"> secțiunea 1</w:t>
            </w:r>
            <w:r w:rsidRPr="00C011B2">
              <w:rPr>
                <w:rFonts w:ascii="Times New Roman" w:hAnsi="Times New Roman" w:cs="Times New Roman"/>
                <w:color w:val="000000" w:themeColor="text1"/>
                <w:lang w:val="ro-MD"/>
              </w:rPr>
              <w:t xml:space="preserve"> din Regulamentul  privind tratamentul riscului de credit pentru bănci potrivit abordării bazate pe modele interne de rating</w:t>
            </w:r>
            <w:r w:rsidR="008A3314" w:rsidRPr="00C011B2">
              <w:rPr>
                <w:rFonts w:ascii="Times New Roman" w:hAnsi="Times New Roman" w:cs="Times New Roman"/>
                <w:color w:val="000000" w:themeColor="text1"/>
                <w:lang w:val="ro-MD"/>
              </w:rPr>
              <w:t xml:space="preserve"> în vederea calculării cerințelor de fonduri proprii prevăzute în capitolul respectiv.</w:t>
            </w:r>
            <w:bookmarkEnd w:id="404"/>
          </w:p>
        </w:tc>
        <w:tc>
          <w:tcPr>
            <w:tcW w:w="450" w:type="pct"/>
          </w:tcPr>
          <w:p w14:paraId="7270F647" w14:textId="49B8EBE6"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2A504FD"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7DCCF6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7E33D6"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6" w:tooltip="32019R0876: INSERTED" w:history="1">
              <w:r w:rsidR="008A3314" w:rsidRPr="00C011B2">
                <w:rPr>
                  <w:rStyle w:val="Hyperlink"/>
                  <w:rFonts w:ascii="Times New Roman" w:hAnsi="Times New Roman" w:cs="Times New Roman"/>
                  <w:b/>
                  <w:bCs/>
                  <w:lang w:val="ro-MD"/>
                </w:rPr>
                <w:t>▼M8</w:t>
              </w:r>
            </w:hyperlink>
          </w:p>
          <w:p w14:paraId="3D591ABB" w14:textId="29A6E54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Ca parte a analizei independente și a validării modelelor interne utilizate în sensul prezentului capitol, inclusiv pentru sistemul de măsurare a riscurilor, instituțiile:</w:t>
            </w:r>
          </w:p>
          <w:p w14:paraId="603E3D6A" w14:textId="40FF9FE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verifică dacă metoda lor de modelare a corelațiilor și a variațiilor de preț este adecvată pentru portofoliul lor, în special în materie de alegere și de ponderare a factorilor de risc sistematic din cadrul modelului;</w:t>
            </w:r>
          </w:p>
          <w:p w14:paraId="4438E0E0" w14:textId="4420FFB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efectuează o serie de simulări de criză, inclusiv analize de sensibilitate și analize ale scenariilor, pentru a evalua caracterul rezonabil din punct de vedere calitativ și cantitativ al modelului intern pentru riscul de nerambursare, în special în ceea ce privește tratamentul concentrărilor; și</w:t>
            </w:r>
          </w:p>
          <w:p w14:paraId="0EF83658" w14:textId="000836B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aplică o validare cantitativă adecvată care să includă valori de referință interne relevante pentru modelare.</w:t>
            </w:r>
          </w:p>
          <w:p w14:paraId="374F8A9A" w14:textId="56277E3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Aceste teste menționate la litera (b) nu se limitează la gama de evenimente survenite în trecut.</w:t>
            </w:r>
          </w:p>
        </w:tc>
        <w:tc>
          <w:tcPr>
            <w:tcW w:w="1692" w:type="pct"/>
            <w:shd w:val="clear" w:color="auto" w:fill="auto"/>
          </w:tcPr>
          <w:p w14:paraId="41AD7F10" w14:textId="4BE67187" w:rsidR="008A3314" w:rsidRPr="00C011B2" w:rsidRDefault="008A3314" w:rsidP="008A3314">
            <w:pPr>
              <w:spacing w:after="0" w:line="276" w:lineRule="auto"/>
              <w:jc w:val="both"/>
              <w:rPr>
                <w:rFonts w:ascii="Times New Roman" w:hAnsi="Times New Roman" w:cs="Times New Roman"/>
                <w:b/>
                <w:bCs/>
                <w:color w:val="000000" w:themeColor="text1"/>
                <w:lang w:val="ro-MD"/>
              </w:rPr>
            </w:pPr>
          </w:p>
          <w:p w14:paraId="37F057B6" w14:textId="672AB0E9" w:rsidR="008A3314" w:rsidRPr="00C011B2" w:rsidRDefault="007509BC" w:rsidP="008A3314">
            <w:pPr>
              <w:spacing w:after="0" w:line="276" w:lineRule="auto"/>
              <w:jc w:val="both"/>
              <w:rPr>
                <w:rFonts w:ascii="Times New Roman" w:hAnsi="Times New Roman" w:cs="Times New Roman"/>
                <w:color w:val="000000" w:themeColor="text1"/>
                <w:lang w:val="ro-MD"/>
              </w:rPr>
            </w:pPr>
            <w:bookmarkStart w:id="405" w:name="_Hlk224203082"/>
            <w:r w:rsidRPr="00C011B2">
              <w:rPr>
                <w:rFonts w:ascii="Times New Roman" w:hAnsi="Times New Roman" w:cs="Times New Roman"/>
                <w:color w:val="000000" w:themeColor="text1"/>
                <w:lang w:val="ro-MD"/>
              </w:rPr>
              <w:t>411.</w:t>
            </w:r>
            <w:r w:rsidR="008A3314" w:rsidRPr="00C011B2">
              <w:rPr>
                <w:rFonts w:ascii="Times New Roman" w:hAnsi="Times New Roman" w:cs="Times New Roman"/>
                <w:color w:val="000000" w:themeColor="text1"/>
                <w:lang w:val="ro-MD"/>
              </w:rPr>
              <w:t xml:space="preserve">   Ca parte a analizei independente și a validării modelelor interne utilizate în sensul prezentului capitol, inclusiv pentru sistemul de măsurare a riscurilor, </w:t>
            </w:r>
            <w:r w:rsidRPr="00C011B2">
              <w:rPr>
                <w:rFonts w:ascii="Times New Roman" w:hAnsi="Times New Roman" w:cs="Times New Roman"/>
                <w:color w:val="000000" w:themeColor="text1"/>
                <w:lang w:val="ro-MD"/>
              </w:rPr>
              <w:t>băncile</w:t>
            </w:r>
            <w:r w:rsidR="008A3314" w:rsidRPr="00C011B2">
              <w:rPr>
                <w:rFonts w:ascii="Times New Roman" w:hAnsi="Times New Roman" w:cs="Times New Roman"/>
                <w:color w:val="000000" w:themeColor="text1"/>
                <w:lang w:val="ro-MD"/>
              </w:rPr>
              <w:t>:</w:t>
            </w:r>
          </w:p>
          <w:p w14:paraId="1A61C539" w14:textId="6BD1C4D1"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411.1.</w:t>
            </w:r>
            <w:r w:rsidR="008A3314" w:rsidRPr="00C011B2">
              <w:rPr>
                <w:rFonts w:ascii="Times New Roman" w:hAnsi="Times New Roman" w:cs="Times New Roman"/>
                <w:color w:val="000000" w:themeColor="text1"/>
                <w:lang w:val="ro-MD"/>
              </w:rPr>
              <w:t> verifică dacă metoda lor de modelare a corelațiilor și a variațiilor de preț este adecvată pentru portofoliul lor, în special în materie de alegere și de ponderare a factorilor de risc sistematic din cadrul modelului;</w:t>
            </w:r>
          </w:p>
          <w:p w14:paraId="33D7E8F6" w14:textId="69786E86"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411.2.</w:t>
            </w:r>
            <w:r w:rsidR="008A3314" w:rsidRPr="00C011B2">
              <w:rPr>
                <w:rFonts w:ascii="Times New Roman" w:hAnsi="Times New Roman" w:cs="Times New Roman"/>
                <w:color w:val="000000" w:themeColor="text1"/>
                <w:lang w:val="ro-MD"/>
              </w:rPr>
              <w:t> efectuează o serie de simulări de criză, inclusiv analize de sensibilitate și analize ale scenariilor, pentru a evalua caracterul rezonabil din punct de vedere calitativ și cantitativ al modelului intern pentru riscul de nerambursare, în special în ceea ce privește tratamentul concentrărilor; și</w:t>
            </w:r>
          </w:p>
          <w:p w14:paraId="7D10E341" w14:textId="4C34FA66"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411.3.</w:t>
            </w:r>
            <w:r w:rsidR="008A3314" w:rsidRPr="00C011B2">
              <w:rPr>
                <w:rFonts w:ascii="Times New Roman" w:hAnsi="Times New Roman" w:cs="Times New Roman"/>
                <w:color w:val="000000" w:themeColor="text1"/>
                <w:lang w:val="ro-MD"/>
              </w:rPr>
              <w:t> aplică o validare cantitativă adecvată care să includă valori de referință interne relevante pentru modelare.</w:t>
            </w:r>
          </w:p>
          <w:p w14:paraId="01851050" w14:textId="21F58CB0" w:rsidR="008A3314" w:rsidRPr="00C011B2" w:rsidRDefault="007509BC"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412. </w:t>
            </w:r>
            <w:r w:rsidR="008A3314" w:rsidRPr="00C011B2">
              <w:rPr>
                <w:rFonts w:ascii="Times New Roman" w:hAnsi="Times New Roman" w:cs="Times New Roman"/>
                <w:color w:val="000000" w:themeColor="text1"/>
                <w:lang w:val="ro-MD"/>
              </w:rPr>
              <w:t>Aceste teste menționate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subpct.411.2</w:t>
            </w:r>
            <w:r w:rsidR="008A3314" w:rsidRPr="00C011B2">
              <w:rPr>
                <w:rFonts w:ascii="Times New Roman" w:hAnsi="Times New Roman" w:cs="Times New Roman"/>
                <w:color w:val="000000" w:themeColor="text1"/>
                <w:lang w:val="ro-MD"/>
              </w:rPr>
              <w:t xml:space="preserve"> nu se limitează la gama de evenimente survenite în trecut.</w:t>
            </w:r>
            <w:bookmarkEnd w:id="405"/>
          </w:p>
        </w:tc>
        <w:tc>
          <w:tcPr>
            <w:tcW w:w="450" w:type="pct"/>
          </w:tcPr>
          <w:p w14:paraId="68CF82C9" w14:textId="563EB1E4"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BD93BEC"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1CCF155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B948F1A" w14:textId="09692A15"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(8)  Modelul intern pentru riscul de nerambursare reflectă în mod corespunzător concentrările emitenților și concentrările care pot apărea în cadrul unei clase de </w:t>
            </w:r>
            <w:r w:rsidRPr="00C011B2">
              <w:rPr>
                <w:rFonts w:ascii="Times New Roman" w:hAnsi="Times New Roman" w:cs="Times New Roman"/>
                <w:color w:val="000000" w:themeColor="text1"/>
                <w:lang w:val="ro-MD"/>
              </w:rPr>
              <w:lastRenderedPageBreak/>
              <w:t>produse și între diferitele clase de produse în condiții de criză.</w:t>
            </w:r>
          </w:p>
        </w:tc>
        <w:tc>
          <w:tcPr>
            <w:tcW w:w="1692" w:type="pct"/>
            <w:shd w:val="clear" w:color="auto" w:fill="auto"/>
          </w:tcPr>
          <w:p w14:paraId="3D42D0C8" w14:textId="189DF260" w:rsidR="008A3314" w:rsidRPr="00C011B2" w:rsidRDefault="007509BC" w:rsidP="008A3314">
            <w:pPr>
              <w:spacing w:after="0" w:line="276" w:lineRule="auto"/>
              <w:jc w:val="both"/>
              <w:rPr>
                <w:rFonts w:ascii="Times New Roman" w:hAnsi="Times New Roman" w:cs="Times New Roman"/>
                <w:color w:val="000000" w:themeColor="text1"/>
                <w:lang w:val="ro-MD"/>
              </w:rPr>
            </w:pPr>
            <w:bookmarkStart w:id="406" w:name="_Hlk224203110"/>
            <w:r w:rsidRPr="00C011B2">
              <w:rPr>
                <w:rFonts w:ascii="Times New Roman" w:hAnsi="Times New Roman" w:cs="Times New Roman"/>
                <w:color w:val="000000" w:themeColor="text1"/>
                <w:lang w:val="ro-MD"/>
              </w:rPr>
              <w:lastRenderedPageBreak/>
              <w:t>413.</w:t>
            </w:r>
            <w:r w:rsidR="008A3314" w:rsidRPr="00C011B2">
              <w:rPr>
                <w:rFonts w:ascii="Times New Roman" w:hAnsi="Times New Roman" w:cs="Times New Roman"/>
                <w:color w:val="000000" w:themeColor="text1"/>
                <w:lang w:val="ro-MD"/>
              </w:rPr>
              <w:t xml:space="preserve">  Modelul intern pentru riscul de nerambursare reflectă în mod corespunzător concentrările emitenților și concentrările care pot apărea în cadrul unei clase de </w:t>
            </w:r>
            <w:r w:rsidR="008A3314" w:rsidRPr="00C011B2">
              <w:rPr>
                <w:rFonts w:ascii="Times New Roman" w:hAnsi="Times New Roman" w:cs="Times New Roman"/>
                <w:color w:val="000000" w:themeColor="text1"/>
                <w:lang w:val="ro-MD"/>
              </w:rPr>
              <w:lastRenderedPageBreak/>
              <w:t>produse și între diferitele clase de produse în condiții de criză.</w:t>
            </w:r>
            <w:bookmarkEnd w:id="406"/>
          </w:p>
        </w:tc>
        <w:tc>
          <w:tcPr>
            <w:tcW w:w="450" w:type="pct"/>
          </w:tcPr>
          <w:p w14:paraId="475057B5" w14:textId="3E3B61C7"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041866E"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9AFF7C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3FE522" w14:textId="7B9F93E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Modelul intern pentru riscul de nerambursare este în concordanță cu metodele interne de administrare a riscurilor ale instituției pentru identificarea, cuantificarea și administrarea riscurilor de tranzacționare.</w:t>
            </w:r>
          </w:p>
        </w:tc>
        <w:tc>
          <w:tcPr>
            <w:tcW w:w="1692" w:type="pct"/>
            <w:shd w:val="clear" w:color="auto" w:fill="auto"/>
          </w:tcPr>
          <w:p w14:paraId="3C464835" w14:textId="7A0A0A06" w:rsidR="008A3314" w:rsidRPr="00C011B2" w:rsidRDefault="007509BC" w:rsidP="008A3314">
            <w:pPr>
              <w:spacing w:after="0" w:line="276" w:lineRule="auto"/>
              <w:jc w:val="both"/>
              <w:rPr>
                <w:rFonts w:ascii="Times New Roman" w:hAnsi="Times New Roman" w:cs="Times New Roman"/>
                <w:color w:val="000000" w:themeColor="text1"/>
                <w:lang w:val="ro-MD"/>
              </w:rPr>
            </w:pPr>
            <w:bookmarkStart w:id="407" w:name="_Hlk224203128"/>
            <w:r w:rsidRPr="00C011B2">
              <w:rPr>
                <w:rFonts w:ascii="Times New Roman" w:hAnsi="Times New Roman" w:cs="Times New Roman"/>
                <w:color w:val="000000" w:themeColor="text1"/>
                <w:lang w:val="ro-MD"/>
              </w:rPr>
              <w:t>414.</w:t>
            </w:r>
            <w:r w:rsidR="008A3314" w:rsidRPr="00C011B2">
              <w:rPr>
                <w:rFonts w:ascii="Times New Roman" w:hAnsi="Times New Roman" w:cs="Times New Roman"/>
                <w:color w:val="000000" w:themeColor="text1"/>
                <w:lang w:val="ro-MD"/>
              </w:rPr>
              <w:t xml:space="preserve">   Modelul intern pentru riscul de nerambursare este în concordanță cu metodele interne de administrare a riscurilor ale </w:t>
            </w:r>
            <w:r w:rsidRPr="00C011B2">
              <w:rPr>
                <w:rFonts w:ascii="Times New Roman" w:hAnsi="Times New Roman" w:cs="Times New Roman"/>
                <w:color w:val="000000" w:themeColor="text1"/>
                <w:lang w:val="ro-MD"/>
              </w:rPr>
              <w:t xml:space="preserve">băncii </w:t>
            </w:r>
            <w:r w:rsidR="008A3314" w:rsidRPr="00C011B2">
              <w:rPr>
                <w:rFonts w:ascii="Times New Roman" w:hAnsi="Times New Roman" w:cs="Times New Roman"/>
                <w:color w:val="000000" w:themeColor="text1"/>
                <w:lang w:val="ro-MD"/>
              </w:rPr>
              <w:t>pentru identificarea, cuantificarea și administrarea riscurilor de tranzacționare.</w:t>
            </w:r>
            <w:bookmarkEnd w:id="407"/>
          </w:p>
        </w:tc>
        <w:tc>
          <w:tcPr>
            <w:tcW w:w="450" w:type="pct"/>
          </w:tcPr>
          <w:p w14:paraId="6F4CE095" w14:textId="15FE6CEE"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350B15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BB927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BE82BC" w14:textId="252D45C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 Instituțiile dispun de politici și proceduri clar definite pentru a determina ipotezele de nerambursare privind corelațiile între diferiți emitenți în conformitate cu articolul 325bn alineatul (1) litera (c) și selecția preferată a metodei pentru a estima probabilitățile de nerambursare menționate la prezentul articol alineatul (5) litera (e) și pierderile în caz de nerambursare menționate la prezentul articol alineatul (6) litera (d).</w:t>
            </w:r>
          </w:p>
        </w:tc>
        <w:tc>
          <w:tcPr>
            <w:tcW w:w="1692" w:type="pct"/>
            <w:shd w:val="clear" w:color="auto" w:fill="auto"/>
          </w:tcPr>
          <w:p w14:paraId="11AA5917" w14:textId="7D00ADE5" w:rsidR="008A3314" w:rsidRPr="00C011B2" w:rsidRDefault="007509BC" w:rsidP="008A3314">
            <w:pPr>
              <w:spacing w:after="0" w:line="276" w:lineRule="auto"/>
              <w:jc w:val="both"/>
              <w:rPr>
                <w:rFonts w:ascii="Times New Roman" w:hAnsi="Times New Roman" w:cs="Times New Roman"/>
                <w:color w:val="000000" w:themeColor="text1"/>
                <w:lang w:val="ro-MD"/>
              </w:rPr>
            </w:pPr>
            <w:bookmarkStart w:id="408" w:name="_Hlk224203145"/>
            <w:r w:rsidRPr="00C011B2">
              <w:rPr>
                <w:rFonts w:ascii="Times New Roman" w:hAnsi="Times New Roman" w:cs="Times New Roman"/>
                <w:color w:val="000000" w:themeColor="text1"/>
                <w:lang w:val="ro-MD"/>
              </w:rPr>
              <w:t>415.</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dispun de politici și proceduri clar definite pentru a determina ipotezele de nerambursare privind corelațiile între diferiți emitenți în conformitate cu</w:t>
            </w:r>
            <w:r w:rsidR="00B46CAD" w:rsidRPr="00C011B2">
              <w:rPr>
                <w:rFonts w:ascii="Times New Roman" w:hAnsi="Times New Roman" w:cs="Times New Roman"/>
                <w:color w:val="000000" w:themeColor="text1"/>
                <w:lang w:val="ro-MD"/>
              </w:rPr>
              <w:t>subpct.395.3</w:t>
            </w:r>
            <w:r w:rsidR="008A3314" w:rsidRPr="00C011B2">
              <w:rPr>
                <w:rFonts w:ascii="Times New Roman" w:hAnsi="Times New Roman" w:cs="Times New Roman"/>
                <w:color w:val="000000" w:themeColor="text1"/>
                <w:lang w:val="ro-MD"/>
              </w:rPr>
              <w:t xml:space="preserve"> și selecția preferată a metodei pentru a estima probabilitățile de nerambursare menționate la </w:t>
            </w:r>
            <w:r w:rsidR="00B46CAD" w:rsidRPr="00C011B2">
              <w:rPr>
                <w:rFonts w:ascii="Times New Roman" w:hAnsi="Times New Roman" w:cs="Times New Roman"/>
                <w:color w:val="000000" w:themeColor="text1"/>
                <w:lang w:val="ro-MD"/>
              </w:rPr>
              <w:t xml:space="preserve">subpct.407.5 </w:t>
            </w:r>
            <w:r w:rsidR="008A3314" w:rsidRPr="00C011B2">
              <w:rPr>
                <w:rFonts w:ascii="Times New Roman" w:hAnsi="Times New Roman" w:cs="Times New Roman"/>
                <w:color w:val="000000" w:themeColor="text1"/>
                <w:lang w:val="ro-MD"/>
              </w:rPr>
              <w:t xml:space="preserve">și pierderile în caz de nerambursare menționate la </w:t>
            </w:r>
            <w:r w:rsidR="00B46CAD" w:rsidRPr="00C011B2">
              <w:rPr>
                <w:rFonts w:ascii="Times New Roman" w:hAnsi="Times New Roman" w:cs="Times New Roman"/>
                <w:color w:val="000000" w:themeColor="text1"/>
                <w:lang w:val="ro-MD"/>
              </w:rPr>
              <w:t>subpct.409.4</w:t>
            </w:r>
            <w:r w:rsidR="008A3314" w:rsidRPr="00C011B2">
              <w:rPr>
                <w:rFonts w:ascii="Times New Roman" w:hAnsi="Times New Roman" w:cs="Times New Roman"/>
                <w:color w:val="000000" w:themeColor="text1"/>
                <w:lang w:val="ro-MD"/>
              </w:rPr>
              <w:t>.</w:t>
            </w:r>
            <w:bookmarkEnd w:id="408"/>
          </w:p>
        </w:tc>
        <w:tc>
          <w:tcPr>
            <w:tcW w:w="450" w:type="pct"/>
          </w:tcPr>
          <w:p w14:paraId="4F288552" w14:textId="195C3231"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08F7CF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90A8B8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A3C8D1C" w14:textId="5DC4E3D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   Instituțiile își documentează modelele interne în așa fel încât ipotezele lor privind corelațiile și alte ipoteze de modelare să fie transparente pentru autoritățile competente.</w:t>
            </w:r>
          </w:p>
        </w:tc>
        <w:tc>
          <w:tcPr>
            <w:tcW w:w="1692" w:type="pct"/>
            <w:shd w:val="clear" w:color="auto" w:fill="auto"/>
          </w:tcPr>
          <w:p w14:paraId="2FFE6814" w14:textId="63481232" w:rsidR="008A3314" w:rsidRPr="00C011B2" w:rsidRDefault="00B46CAD" w:rsidP="008A3314">
            <w:pPr>
              <w:spacing w:after="0" w:line="276" w:lineRule="auto"/>
              <w:jc w:val="both"/>
              <w:rPr>
                <w:rFonts w:ascii="Times New Roman" w:hAnsi="Times New Roman" w:cs="Times New Roman"/>
                <w:color w:val="000000" w:themeColor="text1"/>
                <w:lang w:val="ro-MD"/>
              </w:rPr>
            </w:pPr>
            <w:bookmarkStart w:id="409" w:name="_Hlk224203160"/>
            <w:r w:rsidRPr="00C011B2">
              <w:rPr>
                <w:rFonts w:ascii="Times New Roman" w:hAnsi="Times New Roman" w:cs="Times New Roman"/>
                <w:color w:val="000000" w:themeColor="text1"/>
                <w:lang w:val="ro-MD"/>
              </w:rPr>
              <w:t>416.</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 xml:space="preserve">își documentează modelele interne în așa fel încât ipotezele lor privind corelațiile și alte ipoteze de modelare să fie transparente pentru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w:t>
            </w:r>
            <w:bookmarkEnd w:id="409"/>
          </w:p>
        </w:tc>
        <w:tc>
          <w:tcPr>
            <w:tcW w:w="450" w:type="pct"/>
          </w:tcPr>
          <w:p w14:paraId="4DEB993D" w14:textId="16ADEF6D" w:rsidR="008A3314" w:rsidRPr="00C011B2" w:rsidRDefault="00B61D49"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62880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0617FF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F3C15E7"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(12)   ABE elaborează proiecte de standarde tehnice de reglementare pentru a specifica cerințele pe care trebuie să le îndeplinească metodologia internă sau sursele externe ale unei instituții pentru estimarea probabilităților de nerambursare și a pierderii în caz de </w:t>
            </w:r>
            <w:r w:rsidRPr="00C011B2">
              <w:rPr>
                <w:rFonts w:ascii="Times New Roman" w:hAnsi="Times New Roman" w:cs="Times New Roman"/>
                <w:color w:val="000000" w:themeColor="text1"/>
                <w:lang w:val="ro-MD"/>
              </w:rPr>
              <w:lastRenderedPageBreak/>
              <w:t>nerambursare în conformitate cu alineatul (5) litera (e) și cu alineatul (6) litera (d).</w:t>
            </w:r>
          </w:p>
          <w:p w14:paraId="6F21366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prezintă Comisiei aceste proiecte de standarde tehnice de reglementare până la 28 septembrie 2020.</w:t>
            </w:r>
          </w:p>
          <w:p w14:paraId="0F5A1CE7" w14:textId="6831E90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1692" w:type="pct"/>
            <w:shd w:val="clear" w:color="auto" w:fill="auto"/>
          </w:tcPr>
          <w:p w14:paraId="0F137501" w14:textId="20F12EB1"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787C6BD8" w14:textId="0C65797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58423E6B" w14:textId="0C629D8A"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Alin.(12) stabilește obligații pentru autorități europene – Autoritatea Bancară Europeană.</w:t>
            </w:r>
          </w:p>
        </w:tc>
      </w:tr>
      <w:tr w:rsidR="008A3314" w:rsidRPr="00C011B2" w14:paraId="0158B6E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E2985C" w14:textId="77777777" w:rsidR="008A3314" w:rsidRPr="00C011B2" w:rsidRDefault="00FA7D23" w:rsidP="008A3314">
            <w:pPr>
              <w:spacing w:after="0" w:line="276" w:lineRule="auto"/>
              <w:jc w:val="both"/>
              <w:rPr>
                <w:rFonts w:ascii="Times New Roman" w:hAnsi="Times New Roman" w:cs="Times New Roman"/>
                <w:b/>
                <w:bCs/>
                <w:color w:val="000000" w:themeColor="text1"/>
                <w:lang w:val="ro-MD"/>
              </w:rPr>
            </w:pPr>
            <w:hyperlink r:id="rId247" w:tooltip="32013R0575R(02): REPLACED" w:history="1">
              <w:r w:rsidR="008A3314" w:rsidRPr="00C011B2">
                <w:rPr>
                  <w:rStyle w:val="Hyperlink"/>
                  <w:rFonts w:ascii="Times New Roman" w:hAnsi="Times New Roman" w:cs="Times New Roman"/>
                  <w:b/>
                  <w:bCs/>
                  <w:lang w:val="ro-MD"/>
                </w:rPr>
                <w:t>▼C2</w:t>
              </w:r>
            </w:hyperlink>
          </w:p>
          <w:p w14:paraId="5AFBE021"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CAPITOLUL 2</w:t>
            </w:r>
          </w:p>
          <w:p w14:paraId="0BD2429C"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de poziție</w:t>
            </w:r>
          </w:p>
          <w:p w14:paraId="1C520E60"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1</w:t>
            </w:r>
          </w:p>
          <w:p w14:paraId="02C7FD81" w14:textId="37EB3A4A"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Dispoziții generale și instrumente specifice</w:t>
            </w:r>
          </w:p>
        </w:tc>
        <w:tc>
          <w:tcPr>
            <w:tcW w:w="1692" w:type="pct"/>
            <w:shd w:val="clear" w:color="auto" w:fill="auto"/>
          </w:tcPr>
          <w:p w14:paraId="2FDF7D15" w14:textId="0E385D29" w:rsidR="008A3314" w:rsidRPr="00C011B2" w:rsidRDefault="008A3314" w:rsidP="008A3314">
            <w:pPr>
              <w:spacing w:after="0" w:line="276" w:lineRule="auto"/>
              <w:jc w:val="both"/>
              <w:rPr>
                <w:rFonts w:ascii="Times New Roman" w:hAnsi="Times New Roman" w:cs="Times New Roman"/>
                <w:color w:val="000000" w:themeColor="text1"/>
                <w:lang w:val="ro-MD"/>
              </w:rPr>
            </w:pPr>
            <w:bookmarkStart w:id="410" w:name="_Hlk195099234"/>
            <w:r w:rsidRPr="00C011B2">
              <w:rPr>
                <w:rFonts w:ascii="Times New Roman" w:hAnsi="Times New Roman" w:cs="Times New Roman"/>
                <w:color w:val="000000" w:themeColor="text1"/>
                <w:lang w:val="ro-MD"/>
              </w:rPr>
              <w:t xml:space="preserve">CAPITOLUL </w:t>
            </w:r>
            <w:r w:rsidR="0091119F" w:rsidRPr="00C011B2">
              <w:rPr>
                <w:rFonts w:ascii="Times New Roman" w:hAnsi="Times New Roman" w:cs="Times New Roman"/>
                <w:color w:val="000000" w:themeColor="text1"/>
                <w:lang w:val="ro-MD"/>
              </w:rPr>
              <w:t>IV</w:t>
            </w:r>
          </w:p>
          <w:p w14:paraId="2BCE6626"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de poziție</w:t>
            </w:r>
          </w:p>
          <w:p w14:paraId="28317947" w14:textId="77777777" w:rsidR="008A3314" w:rsidRPr="00C011B2" w:rsidRDefault="008A3314" w:rsidP="008A3314">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Secțiunea 1</w:t>
            </w:r>
          </w:p>
          <w:p w14:paraId="4D54F8D5" w14:textId="0D06587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Dispoziții generale și instrumente specifice</w:t>
            </w:r>
            <w:bookmarkEnd w:id="410"/>
          </w:p>
        </w:tc>
        <w:tc>
          <w:tcPr>
            <w:tcW w:w="450" w:type="pct"/>
          </w:tcPr>
          <w:p w14:paraId="4FDADB59"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1A1DB941"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D52710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0048764"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326</w:t>
            </w:r>
          </w:p>
          <w:p w14:paraId="375289A2" w14:textId="18CAD21C" w:rsidR="008A3314" w:rsidRPr="00C011B2" w:rsidRDefault="008A3314" w:rsidP="008A3314">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b/>
                <w:bCs/>
                <w:color w:val="000000" w:themeColor="text1"/>
                <w:lang w:val="ro-MD"/>
              </w:rPr>
              <w:t>Cerințe de fonduri proprii pentru riscul de poziție</w:t>
            </w:r>
          </w:p>
        </w:tc>
        <w:tc>
          <w:tcPr>
            <w:tcW w:w="1692" w:type="pct"/>
            <w:shd w:val="clear" w:color="auto" w:fill="auto"/>
          </w:tcPr>
          <w:p w14:paraId="477D4FA8" w14:textId="235AA040" w:rsidR="008A3314" w:rsidRPr="00C011B2" w:rsidRDefault="0091119F" w:rsidP="008A3314">
            <w:pPr>
              <w:spacing w:after="0" w:line="276" w:lineRule="auto"/>
              <w:jc w:val="both"/>
              <w:rPr>
                <w:rFonts w:ascii="Times New Roman" w:hAnsi="Times New Roman" w:cs="Times New Roman"/>
                <w:i/>
                <w:iCs/>
                <w:color w:val="000000" w:themeColor="text1"/>
                <w:lang w:val="ro-MD"/>
              </w:rPr>
            </w:pPr>
            <w:bookmarkStart w:id="411" w:name="_Hlk195099266"/>
            <w:r w:rsidRPr="00C011B2">
              <w:rPr>
                <w:rFonts w:ascii="Times New Roman" w:hAnsi="Times New Roman" w:cs="Times New Roman"/>
                <w:i/>
                <w:iCs/>
                <w:color w:val="000000" w:themeColor="text1"/>
                <w:lang w:val="ro-MD"/>
              </w:rPr>
              <w:t xml:space="preserve">Subsecțiunea 1. </w:t>
            </w:r>
          </w:p>
          <w:p w14:paraId="7476DE0C" w14:textId="2D65CC3B"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de fonduri proprii pentru riscul de poziție</w:t>
            </w:r>
            <w:bookmarkEnd w:id="411"/>
          </w:p>
        </w:tc>
        <w:tc>
          <w:tcPr>
            <w:tcW w:w="450" w:type="pct"/>
          </w:tcPr>
          <w:p w14:paraId="0F316407"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74D7292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BFBD80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298709D" w14:textId="2B46B331" w:rsidR="008A3314" w:rsidRPr="00C011B2" w:rsidRDefault="008A3314" w:rsidP="008A3314">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color w:val="000000" w:themeColor="text1"/>
              </w:rPr>
              <w:t xml:space="preserve">Cerința de fonduri proprii a instituției pentru riscul de poziție este suma cerințelor de fonduri proprii pentru riscul general și cel specific aferente pozițiilor sale pe instrumente de datorie și de capital. </w:t>
            </w:r>
            <w:r w:rsidRPr="00C011B2">
              <w:rPr>
                <w:rFonts w:ascii="Times New Roman" w:hAnsi="Times New Roman" w:cs="Times New Roman"/>
                <w:color w:val="000000" w:themeColor="text1"/>
                <w:lang w:val="it-IT"/>
              </w:rPr>
              <w:t>Pozițiile din securitizare din portofoliul de tranzacționare sunt tratate ca instrumente de datorie.</w:t>
            </w:r>
          </w:p>
        </w:tc>
        <w:tc>
          <w:tcPr>
            <w:tcW w:w="1692" w:type="pct"/>
            <w:shd w:val="clear" w:color="auto" w:fill="auto"/>
          </w:tcPr>
          <w:p w14:paraId="1D25021E" w14:textId="66C26D1F" w:rsidR="008A3314" w:rsidRPr="00C011B2" w:rsidRDefault="0091119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it-IT"/>
              </w:rPr>
              <w:t xml:space="preserve">417. </w:t>
            </w:r>
            <w:r w:rsidR="008A3314" w:rsidRPr="00C011B2">
              <w:rPr>
                <w:rFonts w:ascii="Times New Roman" w:hAnsi="Times New Roman" w:cs="Times New Roman"/>
                <w:color w:val="000000" w:themeColor="text1"/>
                <w:lang w:val="it-IT"/>
              </w:rPr>
              <w:t xml:space="preserve">Cerința de fonduri proprii a </w:t>
            </w:r>
            <w:r w:rsidRPr="00C011B2">
              <w:rPr>
                <w:rFonts w:ascii="Times New Roman" w:hAnsi="Times New Roman" w:cs="Times New Roman"/>
                <w:color w:val="000000" w:themeColor="text1"/>
                <w:lang w:val="it-IT"/>
              </w:rPr>
              <w:t xml:space="preserve">băncii </w:t>
            </w:r>
            <w:r w:rsidR="008A3314" w:rsidRPr="00C011B2">
              <w:rPr>
                <w:rFonts w:ascii="Times New Roman" w:hAnsi="Times New Roman" w:cs="Times New Roman"/>
                <w:color w:val="000000" w:themeColor="text1"/>
                <w:lang w:val="it-IT"/>
              </w:rPr>
              <w:t>pentru riscul de poziție este suma cerințelor de fonduri proprii pentru riscul general și cel specific aferente pozițiilor sale pe instrumente de datorie și de capital. Pozițiile din securitizare din portofoliul de tranzacționare sunt tratate ca instrumente de datorie.</w:t>
            </w:r>
          </w:p>
        </w:tc>
        <w:tc>
          <w:tcPr>
            <w:tcW w:w="450" w:type="pct"/>
          </w:tcPr>
          <w:p w14:paraId="2FCEEC86" w14:textId="5BF36ABB" w:rsidR="008A3314" w:rsidRPr="00C011B2" w:rsidRDefault="00317E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054B04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29A33FF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D5FC6CC"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327</w:t>
            </w:r>
          </w:p>
          <w:p w14:paraId="46FA8B20" w14:textId="04C4311C"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Compensare</w:t>
            </w:r>
          </w:p>
        </w:tc>
        <w:tc>
          <w:tcPr>
            <w:tcW w:w="1692" w:type="pct"/>
            <w:shd w:val="clear" w:color="auto" w:fill="auto"/>
          </w:tcPr>
          <w:p w14:paraId="14B83866" w14:textId="18D8E76B" w:rsidR="008A3314" w:rsidRPr="00C011B2" w:rsidRDefault="0091119F" w:rsidP="008A3314">
            <w:pPr>
              <w:spacing w:after="0" w:line="276" w:lineRule="auto"/>
              <w:jc w:val="both"/>
              <w:rPr>
                <w:rFonts w:ascii="Times New Roman" w:hAnsi="Times New Roman" w:cs="Times New Roman"/>
                <w:color w:val="000000" w:themeColor="text1"/>
                <w:lang w:val="ro-MD"/>
              </w:rPr>
            </w:pPr>
            <w:bookmarkStart w:id="412" w:name="_Hlk195099294"/>
            <w:r w:rsidRPr="00C011B2">
              <w:rPr>
                <w:rFonts w:ascii="Times New Roman" w:hAnsi="Times New Roman" w:cs="Times New Roman"/>
                <w:i/>
                <w:iCs/>
                <w:color w:val="000000" w:themeColor="text1"/>
                <w:lang w:val="ro-MD"/>
              </w:rPr>
              <w:t xml:space="preserve">Subsecțiunea 2. </w:t>
            </w:r>
            <w:r w:rsidR="008A3314" w:rsidRPr="00C011B2">
              <w:rPr>
                <w:rFonts w:ascii="Times New Roman" w:hAnsi="Times New Roman" w:cs="Times New Roman"/>
                <w:b/>
                <w:bCs/>
                <w:color w:val="000000" w:themeColor="text1"/>
                <w:lang w:val="ro-MD"/>
              </w:rPr>
              <w:t>Compensare</w:t>
            </w:r>
            <w:bookmarkEnd w:id="412"/>
          </w:p>
        </w:tc>
        <w:tc>
          <w:tcPr>
            <w:tcW w:w="450" w:type="pct"/>
          </w:tcPr>
          <w:p w14:paraId="7A58588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2A48103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5A35FB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336E3A" w14:textId="1C3AFB3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Valoarea absolută a excedentului pozițiilor lungi (scurte) ale unei instituții față de pozițiile sale scurte (lungi) pe titluri de capital, instrumente de datorie și titluri convertibile, identice, precum și pe contracte financiare futures, opțiuni, warranturi și warranturi acoperite, identice, reprezintă poziția sa netă pe fiecare dintre aceste instrumente diferite. La calcularea poziției nete, pozițiile pe instrumente financiare derivate se tratează conform dispozițiilor articolelor 328-330. În cazul în care instituția deține instrumente de datorie proprii, acestea nu se iau în considerare la calcularea cerințelor de capital pentru riscul specific prevăzute la articolul 336.</w:t>
            </w:r>
          </w:p>
        </w:tc>
        <w:tc>
          <w:tcPr>
            <w:tcW w:w="1692" w:type="pct"/>
            <w:shd w:val="clear" w:color="auto" w:fill="auto"/>
          </w:tcPr>
          <w:p w14:paraId="3A189B5C" w14:textId="4FC7F234" w:rsidR="008A3314" w:rsidRPr="00C011B2" w:rsidRDefault="0091119F"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418.</w:t>
            </w:r>
            <w:r w:rsidR="008A3314" w:rsidRPr="00C011B2">
              <w:rPr>
                <w:rFonts w:ascii="Times New Roman" w:hAnsi="Times New Roman" w:cs="Times New Roman"/>
                <w:color w:val="000000" w:themeColor="text1"/>
                <w:lang w:val="ro-MD"/>
              </w:rPr>
              <w:t xml:space="preserve">   Valoarea absolută a excedentului pozițiilor lungi (scurte) ale unei </w:t>
            </w:r>
            <w:r w:rsidRPr="00C011B2">
              <w:rPr>
                <w:rFonts w:ascii="Times New Roman" w:hAnsi="Times New Roman" w:cs="Times New Roman"/>
                <w:color w:val="000000" w:themeColor="text1"/>
                <w:lang w:val="ro-MD"/>
              </w:rPr>
              <w:t xml:space="preserve">bănci </w:t>
            </w:r>
            <w:r w:rsidR="008A3314" w:rsidRPr="00C011B2">
              <w:rPr>
                <w:rFonts w:ascii="Times New Roman" w:hAnsi="Times New Roman" w:cs="Times New Roman"/>
                <w:color w:val="000000" w:themeColor="text1"/>
                <w:lang w:val="ro-MD"/>
              </w:rPr>
              <w:t xml:space="preserve">față de pozițiile sale scurte (lungi) pe titluri de capital, instrumente de datorie și titluri convertibile, identice, precum și pe contracte financiare futures, opțiuni, warranturi și warranturi acoperite, identice, reprezintă poziția sa netă pe fiecare dintre aceste instrumente diferite. La calcularea poziției nete, pozițiile pe instrumente financiare derivate se tratează conform dispozițiilor </w:t>
            </w:r>
            <w:r w:rsidR="001E08D0" w:rsidRPr="00C011B2">
              <w:rPr>
                <w:rFonts w:ascii="Times New Roman" w:hAnsi="Times New Roman" w:cs="Times New Roman"/>
                <w:color w:val="000000" w:themeColor="text1"/>
                <w:lang w:val="ro-MD"/>
              </w:rPr>
              <w:t>subsecțiunilor 3-5</w:t>
            </w:r>
            <w:r w:rsidR="008A3314" w:rsidRPr="00C011B2">
              <w:rPr>
                <w:rFonts w:ascii="Times New Roman" w:hAnsi="Times New Roman" w:cs="Times New Roman"/>
                <w:color w:val="000000" w:themeColor="text1"/>
                <w:lang w:val="ro-MD"/>
              </w:rPr>
              <w:t xml:space="preserve">. În cazul în care </w:t>
            </w:r>
            <w:r w:rsidR="001E08D0"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deține instrumente de datorie proprii, acestea nu se iau în considerare la calcularea cerințelor de capital pentru riscul specific prevăzute la </w:t>
            </w:r>
            <w:r w:rsidR="001E08D0" w:rsidRPr="00C011B2">
              <w:rPr>
                <w:rFonts w:ascii="Times New Roman" w:hAnsi="Times New Roman" w:cs="Times New Roman"/>
                <w:color w:val="000000" w:themeColor="text1"/>
                <w:lang w:val="ro-MD"/>
              </w:rPr>
              <w:t>secțiunea 2 subsecțiunea 2 paragraful 2</w:t>
            </w:r>
            <w:r w:rsidR="008A3314" w:rsidRPr="00C011B2">
              <w:rPr>
                <w:rFonts w:ascii="Times New Roman" w:hAnsi="Times New Roman" w:cs="Times New Roman"/>
                <w:color w:val="000000" w:themeColor="text1"/>
                <w:lang w:val="ro-MD"/>
              </w:rPr>
              <w:t>.</w:t>
            </w:r>
          </w:p>
        </w:tc>
        <w:tc>
          <w:tcPr>
            <w:tcW w:w="450" w:type="pct"/>
          </w:tcPr>
          <w:p w14:paraId="5D0CEEAA" w14:textId="245260F3" w:rsidR="008A3314" w:rsidRPr="00C011B2" w:rsidRDefault="00317E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42CCC38"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529C712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298B77C" w14:textId="5DD12DDF"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Nu este permisă compensarea între un titlu convertibil și o poziție de semn opus pe instrumentul-suport al acestuia, cu excepția cazului în care autoritățile competente adoptă o abordare conform căreia se ia în considerare probabilitatea ca un anumit titlu convertibil să fie convertit sau impun o cerință de fonduri proprii pentru acoperirea oricărei pierderi pe care conversia ar putea să o determine. Aceste abordări sau cerințe de fonduri proprii se notifică la ABE. ABE monitorizează practicile din acest domeniu și, în conformitate cu articolul 16 din Regulamentul (UE) nr. 1093/2010, emite ghiduri.</w:t>
            </w:r>
          </w:p>
        </w:tc>
        <w:tc>
          <w:tcPr>
            <w:tcW w:w="1692" w:type="pct"/>
            <w:shd w:val="clear" w:color="auto" w:fill="auto"/>
          </w:tcPr>
          <w:p w14:paraId="27C3E28B" w14:textId="488ABF52" w:rsidR="008A3314" w:rsidRPr="00C011B2" w:rsidRDefault="001E08D0"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419.</w:t>
            </w:r>
            <w:r w:rsidR="008A3314" w:rsidRPr="00C011B2">
              <w:rPr>
                <w:rFonts w:ascii="Times New Roman" w:hAnsi="Times New Roman" w:cs="Times New Roman"/>
                <w:color w:val="000000" w:themeColor="text1"/>
                <w:lang w:val="ro-MD"/>
              </w:rPr>
              <w:t xml:space="preserve">   Nu este permisă compensarea între un titlu convertibil și o poziție de semn opus pe instrumentul-suport al acestuia, cu excepția cazului în care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xml:space="preserve"> adoptă o abordare conform căreia se ia în considerare probabilitatea ca un anumit titlu convertibil să fie convertit sau impun o cerință de fonduri proprii pentru acoperirea oricărei pierderi pe care conversia ar putea să o determine. </w:t>
            </w:r>
          </w:p>
        </w:tc>
        <w:tc>
          <w:tcPr>
            <w:tcW w:w="450" w:type="pct"/>
          </w:tcPr>
          <w:p w14:paraId="20D6C7D0" w14:textId="42AE11AA"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Parțial compatibil</w:t>
            </w:r>
          </w:p>
        </w:tc>
        <w:tc>
          <w:tcPr>
            <w:tcW w:w="1261" w:type="pct"/>
          </w:tcPr>
          <w:p w14:paraId="6ABC3DD1" w14:textId="472ECAF9"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Prevederile aferente atribuțiilor ABE nu au fost transpuse.</w:t>
            </w:r>
          </w:p>
        </w:tc>
      </w:tr>
      <w:tr w:rsidR="008A3314" w:rsidRPr="00C011B2" w14:paraId="1102137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6F64BDF" w14:textId="78152248"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Toate pozițiile nete, indiferent de semnul lor, se convertesc zilnic, înainte de a le agrega, în moneda de raportare folosind cel mai utilizat curs de schimb la vedere.</w:t>
            </w:r>
          </w:p>
        </w:tc>
        <w:tc>
          <w:tcPr>
            <w:tcW w:w="1692" w:type="pct"/>
            <w:shd w:val="clear" w:color="auto" w:fill="auto"/>
          </w:tcPr>
          <w:p w14:paraId="21C973D1" w14:textId="0DDA9864" w:rsidR="008A3314" w:rsidRPr="00C011B2" w:rsidRDefault="001E08D0"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420.</w:t>
            </w:r>
            <w:r w:rsidR="008A3314" w:rsidRPr="00C011B2">
              <w:rPr>
                <w:rFonts w:ascii="Times New Roman" w:hAnsi="Times New Roman" w:cs="Times New Roman"/>
                <w:color w:val="000000" w:themeColor="text1"/>
                <w:lang w:val="ro-MD"/>
              </w:rPr>
              <w:t>   Toate pozițiile nete, indiferent de semnul lor, se convertesc zilnic, înainte de a le agrega, în moneda de raportare folosind cel mai utilizat curs de schimb la vedere.</w:t>
            </w:r>
          </w:p>
        </w:tc>
        <w:tc>
          <w:tcPr>
            <w:tcW w:w="450" w:type="pct"/>
          </w:tcPr>
          <w:p w14:paraId="486CEF8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162E8070"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0925ACE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2D54498"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328</w:t>
            </w:r>
          </w:p>
          <w:p w14:paraId="142887CB" w14:textId="00311310"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Contracte futures și forward pe rata dobânzii</w:t>
            </w:r>
          </w:p>
        </w:tc>
        <w:tc>
          <w:tcPr>
            <w:tcW w:w="1692" w:type="pct"/>
            <w:shd w:val="clear" w:color="auto" w:fill="auto"/>
          </w:tcPr>
          <w:p w14:paraId="71EE3861" w14:textId="3A1C265F" w:rsidR="008A3314" w:rsidRPr="00C011B2" w:rsidRDefault="001E08D0" w:rsidP="008A3314">
            <w:pPr>
              <w:spacing w:after="0" w:line="276" w:lineRule="auto"/>
              <w:jc w:val="both"/>
              <w:rPr>
                <w:rFonts w:ascii="Times New Roman" w:hAnsi="Times New Roman" w:cs="Times New Roman"/>
                <w:color w:val="000000" w:themeColor="text1"/>
                <w:lang w:val="ro-MD"/>
              </w:rPr>
            </w:pPr>
            <w:bookmarkStart w:id="413" w:name="_Hlk195099319"/>
            <w:r w:rsidRPr="00C011B2">
              <w:rPr>
                <w:rFonts w:ascii="Times New Roman" w:hAnsi="Times New Roman" w:cs="Times New Roman"/>
                <w:i/>
                <w:iCs/>
                <w:color w:val="000000" w:themeColor="text1"/>
                <w:lang w:val="ro-MD"/>
              </w:rPr>
              <w:t xml:space="preserve">Subsecțiunea 3. </w:t>
            </w:r>
            <w:r w:rsidR="008A3314" w:rsidRPr="00C011B2">
              <w:rPr>
                <w:rFonts w:ascii="Times New Roman" w:hAnsi="Times New Roman" w:cs="Times New Roman"/>
                <w:b/>
                <w:bCs/>
                <w:color w:val="000000" w:themeColor="text1"/>
                <w:lang w:val="ro-MD"/>
              </w:rPr>
              <w:t>Contracte futures și forward pe rata dobânzii</w:t>
            </w:r>
            <w:bookmarkEnd w:id="413"/>
          </w:p>
        </w:tc>
        <w:tc>
          <w:tcPr>
            <w:tcW w:w="450" w:type="pct"/>
          </w:tcPr>
          <w:p w14:paraId="5AF5E5E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2682F60A"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385C23B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4EED238" w14:textId="6CD9548D"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Contractele futures pe rata dobânzii, contractele forward pe rata dobânzii (FRA) și angajamentele forward de cumpărare sau vânzare a instrumentelor de datorie se tratează drept combinații de poziții lungi și scurte. Astfel, o poziție lungă pe un contract futures pe rata dobânzii se tratează ca o combinație între un împrumut luat, cu scadență la data livrării contractului futures și o deținere a unui activ cu o scadență egală cu cea a instrumentului sau a poziției noționale, reprezentând suport la contractul futures în cauză. În mod similar, un contract FRA vândut se tratează ca o poziție lungă, cu o scadență egală cu data decontării plus perioada contractului, și o poziție scurtă, cu o scadență egală cu data decontării. Atât împrumutul, cât și activul deținut se includ în prima categorie prevăzută în tabelul 1 de la articolul 336, în scopul calculării cerinței de fonduri proprii pentru riscul specific aferent contractelor futures pe rata dobânzii și contractelor FRA. Un angajament forward de cumpărare a unui </w:t>
            </w:r>
            <w:r w:rsidRPr="00C011B2">
              <w:rPr>
                <w:rFonts w:ascii="Times New Roman" w:hAnsi="Times New Roman" w:cs="Times New Roman"/>
                <w:color w:val="000000" w:themeColor="text1"/>
                <w:lang w:val="ro-MD"/>
              </w:rPr>
              <w:lastRenderedPageBreak/>
              <w:t>instrument de datorie se tratează ca o combinație între un împrumut cu scadență la data livrării și o poziție lungă (spot) pe însuși instrumentul de datorie. Împrumutul se include în prima categorie prevăzută în tabelul 1 de la articolul 336, pentru scopurile riscului specific, iar instrumentul de datorie se include în coloana corespunzătoare din cadrul aceluiași tabel.</w:t>
            </w:r>
          </w:p>
        </w:tc>
        <w:tc>
          <w:tcPr>
            <w:tcW w:w="1692" w:type="pct"/>
            <w:shd w:val="clear" w:color="auto" w:fill="auto"/>
          </w:tcPr>
          <w:p w14:paraId="29036D49" w14:textId="14A2C4E3" w:rsidR="008A3314" w:rsidRPr="00C011B2" w:rsidRDefault="001E08D0"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421.</w:t>
            </w:r>
            <w:r w:rsidR="008A3314" w:rsidRPr="00C011B2">
              <w:rPr>
                <w:rFonts w:ascii="Times New Roman" w:hAnsi="Times New Roman" w:cs="Times New Roman"/>
                <w:color w:val="000000" w:themeColor="text1"/>
                <w:lang w:val="ro-MD"/>
              </w:rPr>
              <w:t xml:space="preserve">   Contractele futures pe rata dobânzii, contractele forward pe rata dobânzii (FRA) și angajamentele forward de cumpărare sau vânzare a instrumentelor de datorie se tratează drept combinații de poziții lungi și scurte. Astfel, o poziție lungă pe un contract futures pe rata dobânzii se tratează ca o combinație între un împrumut luat, cu scadență la data livrării contractului futures și o deținere a unui activ cu o scadență egală cu cea a instrumentului sau a poziției noționale, reprezentând suport la contractul futures în cauză. În mod similar, un contract FRA vândut se tratează ca o poziție lungă, cu o scadență egală cu data decontării plus perioada contractului, și o poziție scurtă, cu o scadență egală cu data decontării. Atât împrumutul, cât și activul deținut se includ în prima categorie prevăzută în tabelul 1 de la </w:t>
            </w:r>
            <w:r w:rsidRPr="00C011B2">
              <w:rPr>
                <w:rFonts w:ascii="Times New Roman" w:hAnsi="Times New Roman" w:cs="Times New Roman"/>
                <w:color w:val="000000" w:themeColor="text1"/>
                <w:lang w:val="ro-MD"/>
              </w:rPr>
              <w:t>secțiunea 2 subsecțiunea 1 paragraful 2</w:t>
            </w:r>
            <w:r w:rsidR="008A3314" w:rsidRPr="00C011B2">
              <w:rPr>
                <w:rFonts w:ascii="Times New Roman" w:hAnsi="Times New Roman" w:cs="Times New Roman"/>
                <w:color w:val="000000" w:themeColor="text1"/>
                <w:lang w:val="ro-MD"/>
              </w:rPr>
              <w:t xml:space="preserve">, în scopul calculării cerinței de fonduri proprii pentru riscul specific aferent contractelor futures pe rata dobânzii și contractelor FRA. Un angajament forward de cumpărare a unui instrument de datorie se tratează ca o combinație între </w:t>
            </w:r>
            <w:r w:rsidR="008A3314" w:rsidRPr="00C011B2">
              <w:rPr>
                <w:rFonts w:ascii="Times New Roman" w:hAnsi="Times New Roman" w:cs="Times New Roman"/>
                <w:color w:val="000000" w:themeColor="text1"/>
                <w:lang w:val="ro-MD"/>
              </w:rPr>
              <w:lastRenderedPageBreak/>
              <w:t xml:space="preserve">un împrumut cu scadență la data livrării și o poziție lungă (spot) pe însuși instrumentul de datorie. Împrumutul se include în prima categorie prevăzută în tabelul 1 de la </w:t>
            </w:r>
            <w:r w:rsidRPr="00C011B2">
              <w:rPr>
                <w:rFonts w:ascii="Times New Roman" w:hAnsi="Times New Roman" w:cs="Times New Roman"/>
                <w:color w:val="000000" w:themeColor="text1"/>
                <w:lang w:val="ro-MD"/>
              </w:rPr>
              <w:t>secțiunea 2 subsecțiunea 1 paragraful 2</w:t>
            </w:r>
            <w:r w:rsidR="008A3314" w:rsidRPr="00C011B2">
              <w:rPr>
                <w:rFonts w:ascii="Times New Roman" w:hAnsi="Times New Roman" w:cs="Times New Roman"/>
                <w:color w:val="000000" w:themeColor="text1"/>
                <w:lang w:val="ro-MD"/>
              </w:rPr>
              <w:t>, pentru scopurile riscului specific, iar instrumentul de datorie se include în coloana corespunzătoare din cadrul aceluiași tabel.</w:t>
            </w:r>
          </w:p>
        </w:tc>
        <w:tc>
          <w:tcPr>
            <w:tcW w:w="450" w:type="pct"/>
          </w:tcPr>
          <w:p w14:paraId="0384532E" w14:textId="1BFB58AF" w:rsidR="008A3314" w:rsidRPr="00C011B2" w:rsidRDefault="00317E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677AE08"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71D266D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33BD091" w14:textId="29B74259"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 sensul prezentului articol, „poziție lungă” înseamnă o poziție în care o instituție a fixat rata dobânzii pe care o va primi la un anumit moment în viitor, iar „poziție scurtă” înseamnă o poziție în care instituția a fixat rata dobânzii pe care o va plăti la un anumit moment în viitor.</w:t>
            </w:r>
          </w:p>
        </w:tc>
        <w:tc>
          <w:tcPr>
            <w:tcW w:w="1692" w:type="pct"/>
            <w:shd w:val="clear" w:color="auto" w:fill="auto"/>
          </w:tcPr>
          <w:p w14:paraId="78BCFCF3" w14:textId="7EE8F5F5" w:rsidR="008A3314" w:rsidRPr="00C011B2" w:rsidRDefault="001E08D0"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422.</w:t>
            </w:r>
            <w:r w:rsidR="008A3314" w:rsidRPr="00C011B2">
              <w:rPr>
                <w:rFonts w:ascii="Times New Roman" w:hAnsi="Times New Roman" w:cs="Times New Roman"/>
                <w:color w:val="000000" w:themeColor="text1"/>
                <w:lang w:val="ro-MD"/>
              </w:rPr>
              <w:t xml:space="preserve">  În sensul </w:t>
            </w:r>
            <w:r w:rsidRPr="00C011B2">
              <w:rPr>
                <w:rFonts w:ascii="Times New Roman" w:hAnsi="Times New Roman" w:cs="Times New Roman"/>
                <w:color w:val="000000" w:themeColor="text1"/>
                <w:lang w:val="ro-MD"/>
              </w:rPr>
              <w:t>prezentei subsecțiuni</w:t>
            </w:r>
            <w:r w:rsidR="008A3314" w:rsidRPr="00C011B2">
              <w:rPr>
                <w:rFonts w:ascii="Times New Roman" w:hAnsi="Times New Roman" w:cs="Times New Roman"/>
                <w:color w:val="000000" w:themeColor="text1"/>
                <w:lang w:val="ro-MD"/>
              </w:rPr>
              <w:t xml:space="preserve">, „poziție lungă” înseamnă o poziție în care o </w:t>
            </w:r>
            <w:r w:rsidRPr="00C011B2">
              <w:rPr>
                <w:rFonts w:ascii="Times New Roman" w:hAnsi="Times New Roman" w:cs="Times New Roman"/>
                <w:color w:val="000000" w:themeColor="text1"/>
                <w:lang w:val="ro-MD"/>
              </w:rPr>
              <w:t xml:space="preserve">bancă </w:t>
            </w:r>
            <w:r w:rsidR="008A3314" w:rsidRPr="00C011B2">
              <w:rPr>
                <w:rFonts w:ascii="Times New Roman" w:hAnsi="Times New Roman" w:cs="Times New Roman"/>
                <w:color w:val="000000" w:themeColor="text1"/>
                <w:lang w:val="ro-MD"/>
              </w:rPr>
              <w:t xml:space="preserve">a fixat rata dobânzii pe care o va primi la un anumit moment în viitor, iar „poziție scurtă” înseamnă o poziție în care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a fixat rata dobânzii pe care o va plăti la un anumit moment în viitor.</w:t>
            </w:r>
          </w:p>
        </w:tc>
        <w:tc>
          <w:tcPr>
            <w:tcW w:w="450" w:type="pct"/>
          </w:tcPr>
          <w:p w14:paraId="0540F1EA" w14:textId="662AE2C8" w:rsidR="008A3314" w:rsidRPr="00C011B2" w:rsidRDefault="00317E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78D4665"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79659F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6005A29" w14:textId="77777777" w:rsidR="008A3314" w:rsidRPr="00C011B2" w:rsidRDefault="008A3314" w:rsidP="008A3314">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329</w:t>
            </w:r>
          </w:p>
          <w:p w14:paraId="5B8DF6C6" w14:textId="540259B4"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Opțiuni și warranturi</w:t>
            </w:r>
          </w:p>
        </w:tc>
        <w:tc>
          <w:tcPr>
            <w:tcW w:w="1692" w:type="pct"/>
            <w:shd w:val="clear" w:color="auto" w:fill="auto"/>
          </w:tcPr>
          <w:p w14:paraId="7040DF32" w14:textId="4AB5B3F6" w:rsidR="008A3314" w:rsidRPr="00C011B2" w:rsidRDefault="00180B09" w:rsidP="008A3314">
            <w:pPr>
              <w:spacing w:after="0" w:line="276" w:lineRule="auto"/>
              <w:jc w:val="both"/>
              <w:rPr>
                <w:rFonts w:ascii="Times New Roman" w:hAnsi="Times New Roman" w:cs="Times New Roman"/>
                <w:color w:val="000000" w:themeColor="text1"/>
                <w:lang w:val="ro-MD"/>
              </w:rPr>
            </w:pPr>
            <w:bookmarkStart w:id="414" w:name="_Hlk195099439"/>
            <w:r w:rsidRPr="00C011B2">
              <w:rPr>
                <w:rFonts w:ascii="Times New Roman" w:hAnsi="Times New Roman" w:cs="Times New Roman"/>
                <w:i/>
                <w:iCs/>
                <w:color w:val="000000" w:themeColor="text1"/>
                <w:lang w:val="ro-MD"/>
              </w:rPr>
              <w:t xml:space="preserve">Subsecțiunea </w:t>
            </w:r>
            <w:r w:rsidR="009D7356" w:rsidRPr="00C011B2">
              <w:rPr>
                <w:rFonts w:ascii="Times New Roman" w:hAnsi="Times New Roman" w:cs="Times New Roman"/>
                <w:i/>
                <w:iCs/>
                <w:color w:val="000000" w:themeColor="text1"/>
                <w:lang w:val="ro-MD"/>
              </w:rPr>
              <w:t>4</w:t>
            </w:r>
            <w:r w:rsidRPr="00C011B2">
              <w:rPr>
                <w:rFonts w:ascii="Times New Roman" w:hAnsi="Times New Roman" w:cs="Times New Roman"/>
                <w:i/>
                <w:iCs/>
                <w:color w:val="000000" w:themeColor="text1"/>
                <w:lang w:val="ro-MD"/>
              </w:rPr>
              <w:t>.</w:t>
            </w:r>
            <w:r w:rsidR="008A3314" w:rsidRPr="00C011B2">
              <w:rPr>
                <w:rFonts w:ascii="Times New Roman" w:hAnsi="Times New Roman" w:cs="Times New Roman"/>
                <w:b/>
                <w:bCs/>
                <w:color w:val="000000" w:themeColor="text1"/>
                <w:lang w:val="ro-MD"/>
              </w:rPr>
              <w:t>Opțiuni și warranturi</w:t>
            </w:r>
            <w:bookmarkEnd w:id="414"/>
          </w:p>
        </w:tc>
        <w:tc>
          <w:tcPr>
            <w:tcW w:w="450" w:type="pct"/>
          </w:tcPr>
          <w:p w14:paraId="03BF7622"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c>
          <w:tcPr>
            <w:tcW w:w="1261" w:type="pct"/>
          </w:tcPr>
          <w:p w14:paraId="6323984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9F5A72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E7739CD" w14:textId="5AC63741"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În sensul prezentului capitol, opțiunile și warranturile pe rata dobânzii, pe instrumente de datorie, pe titluri de capital, pe indici bursieri, pe contracte financiare futures, pe swapuri și pe valute se tratează ca și cum ar fi poziții egale în valoare cu suma aferentă instrumentului-suport la care se referă opțiunea, înmulțită cu valoarea delta aferentă. Pozițiile astfel obținute pot fi compensate cu orice poziții de semn opus pe instrumente identice cu instrumentul-suport, sau pe instrumente financiare derivate identice </w:t>
            </w:r>
            <w:r w:rsidRPr="00C011B2">
              <w:rPr>
                <w:rFonts w:ascii="Times New Roman" w:hAnsi="Times New Roman" w:cs="Times New Roman"/>
                <w:color w:val="000000" w:themeColor="text1"/>
                <w:lang w:val="ro-MD"/>
              </w:rPr>
              <w:lastRenderedPageBreak/>
              <w:t>cu instrumentul financiar derivat-suport. Valoarea delta utilizată este cea a bursei în cauză. În cazul opțiunilor pentru instrumente financiare derivate extrabursiere sau în cazul în care valoarea delta nu este disponibilă la bursa în cauză, instituția poate calcula ea însăși valoarea delta cu ajutorul unui model adecvat, cu aprobarea autorităților competente. Aprobarea se acordă dacă modelul estimează în mod adecvat rata de modificare a valorii opțiunii sau warrantului în raport cu modificări minore ale prețului de piață al suportului.</w:t>
            </w:r>
          </w:p>
        </w:tc>
        <w:tc>
          <w:tcPr>
            <w:tcW w:w="1692" w:type="pct"/>
            <w:shd w:val="clear" w:color="auto" w:fill="auto"/>
          </w:tcPr>
          <w:p w14:paraId="3EF177CA" w14:textId="587EEAAB" w:rsidR="008A3314" w:rsidRPr="00C011B2" w:rsidRDefault="009D7356"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423.</w:t>
            </w:r>
            <w:r w:rsidR="008A3314" w:rsidRPr="00C011B2">
              <w:rPr>
                <w:rFonts w:ascii="Times New Roman" w:hAnsi="Times New Roman" w:cs="Times New Roman"/>
                <w:color w:val="000000" w:themeColor="text1"/>
                <w:lang w:val="ro-MD"/>
              </w:rPr>
              <w:t xml:space="preserve">  În sensul prezentului capitol, opțiunile și warranturile pe rata dobânzii, pe instrumente de datorie, pe titluri de capital, pe indici bursieri, pe contracte financiare futures, pe swapuri și pe valute se tratează ca și cum ar fi poziții egale în valoare cu suma aferentă instrumentului-suport la care se referă opțiunea, înmulțită cu valoarea delta aferentă. Pozițiile astfel obținute pot fi compensate cu orice poziții de semn opus pe instrumente identice cu instrumentul-suport, sau pe instrumente financiare derivate identice cu instrumentul financiar derivat-suport. </w:t>
            </w:r>
            <w:r w:rsidR="008A3314" w:rsidRPr="00C011B2">
              <w:rPr>
                <w:rFonts w:ascii="Times New Roman" w:hAnsi="Times New Roman" w:cs="Times New Roman"/>
                <w:color w:val="000000" w:themeColor="text1"/>
                <w:lang w:val="ro-MD"/>
              </w:rPr>
              <w:lastRenderedPageBreak/>
              <w:t xml:space="preserve">Valoarea delta utilizată este cea a bursei în cauză. În cazul opțiunilor pentru instrumente financiare derivate extrabursiere sau în cazul în care valoarea delta nu este disponibilă la bursa în cauză, </w:t>
            </w:r>
            <w:r w:rsidRPr="00C011B2">
              <w:rPr>
                <w:rFonts w:ascii="Times New Roman" w:hAnsi="Times New Roman" w:cs="Times New Roman"/>
                <w:color w:val="000000" w:themeColor="text1"/>
                <w:lang w:val="ro-MD"/>
              </w:rPr>
              <w:t xml:space="preserve">banca </w:t>
            </w:r>
            <w:r w:rsidR="008A3314" w:rsidRPr="00C011B2">
              <w:rPr>
                <w:rFonts w:ascii="Times New Roman" w:hAnsi="Times New Roman" w:cs="Times New Roman"/>
                <w:color w:val="000000" w:themeColor="text1"/>
                <w:lang w:val="ro-MD"/>
              </w:rPr>
              <w:t xml:space="preserve">poate calcula ea însăși valoarea delta cu ajutorul unui model adecvat, cu aprobarea </w:t>
            </w:r>
            <w:r w:rsidRPr="00C011B2">
              <w:rPr>
                <w:rFonts w:ascii="Times New Roman" w:hAnsi="Times New Roman" w:cs="Times New Roman"/>
                <w:color w:val="000000" w:themeColor="text1"/>
                <w:lang w:val="ro-MD"/>
              </w:rPr>
              <w:t>BNM</w:t>
            </w:r>
            <w:r w:rsidR="008A3314" w:rsidRPr="00C011B2">
              <w:rPr>
                <w:rFonts w:ascii="Times New Roman" w:hAnsi="Times New Roman" w:cs="Times New Roman"/>
                <w:color w:val="000000" w:themeColor="text1"/>
                <w:lang w:val="ro-MD"/>
              </w:rPr>
              <w:t>. Aprobarea se acordă dacă modelul estimează în mod adecvat rata de modificare a valorii opțiunii sau warrantului în raport cu modificări minore ale prețului de piață al suportului.</w:t>
            </w:r>
          </w:p>
        </w:tc>
        <w:tc>
          <w:tcPr>
            <w:tcW w:w="450" w:type="pct"/>
          </w:tcPr>
          <w:p w14:paraId="508D6636" w14:textId="164AF903" w:rsidR="008A3314" w:rsidRPr="00C011B2" w:rsidRDefault="00317E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B96F9AF"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43291B8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9F2A8AC" w14:textId="1FCEC773"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reflectă în mod adecvat riscurile, altele decât riscul delta, asociate cu opțiunile în cerințele de fonduri proprii.</w:t>
            </w:r>
          </w:p>
        </w:tc>
        <w:tc>
          <w:tcPr>
            <w:tcW w:w="1692" w:type="pct"/>
            <w:shd w:val="clear" w:color="auto" w:fill="auto"/>
          </w:tcPr>
          <w:p w14:paraId="5D3D8A20" w14:textId="720AE3BA" w:rsidR="008A3314" w:rsidRPr="00C011B2" w:rsidRDefault="009D7356"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424.</w:t>
            </w:r>
            <w:r w:rsidR="008A3314"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8A3314" w:rsidRPr="00C011B2">
              <w:rPr>
                <w:rFonts w:ascii="Times New Roman" w:hAnsi="Times New Roman" w:cs="Times New Roman"/>
                <w:color w:val="000000" w:themeColor="text1"/>
                <w:lang w:val="ro-MD"/>
              </w:rPr>
              <w:t>reflectă în mod adecvat riscurile, altele decât riscul delta, asociate cu opțiunile în cerințele de fonduri proprii</w:t>
            </w:r>
            <w:r w:rsidR="002D157B" w:rsidRPr="00C011B2">
              <w:rPr>
                <w:rFonts w:ascii="Times New Roman" w:hAnsi="Times New Roman" w:cs="Times New Roman"/>
                <w:color w:val="000000" w:themeColor="text1"/>
                <w:lang w:val="ro-MD"/>
              </w:rPr>
              <w:t xml:space="preserve"> în conformitate cu metodele prevăzute în anexa nr.5</w:t>
            </w:r>
            <w:r w:rsidR="008A3314" w:rsidRPr="00C011B2">
              <w:rPr>
                <w:rFonts w:ascii="Times New Roman" w:hAnsi="Times New Roman" w:cs="Times New Roman"/>
                <w:color w:val="000000" w:themeColor="text1"/>
                <w:lang w:val="ro-MD"/>
              </w:rPr>
              <w:t>.</w:t>
            </w:r>
          </w:p>
        </w:tc>
        <w:tc>
          <w:tcPr>
            <w:tcW w:w="450" w:type="pct"/>
          </w:tcPr>
          <w:p w14:paraId="1CE8DDF2" w14:textId="553FA036" w:rsidR="008A3314" w:rsidRPr="00C011B2" w:rsidRDefault="00317E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C974B1B" w14:textId="77777777" w:rsidR="008A3314" w:rsidRPr="00C011B2" w:rsidRDefault="008A3314" w:rsidP="008A3314">
            <w:pPr>
              <w:spacing w:line="276" w:lineRule="auto"/>
              <w:jc w:val="both"/>
              <w:rPr>
                <w:rFonts w:ascii="Times New Roman" w:hAnsi="Times New Roman" w:cs="Times New Roman"/>
                <w:color w:val="000000" w:themeColor="text1"/>
                <w:lang w:val="ro-MD"/>
              </w:rPr>
            </w:pPr>
          </w:p>
        </w:tc>
      </w:tr>
      <w:tr w:rsidR="008A3314" w:rsidRPr="00C011B2" w14:paraId="66A6DD8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ABFC0D"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ABE elaborează proiecte de standarde tehnice de reglementare care definesc o serie de metode pentru reflectarea în cerințele de fonduri proprii a riscurilor, altele decât riscul delta, menționate la alineatul (2), într-o manieră proporțională cu amploarea r și complexitatea activităților instituțiilor în ceea ce privește opțiunile și warranturile.</w:t>
            </w:r>
          </w:p>
          <w:p w14:paraId="14F15EDC" w14:textId="77777777"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transmite Comisiei aceste proiecte de standarde tehnice de reglementare până la 31 decembrie 2013.</w:t>
            </w:r>
          </w:p>
          <w:p w14:paraId="4F7AA7D7" w14:textId="4495D702" w:rsidR="008A3314" w:rsidRPr="00C011B2" w:rsidRDefault="008A3314" w:rsidP="008A3314">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Se deleagă Comisiei competența de a adopta standardele tehnice de reglementare menționate la </w:t>
            </w:r>
            <w:r w:rsidRPr="00C011B2">
              <w:rPr>
                <w:rFonts w:ascii="Times New Roman" w:hAnsi="Times New Roman" w:cs="Times New Roman"/>
                <w:color w:val="000000" w:themeColor="text1"/>
                <w:lang w:val="ro-MD"/>
              </w:rPr>
              <w:lastRenderedPageBreak/>
              <w:t>primul paragraf, în conformitate cu articolele 10-14 din Regulamentul (UE) nr. 1093/2010.</w:t>
            </w:r>
          </w:p>
        </w:tc>
        <w:tc>
          <w:tcPr>
            <w:tcW w:w="1692" w:type="pct"/>
            <w:shd w:val="clear" w:color="auto" w:fill="auto"/>
          </w:tcPr>
          <w:p w14:paraId="2F85BD65" w14:textId="1944582C" w:rsidR="008A3314" w:rsidRPr="00C011B2" w:rsidRDefault="008A3314" w:rsidP="008A3314">
            <w:pPr>
              <w:spacing w:after="0" w:line="276" w:lineRule="auto"/>
              <w:jc w:val="both"/>
              <w:rPr>
                <w:rFonts w:ascii="Times New Roman" w:hAnsi="Times New Roman" w:cs="Times New Roman"/>
                <w:color w:val="000000" w:themeColor="text1"/>
                <w:lang w:val="ro-MD"/>
              </w:rPr>
            </w:pPr>
          </w:p>
        </w:tc>
        <w:tc>
          <w:tcPr>
            <w:tcW w:w="450" w:type="pct"/>
          </w:tcPr>
          <w:p w14:paraId="38BFA0D0" w14:textId="5E86E096"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A890C3A" w14:textId="4CE49EE5" w:rsidR="008A3314" w:rsidRPr="00C011B2" w:rsidRDefault="008A3314" w:rsidP="008A3314">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Alin.(3) stabilește obligații pentru autorități europene – Autoritatea Bancară Europeană.</w:t>
            </w:r>
          </w:p>
        </w:tc>
      </w:tr>
      <w:tr w:rsidR="009D7356" w:rsidRPr="00C011B2" w14:paraId="1E98917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E22B68" w14:textId="7518698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Înainte de intrarea în vigoare a standardelor tehnice menționate la alineatul (3), autoritățile competente pot continua să aplice tratamentele naționale existente în cazul în care au aplicat aceste tratamente înainte de 31 decembrie 2013.</w:t>
            </w:r>
          </w:p>
        </w:tc>
        <w:tc>
          <w:tcPr>
            <w:tcW w:w="1692" w:type="pct"/>
            <w:shd w:val="clear" w:color="auto" w:fill="auto"/>
          </w:tcPr>
          <w:p w14:paraId="57A811B2" w14:textId="6DF749C0"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65BBAD22" w14:textId="41B48EA3"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6BEDD887" w14:textId="2FD6E6E5"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Alin.(4) se referă la situația specifică țărilor UE până la intrarea în vigoare a Regulamentului UE nr.575/2013.</w:t>
            </w:r>
          </w:p>
        </w:tc>
      </w:tr>
      <w:tr w:rsidR="009D7356" w:rsidRPr="00C011B2" w14:paraId="46D7080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AE28C6B"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330</w:t>
            </w:r>
          </w:p>
          <w:p w14:paraId="1C064B87" w14:textId="2FB8337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Swapuri</w:t>
            </w:r>
          </w:p>
        </w:tc>
        <w:tc>
          <w:tcPr>
            <w:tcW w:w="1692" w:type="pct"/>
            <w:shd w:val="clear" w:color="auto" w:fill="auto"/>
          </w:tcPr>
          <w:p w14:paraId="388C33BD" w14:textId="0BEB617E"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415" w:name="_Hlk195099459"/>
            <w:r w:rsidRPr="00C011B2">
              <w:rPr>
                <w:rFonts w:ascii="Times New Roman" w:hAnsi="Times New Roman" w:cs="Times New Roman"/>
                <w:i/>
                <w:iCs/>
                <w:color w:val="000000" w:themeColor="text1"/>
                <w:lang w:val="ro-MD"/>
              </w:rPr>
              <w:t xml:space="preserve">Subsecțiunea 5. </w:t>
            </w:r>
            <w:r w:rsidRPr="00C011B2">
              <w:rPr>
                <w:rFonts w:ascii="Times New Roman" w:hAnsi="Times New Roman" w:cs="Times New Roman"/>
                <w:b/>
                <w:bCs/>
                <w:color w:val="000000" w:themeColor="text1"/>
                <w:lang w:val="ro-MD"/>
              </w:rPr>
              <w:t>Swapuri</w:t>
            </w:r>
            <w:bookmarkEnd w:id="415"/>
          </w:p>
        </w:tc>
        <w:tc>
          <w:tcPr>
            <w:tcW w:w="450" w:type="pct"/>
          </w:tcPr>
          <w:p w14:paraId="75A9AE4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098ED03A"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88688B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F71E4B" w14:textId="2E33C605" w:rsidR="009D7356" w:rsidRPr="00C011B2" w:rsidRDefault="009D7356" w:rsidP="009D7356">
            <w:pPr>
              <w:spacing w:after="0" w:line="276" w:lineRule="auto"/>
              <w:jc w:val="both"/>
              <w:rPr>
                <w:rFonts w:ascii="Times New Roman" w:hAnsi="Times New Roman" w:cs="Times New Roman"/>
                <w:color w:val="000000" w:themeColor="text1"/>
              </w:rPr>
            </w:pPr>
            <w:r w:rsidRPr="00C011B2">
              <w:rPr>
                <w:rFonts w:ascii="Times New Roman" w:hAnsi="Times New Roman" w:cs="Times New Roman"/>
                <w:color w:val="000000" w:themeColor="text1"/>
              </w:rPr>
              <w:t>Swapurile se tratează pentru scopurile riscului de rată a dobânzii pe aceeași bază ca și instrumentele din bilanț. Astfel, un swap pe rata dobânzii, în cadrul căruia o instituție primește o rată a dobânzii variabilă și plătește o rată a dobânzii fixă, se tratează ca fiind echivalent cu o poziție lungă pe un instrument pe rată a dobânzii variabilă cu scadență egală cu perioada până la următoarea dată de fixare a ratei dobânzii și o poziție scurtă pe un instrument pe rată a dobânzii fixă cu aceeași scadență ca și swapul însuși.</w:t>
            </w:r>
          </w:p>
        </w:tc>
        <w:tc>
          <w:tcPr>
            <w:tcW w:w="1692" w:type="pct"/>
            <w:shd w:val="clear" w:color="auto" w:fill="auto"/>
          </w:tcPr>
          <w:p w14:paraId="5B51D213" w14:textId="6007CDAD"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416" w:name="_Hlk224715434"/>
            <w:r w:rsidRPr="00C011B2">
              <w:rPr>
                <w:rFonts w:ascii="Times New Roman" w:hAnsi="Times New Roman" w:cs="Times New Roman"/>
                <w:color w:val="000000" w:themeColor="text1"/>
              </w:rPr>
              <w:t>425. Swapurile se tratează pentru scopurile riscului de rată a dobânzii pe aceeași bază ca și instrumentele din bilanț. Astfel, un swap pe rata dobânzii, în cadrul căruia o bancă primește o rată a dobânzii variabilă și plătește o rată a dobânzii fixă, se tratează ca fiind echivalent cu o poziție lungă pe un instrument pe rată a dobânzii variabilă cu scadență egală cu perioada până la următoarea dată de fixare a ratei dobânzii și o poziție scurtă pe un instrument pe rată a dobânzii fixă cu aceeași scadență ca și swapul însuși.</w:t>
            </w:r>
            <w:bookmarkEnd w:id="416"/>
          </w:p>
        </w:tc>
        <w:tc>
          <w:tcPr>
            <w:tcW w:w="450" w:type="pct"/>
          </w:tcPr>
          <w:p w14:paraId="6CF510E5" w14:textId="519F5020"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09613E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D3BB40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B9658E4"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331</w:t>
            </w:r>
          </w:p>
          <w:p w14:paraId="58E68236" w14:textId="42C0148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Riscul de rată a dobânzii pentru instrumentele financiare derivate</w:t>
            </w:r>
          </w:p>
        </w:tc>
        <w:tc>
          <w:tcPr>
            <w:tcW w:w="1692" w:type="pct"/>
            <w:shd w:val="clear" w:color="auto" w:fill="auto"/>
          </w:tcPr>
          <w:p w14:paraId="1E1E3FD7" w14:textId="6A22A8F6" w:rsidR="009D7356" w:rsidRPr="00C011B2" w:rsidRDefault="00583D5E" w:rsidP="009D7356">
            <w:pPr>
              <w:spacing w:after="0" w:line="276" w:lineRule="auto"/>
              <w:jc w:val="both"/>
              <w:rPr>
                <w:rFonts w:ascii="Times New Roman" w:hAnsi="Times New Roman" w:cs="Times New Roman"/>
                <w:color w:val="000000" w:themeColor="text1"/>
                <w:lang w:val="ro-MD"/>
              </w:rPr>
            </w:pPr>
            <w:bookmarkStart w:id="417" w:name="_Hlk195099482"/>
            <w:r w:rsidRPr="00C011B2">
              <w:rPr>
                <w:rFonts w:ascii="Times New Roman" w:hAnsi="Times New Roman" w:cs="Times New Roman"/>
                <w:i/>
                <w:iCs/>
                <w:color w:val="000000" w:themeColor="text1"/>
                <w:lang w:val="ro-MD"/>
              </w:rPr>
              <w:t xml:space="preserve">Subsecțiunea 6. </w:t>
            </w:r>
            <w:r w:rsidR="009D7356" w:rsidRPr="00C011B2">
              <w:rPr>
                <w:rFonts w:ascii="Times New Roman" w:hAnsi="Times New Roman" w:cs="Times New Roman"/>
                <w:b/>
                <w:bCs/>
                <w:color w:val="000000" w:themeColor="text1"/>
                <w:lang w:val="ro-MD"/>
              </w:rPr>
              <w:t>Riscul de rată a dobânzii pentru instrumentele financiare derivate</w:t>
            </w:r>
            <w:bookmarkEnd w:id="417"/>
          </w:p>
        </w:tc>
        <w:tc>
          <w:tcPr>
            <w:tcW w:w="450" w:type="pct"/>
          </w:tcPr>
          <w:p w14:paraId="0983D60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21B58F0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2C9743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D0FFA03" w14:textId="2228421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Instituțiile care marchează la piață și administrează riscul de rată a dobânzii pentru instrumentele financiare derivate reglementate de </w:t>
            </w:r>
            <w:r w:rsidRPr="00C011B2">
              <w:rPr>
                <w:rFonts w:ascii="Times New Roman" w:hAnsi="Times New Roman" w:cs="Times New Roman"/>
                <w:color w:val="000000" w:themeColor="text1"/>
                <w:lang w:val="ro-MD"/>
              </w:rPr>
              <w:lastRenderedPageBreak/>
              <w:t>articolele 328-330 pe baza fluxurilor de numerar actualizate pot, cu aprobarea autorităților competente, să utilizeze modelele de sensibilitate pentru a calcula pozițiile menționate la aceste articole și le pot utiliza pentru orice obligațiune care este amortizată pe perioada reziduală, nu și pentru cele al căror principal este rambursat la final într-o singură rată. Aprobarea se acordă dacă aceste modele generează poziții care au aceeași sensibilitate la modificările ratei dobânzii ca și fluxurile de numerar-suport. Această sensibilitate se evaluează în raport cu variațiile independente ale unor rate eșantionate de-a lungul curbei de randament, care să comporte cel puțin un punct de sensibilitate în fiecare dintre benzile de scadență prevăzute în tabelul 2 de la articolul 339. Pozițiile se includ în calculul cerințelor de fonduri proprii pentru riscul general al instrumentelor de datorie.</w:t>
            </w:r>
          </w:p>
        </w:tc>
        <w:tc>
          <w:tcPr>
            <w:tcW w:w="1692" w:type="pct"/>
            <w:shd w:val="clear" w:color="auto" w:fill="auto"/>
          </w:tcPr>
          <w:p w14:paraId="68F7461D" w14:textId="502D9927" w:rsidR="009D7356" w:rsidRPr="00C011B2" w:rsidRDefault="00583D5E" w:rsidP="009D7356">
            <w:pPr>
              <w:spacing w:after="0" w:line="276" w:lineRule="auto"/>
              <w:jc w:val="both"/>
              <w:rPr>
                <w:rFonts w:ascii="Times New Roman" w:hAnsi="Times New Roman" w:cs="Times New Roman"/>
                <w:color w:val="000000" w:themeColor="text1"/>
                <w:lang w:val="ro-MD"/>
              </w:rPr>
            </w:pPr>
            <w:bookmarkStart w:id="418" w:name="_Hlk224715497"/>
            <w:r w:rsidRPr="00C011B2">
              <w:rPr>
                <w:rFonts w:ascii="Times New Roman" w:hAnsi="Times New Roman" w:cs="Times New Roman"/>
                <w:color w:val="000000" w:themeColor="text1"/>
                <w:lang w:val="ro-MD"/>
              </w:rPr>
              <w:lastRenderedPageBreak/>
              <w:t>426.</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care marchează la piață și administrează riscul de rată a dobânzii pentru instrumentele financiare derivate reglementate de </w:t>
            </w:r>
            <w:r w:rsidRPr="00C011B2">
              <w:rPr>
                <w:rFonts w:ascii="Times New Roman" w:hAnsi="Times New Roman" w:cs="Times New Roman"/>
                <w:color w:val="000000" w:themeColor="text1"/>
                <w:lang w:val="ro-MD"/>
              </w:rPr>
              <w:t>subsecțiunile 3-5</w:t>
            </w:r>
            <w:r w:rsidR="009D7356" w:rsidRPr="00C011B2">
              <w:rPr>
                <w:rFonts w:ascii="Times New Roman" w:hAnsi="Times New Roman" w:cs="Times New Roman"/>
                <w:color w:val="000000" w:themeColor="text1"/>
                <w:lang w:val="ro-MD"/>
              </w:rPr>
              <w:t xml:space="preserve"> pe baza </w:t>
            </w:r>
            <w:r w:rsidR="009D7356" w:rsidRPr="00C011B2">
              <w:rPr>
                <w:rFonts w:ascii="Times New Roman" w:hAnsi="Times New Roman" w:cs="Times New Roman"/>
                <w:color w:val="000000" w:themeColor="text1"/>
                <w:lang w:val="ro-MD"/>
              </w:rPr>
              <w:lastRenderedPageBreak/>
              <w:t xml:space="preserve">fluxurilor de numerar actualizate pot, cu aprobarea </w:t>
            </w:r>
            <w:r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 xml:space="preserve">, să utilizeze modelele de sensibilitate pentru a calcula pozițiile menționate la aceste </w:t>
            </w:r>
            <w:r w:rsidRPr="00C011B2">
              <w:rPr>
                <w:rFonts w:ascii="Times New Roman" w:hAnsi="Times New Roman" w:cs="Times New Roman"/>
                <w:color w:val="000000" w:themeColor="text1"/>
                <w:lang w:val="ro-MD"/>
              </w:rPr>
              <w:t xml:space="preserve">subsecțiuni </w:t>
            </w:r>
            <w:r w:rsidR="009D7356" w:rsidRPr="00C011B2">
              <w:rPr>
                <w:rFonts w:ascii="Times New Roman" w:hAnsi="Times New Roman" w:cs="Times New Roman"/>
                <w:color w:val="000000" w:themeColor="text1"/>
                <w:lang w:val="ro-MD"/>
              </w:rPr>
              <w:t xml:space="preserve">și le pot utiliza pentru orice obligațiune care este amortizată pe perioada reziduală, nu și pentru cele al căror principal este rambursat la final într-o singură rată. Aprobarea se acordă dacă aceste modele generează poziții care au aceeași sensibilitate la modificările ratei dobânzii ca și fluxurile de numerar-suport. Această sensibilitate se evaluează în raport cu variațiile independente ale unor rate eșantionate de-a lungul curbei de randament, care să comporte cel puțin un punct de sensibilitate în fiecare dintre benzile de scadență prevăzute în tabelul 2 de la </w:t>
            </w:r>
            <w:r w:rsidRPr="00C011B2">
              <w:rPr>
                <w:rFonts w:ascii="Times New Roman" w:hAnsi="Times New Roman" w:cs="Times New Roman"/>
                <w:color w:val="000000" w:themeColor="text1"/>
                <w:lang w:val="ro-MD"/>
              </w:rPr>
              <w:t>sec</w:t>
            </w:r>
            <w:r w:rsidR="00317E14" w:rsidRPr="00C011B2">
              <w:rPr>
                <w:rFonts w:ascii="Times New Roman" w:hAnsi="Times New Roman" w:cs="Times New Roman"/>
                <w:color w:val="000000" w:themeColor="text1"/>
                <w:lang w:val="ro-MD"/>
              </w:rPr>
              <w:t>ț</w:t>
            </w:r>
            <w:r w:rsidRPr="00C011B2">
              <w:rPr>
                <w:rFonts w:ascii="Times New Roman" w:hAnsi="Times New Roman" w:cs="Times New Roman"/>
                <w:color w:val="000000" w:themeColor="text1"/>
                <w:lang w:val="ro-MD"/>
              </w:rPr>
              <w:t>iunea 2 subsecțiunea 2 paragraful 1</w:t>
            </w:r>
            <w:r w:rsidR="009D7356" w:rsidRPr="00C011B2">
              <w:rPr>
                <w:rFonts w:ascii="Times New Roman" w:hAnsi="Times New Roman" w:cs="Times New Roman"/>
                <w:color w:val="000000" w:themeColor="text1"/>
                <w:lang w:val="ro-MD"/>
              </w:rPr>
              <w:t>. Pozițiile se includ în calculul cerințelor de fonduri proprii pentru riscul general al instrumentelor de datorie.</w:t>
            </w:r>
            <w:bookmarkEnd w:id="418"/>
          </w:p>
        </w:tc>
        <w:tc>
          <w:tcPr>
            <w:tcW w:w="450" w:type="pct"/>
          </w:tcPr>
          <w:p w14:paraId="7149BEA4" w14:textId="2ECE2367"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523A04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F35CE8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C33237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care nu utilizează modelele prevăzute la alineatul (1) pot să compenseze integral toate pozițiile pe instrumente financiare derivate reglementate de articolele 328-330 care îndeplinesc cel puțin următoarele condiții:</w:t>
            </w:r>
          </w:p>
          <w:p w14:paraId="50E4215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pozițiile au aceeași valoare și sunt denominate în aceeași monedă;</w:t>
            </w:r>
          </w:p>
          <w:p w14:paraId="5AE0A8F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rata de referință (pentru pozițiile pe rată variabilă) sau cuponul (pentru pozițiile pe rată fixă) are valoare apropiată;</w:t>
            </w:r>
          </w:p>
          <w:p w14:paraId="77BE6D0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următoarea dată de fixare a dobânzii sau, pentru pozițiile pe cupon fix, scadența reziduală corespunde următoarelor limite:</w:t>
            </w:r>
          </w:p>
          <w:p w14:paraId="5F68D3C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mai puțin de o lună: aceeași zi;</w:t>
            </w:r>
          </w:p>
          <w:p w14:paraId="53920C8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între o lună și un an: în șapte zile;</w:t>
            </w:r>
          </w:p>
          <w:p w14:paraId="6147C9EB" w14:textId="24F6911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peste un an: în 30 de zile.</w:t>
            </w:r>
          </w:p>
        </w:tc>
        <w:tc>
          <w:tcPr>
            <w:tcW w:w="1692" w:type="pct"/>
            <w:shd w:val="clear" w:color="auto" w:fill="auto"/>
          </w:tcPr>
          <w:p w14:paraId="6EC79816" w14:textId="14E4E26A" w:rsidR="009D7356" w:rsidRPr="00C011B2" w:rsidRDefault="00583D5E" w:rsidP="009D7356">
            <w:pPr>
              <w:spacing w:after="0" w:line="276" w:lineRule="auto"/>
              <w:jc w:val="both"/>
              <w:rPr>
                <w:rFonts w:ascii="Times New Roman" w:hAnsi="Times New Roman" w:cs="Times New Roman"/>
                <w:color w:val="000000" w:themeColor="text1"/>
                <w:lang w:val="ro-MD"/>
              </w:rPr>
            </w:pPr>
            <w:bookmarkStart w:id="419" w:name="_Hlk224715540"/>
            <w:r w:rsidRPr="00C011B2">
              <w:rPr>
                <w:rFonts w:ascii="Times New Roman" w:hAnsi="Times New Roman" w:cs="Times New Roman"/>
                <w:color w:val="000000" w:themeColor="text1"/>
                <w:lang w:val="ro-MD"/>
              </w:rPr>
              <w:lastRenderedPageBreak/>
              <w:t>427.</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care nu utilizează modelele prevăzute la </w:t>
            </w:r>
            <w:r w:rsidRPr="00C011B2">
              <w:rPr>
                <w:rFonts w:ascii="Times New Roman" w:hAnsi="Times New Roman" w:cs="Times New Roman"/>
                <w:color w:val="000000" w:themeColor="text1"/>
                <w:lang w:val="ro-MD"/>
              </w:rPr>
              <w:t>pct.426</w:t>
            </w:r>
            <w:r w:rsidR="009D7356" w:rsidRPr="00C011B2">
              <w:rPr>
                <w:rFonts w:ascii="Times New Roman" w:hAnsi="Times New Roman" w:cs="Times New Roman"/>
                <w:color w:val="000000" w:themeColor="text1"/>
                <w:lang w:val="ro-MD"/>
              </w:rPr>
              <w:t xml:space="preserve"> pot să compenseze integral toate pozițiile pe instrumente financiare derivate reglementate de </w:t>
            </w:r>
            <w:r w:rsidRPr="00C011B2">
              <w:rPr>
                <w:rFonts w:ascii="Times New Roman" w:hAnsi="Times New Roman" w:cs="Times New Roman"/>
                <w:color w:val="000000" w:themeColor="text1"/>
                <w:lang w:val="ro-MD"/>
              </w:rPr>
              <w:t xml:space="preserve">subsecțiunile 3-5 </w:t>
            </w:r>
            <w:r w:rsidR="009D7356" w:rsidRPr="00C011B2">
              <w:rPr>
                <w:rFonts w:ascii="Times New Roman" w:hAnsi="Times New Roman" w:cs="Times New Roman"/>
                <w:color w:val="000000" w:themeColor="text1"/>
                <w:lang w:val="ro-MD"/>
              </w:rPr>
              <w:t>care îndeplinesc cel puțin următoarele condiții:</w:t>
            </w:r>
          </w:p>
          <w:p w14:paraId="7A22640C" w14:textId="2BCEA844" w:rsidR="009D7356" w:rsidRPr="00C011B2" w:rsidRDefault="00583D5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427.1.</w:t>
            </w:r>
            <w:r w:rsidR="009D7356" w:rsidRPr="00C011B2">
              <w:rPr>
                <w:rFonts w:ascii="Times New Roman" w:hAnsi="Times New Roman" w:cs="Times New Roman"/>
                <w:color w:val="000000" w:themeColor="text1"/>
                <w:lang w:val="ro-MD"/>
              </w:rPr>
              <w:t> pozițiile au aceeași valoare și sunt denominate în aceeași monedă;</w:t>
            </w:r>
          </w:p>
          <w:p w14:paraId="14651B78" w14:textId="321A158A" w:rsidR="009D7356" w:rsidRPr="00C011B2" w:rsidRDefault="00583D5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427.2.</w:t>
            </w:r>
            <w:r w:rsidR="009D7356" w:rsidRPr="00C011B2">
              <w:rPr>
                <w:rFonts w:ascii="Times New Roman" w:hAnsi="Times New Roman" w:cs="Times New Roman"/>
                <w:color w:val="000000" w:themeColor="text1"/>
                <w:lang w:val="ro-MD"/>
              </w:rPr>
              <w:t> rata de referință (pentru pozițiile pe rată variabilă) sau cuponul (pentru pozițiile pe rată fixă) are valoare apropiată;</w:t>
            </w:r>
          </w:p>
          <w:p w14:paraId="05DB8EDB" w14:textId="2DB92AFF" w:rsidR="009D7356" w:rsidRPr="00C011B2" w:rsidRDefault="00583D5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427.3.</w:t>
            </w:r>
            <w:r w:rsidR="009D7356" w:rsidRPr="00C011B2">
              <w:rPr>
                <w:rFonts w:ascii="Times New Roman" w:hAnsi="Times New Roman" w:cs="Times New Roman"/>
                <w:color w:val="000000" w:themeColor="text1"/>
                <w:lang w:val="ro-MD"/>
              </w:rPr>
              <w:t> următoarea dată de fixare a dobânzii sau, pentru pozițiile pe cupon fix, scadența reziduală corespunde următoarelor limite:</w:t>
            </w:r>
          </w:p>
          <w:p w14:paraId="53042D3E" w14:textId="33B346A3" w:rsidR="009D7356" w:rsidRPr="00C011B2" w:rsidRDefault="00583D5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427.3.1.</w:t>
            </w:r>
            <w:r w:rsidR="009D7356" w:rsidRPr="00C011B2">
              <w:rPr>
                <w:rFonts w:ascii="Times New Roman" w:hAnsi="Times New Roman" w:cs="Times New Roman"/>
                <w:color w:val="000000" w:themeColor="text1"/>
                <w:lang w:val="ro-MD"/>
              </w:rPr>
              <w:t> mai puțin de o lună: aceeași zi;</w:t>
            </w:r>
          </w:p>
          <w:p w14:paraId="62487A83" w14:textId="7FA9B86C" w:rsidR="009D7356" w:rsidRPr="00C011B2" w:rsidRDefault="00583D5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427.3.2.</w:t>
            </w:r>
            <w:r w:rsidR="009D7356" w:rsidRPr="00C011B2">
              <w:rPr>
                <w:rFonts w:ascii="Times New Roman" w:hAnsi="Times New Roman" w:cs="Times New Roman"/>
                <w:color w:val="000000" w:themeColor="text1"/>
                <w:lang w:val="ro-MD"/>
              </w:rPr>
              <w:t> între o lună și un an: în șapte zile;</w:t>
            </w:r>
          </w:p>
          <w:p w14:paraId="1A1A17A3" w14:textId="2D1505F1" w:rsidR="009D7356" w:rsidRPr="00C011B2" w:rsidRDefault="00583D5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427.3.3.</w:t>
            </w:r>
            <w:r w:rsidR="009D7356" w:rsidRPr="00C011B2">
              <w:rPr>
                <w:rFonts w:ascii="Times New Roman" w:hAnsi="Times New Roman" w:cs="Times New Roman"/>
                <w:color w:val="000000" w:themeColor="text1"/>
                <w:lang w:val="ro-MD"/>
              </w:rPr>
              <w:t> peste un an: în 30 de zile.</w:t>
            </w:r>
            <w:bookmarkEnd w:id="419"/>
          </w:p>
        </w:tc>
        <w:tc>
          <w:tcPr>
            <w:tcW w:w="450" w:type="pct"/>
          </w:tcPr>
          <w:p w14:paraId="760984D4" w14:textId="39799969"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639B73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23C718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C83ACDB"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332</w:t>
            </w:r>
          </w:p>
          <w:p w14:paraId="6CDB5A8B" w14:textId="11F6C00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Instrumente financiare derivate de credit</w:t>
            </w:r>
          </w:p>
        </w:tc>
        <w:tc>
          <w:tcPr>
            <w:tcW w:w="1692" w:type="pct"/>
            <w:shd w:val="clear" w:color="auto" w:fill="auto"/>
          </w:tcPr>
          <w:p w14:paraId="362D6A14" w14:textId="60E7ADDE" w:rsidR="009D7356" w:rsidRPr="00C011B2" w:rsidRDefault="000A70C6" w:rsidP="009D7356">
            <w:pPr>
              <w:spacing w:after="0" w:line="276" w:lineRule="auto"/>
              <w:jc w:val="both"/>
              <w:rPr>
                <w:rFonts w:ascii="Times New Roman" w:hAnsi="Times New Roman" w:cs="Times New Roman"/>
                <w:color w:val="000000" w:themeColor="text1"/>
                <w:lang w:val="ro-MD"/>
              </w:rPr>
            </w:pPr>
            <w:bookmarkStart w:id="420" w:name="_Hlk195099513"/>
            <w:r w:rsidRPr="00C011B2">
              <w:rPr>
                <w:rFonts w:ascii="Times New Roman" w:hAnsi="Times New Roman" w:cs="Times New Roman"/>
                <w:i/>
                <w:iCs/>
                <w:color w:val="000000" w:themeColor="text1"/>
                <w:lang w:val="ro-MD"/>
              </w:rPr>
              <w:t xml:space="preserve">Subsecțiunea 7. </w:t>
            </w:r>
            <w:r w:rsidR="009D7356" w:rsidRPr="00C011B2">
              <w:rPr>
                <w:rFonts w:ascii="Times New Roman" w:hAnsi="Times New Roman" w:cs="Times New Roman"/>
                <w:b/>
                <w:bCs/>
                <w:color w:val="000000" w:themeColor="text1"/>
                <w:lang w:val="ro-MD"/>
              </w:rPr>
              <w:t>Instrumente financiare derivate de credit</w:t>
            </w:r>
            <w:bookmarkEnd w:id="420"/>
          </w:p>
        </w:tc>
        <w:tc>
          <w:tcPr>
            <w:tcW w:w="450" w:type="pct"/>
          </w:tcPr>
          <w:p w14:paraId="074B442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6D83540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A21C4D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747649" w14:textId="3E447CA8"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La calcularea cerinței de fonduri proprii pentru riscul general și riscul specific al părții care își asumă riscul de credit („vânzătorul protecției”) trebuie utilizat, dacă nu se specifică altfel, cuantumul noțional al instrumentului financiar derivat de credit, prevăzut în contract. În pofida primei teze, instituția poate alege să înlocuiască valoarea noțională cu valoarea noțională plus variația netă a valorii de piață a instrumentului financiar derivat de la inițierea tranzacției, reprezentând, din punctul de vedere al vânzătorului de protecție, o variație netă în sens descendent, de semn negativ. În scopul calculării cerinței de risc specific, alta decât pentru instrumentele de tipul total return swap, se aplică scadența instrumentului financiar </w:t>
            </w:r>
            <w:r w:rsidRPr="00C011B2">
              <w:rPr>
                <w:rFonts w:ascii="Times New Roman" w:hAnsi="Times New Roman" w:cs="Times New Roman"/>
                <w:color w:val="000000" w:themeColor="text1"/>
                <w:lang w:val="ro-MD"/>
              </w:rPr>
              <w:lastRenderedPageBreak/>
              <w:t>derivat de credit prevăzută în contract, și nu scadența obligației. Pozițiile se determină după cum urmează:</w:t>
            </w:r>
          </w:p>
          <w:p w14:paraId="2CD4CD75" w14:textId="646F1BC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un instrument de tipul total return swap creează o poziție lungă pe riscul general al obligației de referință și o poziție scurtă pe riscul general al unui titlu de stat cu o scadență egală cu perioada până la următoarea dată de fixare a ratei dobânzii și care are atribuită o pondere de risc de 0 %, în temeiul titlului II capitolul 2. De asemenea, acesta creează o poziție lungă pe riscul specific al obligației de referință;</w:t>
            </w:r>
          </w:p>
          <w:p w14:paraId="37B640CF" w14:textId="1589D74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un instrument de tipul „credit default swap” nu creează o poziție pe riscul general. Pentru scopurile riscului specific, instituția înregistrează o poziție lungă sintetică pe o obligație aferentă entității de referință, cu excepția cazului în care instrumentul financiar derivat beneficiază de un rating extern și îndeplinește condițiile aferente unui titlu de datorie eligibil, caz în care se înregistrează o poziție lungă pe instrumentul financiar derivat. Dacă în cadrul produsului sunt datorate plăți sub formă de prime sau dobânzi, aceste fluxuri de numerar se reprezintă ca poziții noționale pe titluri de stat;</w:t>
            </w:r>
          </w:p>
          <w:p w14:paraId="0517FAD9" w14:textId="641539F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un instrument de tipul single name credit linked note creează o poziție lungă pe riscul general al instrumentului însuși, ca și un instrument pe rata </w:t>
            </w:r>
            <w:r w:rsidRPr="00C011B2">
              <w:rPr>
                <w:rFonts w:ascii="Times New Roman" w:hAnsi="Times New Roman" w:cs="Times New Roman"/>
                <w:color w:val="000000" w:themeColor="text1"/>
                <w:lang w:val="ro-MD"/>
              </w:rPr>
              <w:lastRenderedPageBreak/>
              <w:t>dobânzii. Pentru scopul riscului specific se creează o poziție lungă sintetică pe o obligație aferentă entității de referință. Pentru emitentul titlului se creează o poziție lungă suplimentară. În cazul în care un instrument de tipul credit linked note beneficiază de un rating extern și îndeplinește condițiile aferente unui titlu de datorie eligibil, este necesar să se înregistreze doar o singură poziție lungă pe riscul specific al instrumentului respectiv;</w:t>
            </w:r>
          </w:p>
          <w:p w14:paraId="6A3B4A5E" w14:textId="1D5D1A1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Pe lângă o poziție lungă pe riscul specific al emitentului instrumentului, un instrument de tipul multiple name credit linked note, care oferă protecție proporțională, creează o poziție pe fiecare entitate de referință, suma noțională totală a contractului fiind repartizată între poziții, proporțional cu ponderea pe care o are fiecare expunere față de o entitate de referință. Atunci când se pot selecta mai multe obligații aferente unei entități de referință, obligația cu cea mai mare pondere de risc determină riscul specific.</w:t>
            </w:r>
          </w:p>
          <w:p w14:paraId="5D532724" w14:textId="17BE8CA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(e) un instrument financiar derivat de credit de tipul „first-asset-to-default” (primul activ în stare de nerambursare) creează o poziție, de valoare egală cu suma noțională, pe o obligație aferentă fiecărei entități de referință. În cazul în care valoarea maximă a plății pentru un eveniment de credit este mai mică decât </w:t>
            </w:r>
            <w:r w:rsidRPr="00C011B2">
              <w:rPr>
                <w:rFonts w:ascii="Times New Roman" w:hAnsi="Times New Roman" w:cs="Times New Roman"/>
                <w:color w:val="000000" w:themeColor="text1"/>
                <w:lang w:val="ro-MD"/>
              </w:rPr>
              <w:lastRenderedPageBreak/>
              <w:t>cerința de fonduri proprii conform metodei de la prima teză a prezentei litere, cuantumul maxim al plății poate fi considerat drept cerința de fonduri proprii pentru riscul specific.</w:t>
            </w:r>
          </w:p>
          <w:p w14:paraId="5A11823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 instrument financiar derivat de credit de tipul „n-th-asset-to-default” (al n-lea activ în stare de nerambursare) creează o poziție, de valoare egală cu suma noțională, pe o obligație aferentă fiecărei entități de referință, cu excepția a n-1 entități de referință care au cea mai mică cerință de fonduri proprii pentru riscul specific. În cazul în care valoarea maximă a plății pentru un eveniment de credit este mai mică decât cerința de fonduri proprii conform metodei de la prima teză a prezentului punct, această sumă poate fi considerată drept cerința de fonduri proprii pentru riscul specific.</w:t>
            </w:r>
          </w:p>
          <w:p w14:paraId="62A30064" w14:textId="04274B5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Atunci când un instrument financiar derivat de credit de tipul „n-th-to-default” beneficiază de un rating extern, vânzătorul protecției calculează cerința de fonduri proprii pentru riscul specific utilizând ratingul instrumentului financiar derivat și aplică ponderile de risc corespunzătoare aferente securitizării, după caz.</w:t>
            </w:r>
          </w:p>
        </w:tc>
        <w:tc>
          <w:tcPr>
            <w:tcW w:w="1692" w:type="pct"/>
            <w:shd w:val="clear" w:color="auto" w:fill="auto"/>
          </w:tcPr>
          <w:p w14:paraId="1E331A9B" w14:textId="0938EDF6" w:rsidR="009D7356" w:rsidRPr="00C011B2" w:rsidRDefault="000A70C6" w:rsidP="009D7356">
            <w:pPr>
              <w:spacing w:after="0" w:line="276" w:lineRule="auto"/>
              <w:jc w:val="both"/>
              <w:rPr>
                <w:rFonts w:ascii="Times New Roman" w:hAnsi="Times New Roman" w:cs="Times New Roman"/>
                <w:color w:val="000000" w:themeColor="text1"/>
                <w:lang w:val="ro-MD"/>
              </w:rPr>
            </w:pPr>
            <w:bookmarkStart w:id="421" w:name="_Hlk224715597"/>
            <w:r w:rsidRPr="00C011B2">
              <w:rPr>
                <w:rFonts w:ascii="Times New Roman" w:hAnsi="Times New Roman" w:cs="Times New Roman"/>
                <w:color w:val="000000" w:themeColor="text1"/>
                <w:lang w:val="ro-MD"/>
              </w:rPr>
              <w:lastRenderedPageBreak/>
              <w:t>428.</w:t>
            </w:r>
            <w:r w:rsidR="009D7356" w:rsidRPr="00C011B2">
              <w:rPr>
                <w:rFonts w:ascii="Times New Roman" w:hAnsi="Times New Roman" w:cs="Times New Roman"/>
                <w:color w:val="000000" w:themeColor="text1"/>
                <w:lang w:val="ro-MD"/>
              </w:rPr>
              <w:t xml:space="preserve">   La calcularea cerinței de fonduri proprii pentru riscul general și riscul specific al părții care își asumă riscul de credit („vânzătorul protecției”) trebuie utilizat, dacă nu se specifică altfel, cuantumul noțional al instrumentului financiar derivat de credit, prevăzut în contract. În pofida primei teze,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poate alege să înlocuiască valoarea noțională cu valoarea noțională plus variația netă a valorii de piață a instrumentului financiar derivat de la inițierea tranzacției, reprezentând, din punctul de vedere al vânzătorului de protecție, o variație netă în sens descendent, de semn negativ. În scopul calculării cerinței de risc specific, alta decât pentru instrumentele de tipul total return swap, se aplică scadența instrumentului financiar derivat de credit prevăzută în contract, și nu </w:t>
            </w:r>
            <w:r w:rsidR="009D7356" w:rsidRPr="00C011B2">
              <w:rPr>
                <w:rFonts w:ascii="Times New Roman" w:hAnsi="Times New Roman" w:cs="Times New Roman"/>
                <w:color w:val="000000" w:themeColor="text1"/>
                <w:lang w:val="ro-MD"/>
              </w:rPr>
              <w:lastRenderedPageBreak/>
              <w:t>scadența obligației. Pozițiile se determină după cum urmează:</w:t>
            </w:r>
          </w:p>
          <w:p w14:paraId="29907007" w14:textId="70E301FF" w:rsidR="009D7356" w:rsidRPr="00C011B2" w:rsidRDefault="000A70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428.1.</w:t>
            </w:r>
            <w:r w:rsidR="009D7356" w:rsidRPr="00C011B2">
              <w:rPr>
                <w:rFonts w:ascii="Times New Roman" w:hAnsi="Times New Roman" w:cs="Times New Roman"/>
                <w:color w:val="000000" w:themeColor="text1"/>
                <w:lang w:val="ro-MD"/>
              </w:rPr>
              <w:t xml:space="preserve"> un instrument de tipul total return swap creează o poziție lungă pe riscul general al obligației de referință și o poziție scurtă pe riscul general al unui titlu de stat cu o scadență egală cu perioada până la următoarea dată de fixare a ratei dobânzii și care are atribuită o pondere de risc de 0 %, în temeiul </w:t>
            </w:r>
            <w:r w:rsidRPr="00C011B2">
              <w:rPr>
                <w:rFonts w:ascii="Times New Roman" w:hAnsi="Times New Roman" w:cs="Times New Roman"/>
                <w:color w:val="000000" w:themeColor="text1"/>
                <w:lang w:val="ro-MD"/>
              </w:rPr>
              <w:t>Regulamentului nr.111/2018</w:t>
            </w:r>
            <w:r w:rsidR="009D7356" w:rsidRPr="00C011B2">
              <w:rPr>
                <w:rFonts w:ascii="Times New Roman" w:hAnsi="Times New Roman" w:cs="Times New Roman"/>
                <w:color w:val="000000" w:themeColor="text1"/>
                <w:lang w:val="ro-MD"/>
              </w:rPr>
              <w:t>. De asemenea, acesta creează o poziție lungă pe riscul specific al obligației de referință;</w:t>
            </w:r>
          </w:p>
          <w:p w14:paraId="25267FAE" w14:textId="1048AAE8" w:rsidR="009D7356" w:rsidRPr="00C011B2" w:rsidRDefault="000A70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428.2.</w:t>
            </w:r>
            <w:r w:rsidR="009D7356" w:rsidRPr="00C011B2">
              <w:rPr>
                <w:rFonts w:ascii="Times New Roman" w:hAnsi="Times New Roman" w:cs="Times New Roman"/>
                <w:color w:val="000000" w:themeColor="text1"/>
                <w:lang w:val="ro-MD"/>
              </w:rPr>
              <w:t xml:space="preserve"> un instrument de tipul „credit default swap” nu creează o poziție pe riscul general. Pentru scopurile riscului specific,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înregistrează o poziție lungă sintetică pe o obligație aferentă entității de referință, cu excepția cazului în care instrumentul financiar derivat beneficiază de un rating extern și îndeplinește condițiile aferente unui titlu de datorie eligibil, caz în care se înregistrează o poziție lungă pe instrumentul financiar derivat. Dacă în cadrul produsului sunt datorate plăți sub formă de prime sau dobânzi, aceste fluxuri de numerar se reprezintă ca poziții noționale pe titluri de stat;</w:t>
            </w:r>
          </w:p>
          <w:p w14:paraId="50FD0675" w14:textId="4ED14286" w:rsidR="009D7356" w:rsidRPr="00C011B2" w:rsidRDefault="000A70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428.3.</w:t>
            </w:r>
            <w:r w:rsidR="009D7356" w:rsidRPr="00C011B2">
              <w:rPr>
                <w:rFonts w:ascii="Times New Roman" w:hAnsi="Times New Roman" w:cs="Times New Roman"/>
                <w:color w:val="000000" w:themeColor="text1"/>
                <w:lang w:val="ro-MD"/>
              </w:rPr>
              <w:t xml:space="preserve"> un instrument de tipul single name credit linked note creează o poziție lungă pe riscul general al instrumentului însuși, ca și un instrument pe rata dobânzii. Pentru scopul riscului specific se creează o poziție lungă </w:t>
            </w:r>
            <w:r w:rsidR="009D7356" w:rsidRPr="00C011B2">
              <w:rPr>
                <w:rFonts w:ascii="Times New Roman" w:hAnsi="Times New Roman" w:cs="Times New Roman"/>
                <w:color w:val="000000" w:themeColor="text1"/>
                <w:lang w:val="ro-MD"/>
              </w:rPr>
              <w:lastRenderedPageBreak/>
              <w:t>sintetică pe o obligație aferentă entității de referință. Pentru emitentul titlului se creează o poziție lungă suplimentară. În cazul în care un instrument de tipul credit linked note beneficiază de un rating extern și îndeplinește condițiile aferente unui titlu de datorie eligibil, este necesar să se înregistreze doar o singură poziție lungă pe riscul specific al instrumentului respectiv;</w:t>
            </w:r>
          </w:p>
          <w:p w14:paraId="15EDA4F3" w14:textId="4CF1EA04" w:rsidR="009D7356" w:rsidRPr="00C011B2" w:rsidRDefault="000A70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428.4.</w:t>
            </w:r>
            <w:r w:rsidR="009D7356" w:rsidRPr="00C011B2">
              <w:rPr>
                <w:rFonts w:ascii="Times New Roman" w:hAnsi="Times New Roman" w:cs="Times New Roman"/>
                <w:color w:val="000000" w:themeColor="text1"/>
                <w:lang w:val="ro-MD"/>
              </w:rPr>
              <w:t> Pe lângă o poziție lungă pe riscul specific al emitentului instrumentului, un instrument de tipul multiple name credit linked note, care oferă protecție proporțională, creează o poziție pe fiecare entitate de referință, suma noțională totală a contractului fiind repartizată între poziții, proporțional cu ponderea pe care o are fiecare expunere față de o entitate de referință. Atunci când se pot selecta mai multe obligații aferente unei entități de referință, obligația cu cea mai mare pondere de risc determină riscul specific.</w:t>
            </w:r>
          </w:p>
          <w:p w14:paraId="58DDCE13" w14:textId="77AB8566" w:rsidR="009D7356" w:rsidRPr="00C011B2" w:rsidRDefault="000A70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428.5.</w:t>
            </w:r>
            <w:r w:rsidR="009D7356" w:rsidRPr="00C011B2">
              <w:rPr>
                <w:rFonts w:ascii="Times New Roman" w:hAnsi="Times New Roman" w:cs="Times New Roman"/>
                <w:color w:val="000000" w:themeColor="text1"/>
                <w:lang w:val="ro-MD"/>
              </w:rPr>
              <w:t xml:space="preserve"> un instrument financiar derivat de credit de tipul „first-asset-to-default” (primul activ în stare de nerambursare) creează o poziție, de valoare egală cu suma noțională, pe o obligație aferentă fiecărei entități de referință. În cazul în care valoarea maximă a plății pentru un eveniment de credit este mai mică decât cerința de fonduri proprii conform metodei de la prima teză a prezentei litere, cuantumul maxim al plății poate fi </w:t>
            </w:r>
            <w:r w:rsidR="009D7356" w:rsidRPr="00C011B2">
              <w:rPr>
                <w:rFonts w:ascii="Times New Roman" w:hAnsi="Times New Roman" w:cs="Times New Roman"/>
                <w:color w:val="000000" w:themeColor="text1"/>
                <w:lang w:val="ro-MD"/>
              </w:rPr>
              <w:lastRenderedPageBreak/>
              <w:t>considerat drept cerința de fonduri proprii pentru riscul specific.</w:t>
            </w:r>
          </w:p>
          <w:p w14:paraId="503799E6" w14:textId="0A29941E" w:rsidR="009D7356" w:rsidRPr="00C011B2" w:rsidRDefault="000A70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429. </w:t>
            </w:r>
            <w:r w:rsidR="009D7356" w:rsidRPr="00C011B2">
              <w:rPr>
                <w:rFonts w:ascii="Times New Roman" w:hAnsi="Times New Roman" w:cs="Times New Roman"/>
                <w:color w:val="000000" w:themeColor="text1"/>
                <w:lang w:val="ro-MD"/>
              </w:rPr>
              <w:t xml:space="preserve">Un instrument financiar derivat de credit de tipul „n-th-asset-to-default” (al n-lea activ în stare de nerambursare) creează o poziție, de valoare egală cu suma noțională, pe o obligație aferentă fiecărei entități de referință, cu excepția a n-1 entități de referință care au cea mai mică cerință de fonduri proprii pentru riscul specific. În cazul în care valoarea maximă a plății pentru un eveniment de credit este mai mică decât cerința de fonduri proprii conform metodei de la prima teză a </w:t>
            </w:r>
            <w:r w:rsidR="00C2769A" w:rsidRPr="00C011B2">
              <w:rPr>
                <w:rFonts w:ascii="Times New Roman" w:hAnsi="Times New Roman" w:cs="Times New Roman"/>
                <w:color w:val="000000" w:themeColor="text1"/>
                <w:lang w:val="ro-MD"/>
              </w:rPr>
              <w:t>pct.428</w:t>
            </w:r>
            <w:r w:rsidR="009D7356" w:rsidRPr="00C011B2">
              <w:rPr>
                <w:rFonts w:ascii="Times New Roman" w:hAnsi="Times New Roman" w:cs="Times New Roman"/>
                <w:color w:val="000000" w:themeColor="text1"/>
                <w:lang w:val="ro-MD"/>
              </w:rPr>
              <w:t>, această sumă poate fi considerată drept cerința de fonduri proprii pentru riscul specific.</w:t>
            </w:r>
          </w:p>
          <w:p w14:paraId="2252D712" w14:textId="21FE30F2" w:rsidR="009D7356" w:rsidRPr="00C011B2" w:rsidRDefault="00C2769A"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430. </w:t>
            </w:r>
            <w:r w:rsidR="009D7356" w:rsidRPr="00C011B2">
              <w:rPr>
                <w:rFonts w:ascii="Times New Roman" w:hAnsi="Times New Roman" w:cs="Times New Roman"/>
                <w:color w:val="000000" w:themeColor="text1"/>
                <w:lang w:val="ro-MD"/>
              </w:rPr>
              <w:t>Atunci când un instrument financiar derivat de credit de tipul „n-th-to-default” beneficiază de un rating extern, vânzătorul protecției calculează cerința de fonduri proprii pentru riscul specific utilizând ratingul instrumentului financiar derivat și aplică ponderile de risc corespunzătoare aferente securitizării, după caz.</w:t>
            </w:r>
            <w:bookmarkEnd w:id="421"/>
          </w:p>
        </w:tc>
        <w:tc>
          <w:tcPr>
            <w:tcW w:w="450" w:type="pct"/>
          </w:tcPr>
          <w:p w14:paraId="5F117FBD" w14:textId="7E26DB38"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D5E6A5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396DE8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725830B" w14:textId="1457C3E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(2)   Pentru partea care transferă riscul de credit („cumpărătorul protecției”), pozițiile sunt determinate prin simetrie cu cele înregistrate de vânzătorul </w:t>
            </w:r>
            <w:r w:rsidRPr="00C011B2">
              <w:rPr>
                <w:rFonts w:ascii="Times New Roman" w:hAnsi="Times New Roman" w:cs="Times New Roman"/>
                <w:color w:val="000000" w:themeColor="text1"/>
                <w:lang w:val="ro-MD"/>
              </w:rPr>
              <w:lastRenderedPageBreak/>
              <w:t>protecției, cu excepția instrumentelor de tipul credit linked note (care nu generează poziții scurte pe emitent). La calcularea cerinței de fonduri proprii pentru „cumpărătorul protecției”, se utilizează cuantumul noțional al instrumentului financiar derivat de credit, prevăzut în contract. În pofida primei teze, instituția poate alege să înlocuiască valoarea noțională cu valoarea noțională plus variația netă a valorii de piață a instrumentului financiar derivat de la inițierea tranzacției, reprezentând, din punctul de vedere al vânzătorului de protecție, o variație netă în sens descendent, de semn negativ. Dacă la un moment dat există o opțiune call în combinație cu un step-up, un asemenea moment este considerat ca fiind scadența protecției.</w:t>
            </w:r>
          </w:p>
        </w:tc>
        <w:tc>
          <w:tcPr>
            <w:tcW w:w="1692" w:type="pct"/>
            <w:shd w:val="clear" w:color="auto" w:fill="auto"/>
          </w:tcPr>
          <w:p w14:paraId="35210561" w14:textId="16145989" w:rsidR="009D7356" w:rsidRPr="00C011B2" w:rsidRDefault="00C2769A" w:rsidP="009D7356">
            <w:pPr>
              <w:spacing w:after="0" w:line="276" w:lineRule="auto"/>
              <w:jc w:val="both"/>
              <w:rPr>
                <w:rFonts w:ascii="Times New Roman" w:hAnsi="Times New Roman" w:cs="Times New Roman"/>
                <w:color w:val="000000" w:themeColor="text1"/>
                <w:lang w:val="ro-MD"/>
              </w:rPr>
            </w:pPr>
            <w:bookmarkStart w:id="422" w:name="_Hlk224715625"/>
            <w:r w:rsidRPr="00C011B2">
              <w:rPr>
                <w:rFonts w:ascii="Times New Roman" w:hAnsi="Times New Roman" w:cs="Times New Roman"/>
                <w:color w:val="000000" w:themeColor="text1"/>
                <w:lang w:val="ro-MD"/>
              </w:rPr>
              <w:lastRenderedPageBreak/>
              <w:t>431.</w:t>
            </w:r>
            <w:r w:rsidR="009D7356" w:rsidRPr="00C011B2">
              <w:rPr>
                <w:rFonts w:ascii="Times New Roman" w:hAnsi="Times New Roman" w:cs="Times New Roman"/>
                <w:color w:val="000000" w:themeColor="text1"/>
                <w:lang w:val="ro-MD"/>
              </w:rPr>
              <w:t xml:space="preserve">   Pentru partea care transferă riscul de credit („cumpărătorul protecției”), pozițiile sunt determinate prin simetrie cu cele înregistrate de vânzătorul protecției, cu </w:t>
            </w:r>
            <w:r w:rsidR="009D7356" w:rsidRPr="00C011B2">
              <w:rPr>
                <w:rFonts w:ascii="Times New Roman" w:hAnsi="Times New Roman" w:cs="Times New Roman"/>
                <w:color w:val="000000" w:themeColor="text1"/>
                <w:lang w:val="ro-MD"/>
              </w:rPr>
              <w:lastRenderedPageBreak/>
              <w:t xml:space="preserve">excepția instrumentelor de tipul credit linked note (care nu generează poziții scurte pe emitent). La calcularea cerinței de fonduri proprii pentru „cumpărătorul protecției”, se utilizează cuantumul noțional al instrumentului financiar derivat de credit, prevăzut în contract. În pofida primei teze,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poate alege să înlocuiască valoarea noțională cu valoarea noțională plus variația netă a valorii de piață a instrumentului financiar derivat de la inițierea tranzacției, reprezentând, din punctul de vedere al vânzătorului de protecție, o variație netă în sens descendent, de semn negativ. Dacă la un moment dat există o opțiune call în combinație cu un step-up, un asemenea moment este considerat ca fiind scadența protecției.</w:t>
            </w:r>
            <w:bookmarkEnd w:id="422"/>
          </w:p>
        </w:tc>
        <w:tc>
          <w:tcPr>
            <w:tcW w:w="450" w:type="pct"/>
          </w:tcPr>
          <w:p w14:paraId="4ED81F8C" w14:textId="5E6E8AE3"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43F185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45F773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4D26C5" w14:textId="77777777" w:rsidR="009D7356" w:rsidRPr="00C011B2" w:rsidRDefault="00FA7D23" w:rsidP="009D7356">
            <w:pPr>
              <w:tabs>
                <w:tab w:val="left" w:pos="480"/>
              </w:tabs>
              <w:spacing w:after="0" w:line="276" w:lineRule="auto"/>
              <w:jc w:val="both"/>
              <w:rPr>
                <w:rFonts w:ascii="Times New Roman" w:hAnsi="Times New Roman" w:cs="Times New Roman"/>
                <w:b/>
                <w:bCs/>
                <w:color w:val="000000" w:themeColor="text1"/>
                <w:lang w:val="ro-MD"/>
              </w:rPr>
            </w:pPr>
            <w:hyperlink r:id="rId248" w:tooltip="32024R1623: REPLACED" w:history="1">
              <w:r w:rsidR="009D7356" w:rsidRPr="00C011B2">
                <w:rPr>
                  <w:rStyle w:val="Hyperlink"/>
                  <w:rFonts w:ascii="Times New Roman" w:hAnsi="Times New Roman" w:cs="Times New Roman"/>
                  <w:b/>
                  <w:bCs/>
                  <w:lang w:val="ro-MD"/>
                </w:rPr>
                <w:t>▼M17</w:t>
              </w:r>
            </w:hyperlink>
          </w:p>
          <w:p w14:paraId="70F78A1D" w14:textId="5EA94DC0" w:rsidR="009D7356" w:rsidRPr="00C011B2" w:rsidRDefault="009D7356" w:rsidP="009D7356">
            <w:pPr>
              <w:tabs>
                <w:tab w:val="left" w:pos="48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Instrumentele financiare derivate de credit, în conformitate cu articolul 325 alineatul (6) sau (8), sunt incluse numai în stabilirea cerinței de fonduri proprii pentru riscul specific conform articolului 338 alineatul (2).</w:t>
            </w:r>
          </w:p>
        </w:tc>
        <w:tc>
          <w:tcPr>
            <w:tcW w:w="1692" w:type="pct"/>
            <w:shd w:val="clear" w:color="auto" w:fill="auto"/>
          </w:tcPr>
          <w:p w14:paraId="637A7065" w14:textId="29038F48" w:rsidR="009D7356" w:rsidRPr="00C011B2" w:rsidRDefault="00C2769A" w:rsidP="009D7356">
            <w:pPr>
              <w:spacing w:after="0" w:line="276" w:lineRule="auto"/>
              <w:jc w:val="both"/>
              <w:rPr>
                <w:rFonts w:ascii="Times New Roman" w:hAnsi="Times New Roman" w:cs="Times New Roman"/>
                <w:color w:val="000000" w:themeColor="text1"/>
                <w:lang w:val="ro-MD"/>
              </w:rPr>
            </w:pPr>
            <w:bookmarkStart w:id="423" w:name="_Hlk224716045"/>
            <w:r w:rsidRPr="00C011B2">
              <w:rPr>
                <w:rFonts w:ascii="Times New Roman" w:hAnsi="Times New Roman" w:cs="Times New Roman"/>
                <w:color w:val="000000" w:themeColor="text1"/>
                <w:lang w:val="ro-MD"/>
              </w:rPr>
              <w:t>432.</w:t>
            </w:r>
            <w:r w:rsidR="009D7356" w:rsidRPr="00C011B2">
              <w:rPr>
                <w:rFonts w:ascii="Times New Roman" w:hAnsi="Times New Roman" w:cs="Times New Roman"/>
                <w:color w:val="000000" w:themeColor="text1"/>
                <w:lang w:val="ro-MD"/>
              </w:rPr>
              <w:t xml:space="preserve">   Instrumentele financiare derivate de credit, în conformitate cu </w:t>
            </w:r>
            <w:r w:rsidR="00434CAA" w:rsidRPr="00C011B2">
              <w:rPr>
                <w:rFonts w:ascii="Times New Roman" w:hAnsi="Times New Roman" w:cs="Times New Roman"/>
                <w:color w:val="000000" w:themeColor="text1"/>
                <w:lang w:val="ro-MD"/>
              </w:rPr>
              <w:t>pct.75-76</w:t>
            </w:r>
            <w:r w:rsidR="009D7356" w:rsidRPr="00C011B2">
              <w:rPr>
                <w:rFonts w:ascii="Times New Roman" w:hAnsi="Times New Roman" w:cs="Times New Roman"/>
                <w:color w:val="000000" w:themeColor="text1"/>
                <w:lang w:val="ro-MD"/>
              </w:rPr>
              <w:t xml:space="preserve"> sau </w:t>
            </w:r>
            <w:r w:rsidR="00434CAA" w:rsidRPr="00C011B2">
              <w:rPr>
                <w:rFonts w:ascii="Times New Roman" w:hAnsi="Times New Roman" w:cs="Times New Roman"/>
                <w:color w:val="000000" w:themeColor="text1"/>
                <w:lang w:val="ro-MD"/>
              </w:rPr>
              <w:t>78</w:t>
            </w:r>
            <w:r w:rsidR="009D7356" w:rsidRPr="00C011B2">
              <w:rPr>
                <w:rFonts w:ascii="Times New Roman" w:hAnsi="Times New Roman" w:cs="Times New Roman"/>
                <w:color w:val="000000" w:themeColor="text1"/>
                <w:lang w:val="ro-MD"/>
              </w:rPr>
              <w:t xml:space="preserve">, sunt incluse numai în stabilirea cerinței de fonduri proprii pentru riscul specific conform </w:t>
            </w:r>
            <w:r w:rsidR="00633D02" w:rsidRPr="00C011B2">
              <w:rPr>
                <w:rFonts w:ascii="Times New Roman" w:hAnsi="Times New Roman" w:cs="Times New Roman"/>
                <w:color w:val="000000" w:themeColor="text1"/>
                <w:lang w:val="ro-MD"/>
              </w:rPr>
              <w:t>pct.448</w:t>
            </w:r>
            <w:r w:rsidR="009D7356" w:rsidRPr="00C011B2">
              <w:rPr>
                <w:rFonts w:ascii="Times New Roman" w:hAnsi="Times New Roman" w:cs="Times New Roman"/>
                <w:color w:val="000000" w:themeColor="text1"/>
                <w:lang w:val="ro-MD"/>
              </w:rPr>
              <w:t>.</w:t>
            </w:r>
            <w:bookmarkEnd w:id="423"/>
          </w:p>
        </w:tc>
        <w:tc>
          <w:tcPr>
            <w:tcW w:w="450" w:type="pct"/>
          </w:tcPr>
          <w:p w14:paraId="6B36C840" w14:textId="76661942"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FAD3F3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DDADCC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7B2944B"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333</w:t>
            </w:r>
          </w:p>
          <w:p w14:paraId="7B98A3FF" w14:textId="7A8ED36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Titluri vândute în cadrul unui acord repo sau împrumutate</w:t>
            </w:r>
          </w:p>
        </w:tc>
        <w:tc>
          <w:tcPr>
            <w:tcW w:w="1692" w:type="pct"/>
            <w:shd w:val="clear" w:color="auto" w:fill="auto"/>
          </w:tcPr>
          <w:p w14:paraId="29D8776E" w14:textId="78513DB7" w:rsidR="009D7356" w:rsidRPr="00C011B2" w:rsidRDefault="00C2769A" w:rsidP="009D7356">
            <w:pPr>
              <w:spacing w:after="0" w:line="276" w:lineRule="auto"/>
              <w:jc w:val="both"/>
              <w:rPr>
                <w:rFonts w:ascii="Times New Roman" w:hAnsi="Times New Roman" w:cs="Times New Roman"/>
                <w:color w:val="000000" w:themeColor="text1"/>
                <w:lang w:val="ro-MD"/>
              </w:rPr>
            </w:pPr>
            <w:bookmarkStart w:id="424" w:name="_Hlk199515511"/>
            <w:bookmarkStart w:id="425" w:name="_Hlk195099542"/>
            <w:r w:rsidRPr="00C011B2">
              <w:rPr>
                <w:rFonts w:ascii="Times New Roman" w:hAnsi="Times New Roman" w:cs="Times New Roman"/>
                <w:i/>
                <w:iCs/>
                <w:color w:val="000000" w:themeColor="text1"/>
                <w:lang w:val="ro-MD"/>
              </w:rPr>
              <w:t xml:space="preserve">Subsecțiunea </w:t>
            </w:r>
            <w:bookmarkEnd w:id="424"/>
            <w:r w:rsidRPr="00C011B2">
              <w:rPr>
                <w:rFonts w:ascii="Times New Roman" w:hAnsi="Times New Roman" w:cs="Times New Roman"/>
                <w:i/>
                <w:iCs/>
                <w:color w:val="000000" w:themeColor="text1"/>
                <w:lang w:val="ro-MD"/>
              </w:rPr>
              <w:t xml:space="preserve">8. </w:t>
            </w:r>
            <w:r w:rsidR="009D7356" w:rsidRPr="00C011B2">
              <w:rPr>
                <w:rFonts w:ascii="Times New Roman" w:hAnsi="Times New Roman" w:cs="Times New Roman"/>
                <w:b/>
                <w:bCs/>
                <w:color w:val="000000" w:themeColor="text1"/>
                <w:lang w:val="ro-MD"/>
              </w:rPr>
              <w:t>Titluri vândute în cadrul unui acord repo sau împrumutate</w:t>
            </w:r>
            <w:bookmarkEnd w:id="425"/>
          </w:p>
        </w:tc>
        <w:tc>
          <w:tcPr>
            <w:tcW w:w="450" w:type="pct"/>
          </w:tcPr>
          <w:p w14:paraId="706A924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437B578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6F6A32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7A3E113" w14:textId="7475E0D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O instituție, în cazul în care transferă titluri sau drepturi garantate referitoare la proprietatea titlurilor, în cadrul unui acord repo sau în cazul în care dă cu împrumut titlurile în cadrul unei operațiuni de dare de titluri cu împrumut trebuie să includă titlurile respective în calculul cerinței de fonduri proprii, conform prezentului capitol, cu condiția ca aceste titluri să fie poziții din portofoliul de tranzacționare.</w:t>
            </w:r>
          </w:p>
        </w:tc>
        <w:tc>
          <w:tcPr>
            <w:tcW w:w="1692" w:type="pct"/>
            <w:shd w:val="clear" w:color="auto" w:fill="auto"/>
          </w:tcPr>
          <w:p w14:paraId="54FE5B5C" w14:textId="5FB97FE1" w:rsidR="009D7356" w:rsidRPr="00C011B2" w:rsidRDefault="00C2769A" w:rsidP="009D7356">
            <w:pPr>
              <w:spacing w:after="0" w:line="276" w:lineRule="auto"/>
              <w:jc w:val="both"/>
              <w:rPr>
                <w:rFonts w:ascii="Times New Roman" w:hAnsi="Times New Roman" w:cs="Times New Roman"/>
                <w:color w:val="000000" w:themeColor="text1"/>
                <w:lang w:val="ro-MD"/>
              </w:rPr>
            </w:pPr>
            <w:bookmarkStart w:id="426" w:name="_Hlk224716091"/>
            <w:r w:rsidRPr="00C011B2">
              <w:rPr>
                <w:rFonts w:ascii="Times New Roman" w:hAnsi="Times New Roman" w:cs="Times New Roman"/>
                <w:color w:val="000000" w:themeColor="text1"/>
                <w:lang w:val="ro-MD"/>
              </w:rPr>
              <w:t xml:space="preserve">433. </w:t>
            </w:r>
            <w:r w:rsidR="009D7356" w:rsidRPr="00C011B2">
              <w:rPr>
                <w:rFonts w:ascii="Times New Roman" w:hAnsi="Times New Roman" w:cs="Times New Roman"/>
                <w:color w:val="000000" w:themeColor="text1"/>
                <w:lang w:val="ro-MD"/>
              </w:rPr>
              <w:t xml:space="preserve">O </w:t>
            </w:r>
            <w:r w:rsidRPr="00C011B2">
              <w:rPr>
                <w:rFonts w:ascii="Times New Roman" w:hAnsi="Times New Roman" w:cs="Times New Roman"/>
                <w:color w:val="000000" w:themeColor="text1"/>
                <w:lang w:val="ro-MD"/>
              </w:rPr>
              <w:t>bancă</w:t>
            </w:r>
            <w:r w:rsidR="009D7356" w:rsidRPr="00C011B2">
              <w:rPr>
                <w:rFonts w:ascii="Times New Roman" w:hAnsi="Times New Roman" w:cs="Times New Roman"/>
                <w:color w:val="000000" w:themeColor="text1"/>
                <w:lang w:val="ro-MD"/>
              </w:rPr>
              <w:t>, în cazul în care transferă titluri sau drepturi garantate referitoare la proprietatea titlurilor, în cadrul unui acord repo sau în cazul în care dă cu împrumut titlurile în cadrul unei operațiuni de dare de titluri cu împrumut trebuie să includă titlurile respective în calculul cerinței de fonduri proprii, conform prezentului capitol, cu condiția ca aceste titluri să fie poziții din portofoliul de tranzacționare.</w:t>
            </w:r>
            <w:bookmarkEnd w:id="426"/>
          </w:p>
        </w:tc>
        <w:tc>
          <w:tcPr>
            <w:tcW w:w="450" w:type="pct"/>
          </w:tcPr>
          <w:p w14:paraId="3D03C0DF" w14:textId="45E3FA01"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40B0CC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39F913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FC21C9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2</w:t>
            </w:r>
          </w:p>
          <w:p w14:paraId="653E05B0" w14:textId="7A49BEC8"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Instrumente de datorie</w:t>
            </w:r>
          </w:p>
        </w:tc>
        <w:tc>
          <w:tcPr>
            <w:tcW w:w="1692" w:type="pct"/>
            <w:shd w:val="clear" w:color="auto" w:fill="auto"/>
          </w:tcPr>
          <w:p w14:paraId="49D8C0C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27" w:name="_Hlk195099565"/>
            <w:bookmarkStart w:id="428" w:name="_Hlk224716129"/>
            <w:r w:rsidRPr="00C011B2">
              <w:rPr>
                <w:rFonts w:ascii="Times New Roman" w:hAnsi="Times New Roman" w:cs="Times New Roman"/>
                <w:b/>
                <w:bCs/>
                <w:color w:val="000000" w:themeColor="text1"/>
                <w:lang w:val="ro-MD"/>
              </w:rPr>
              <w:t>Secțiunea 2</w:t>
            </w:r>
          </w:p>
          <w:p w14:paraId="176D138C" w14:textId="322F556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Instrumente de datorie</w:t>
            </w:r>
            <w:bookmarkEnd w:id="427"/>
            <w:r w:rsidR="007908A9" w:rsidRPr="00C011B2">
              <w:rPr>
                <w:rFonts w:ascii="Times New Roman" w:hAnsi="Times New Roman" w:cs="Times New Roman"/>
                <w:b/>
                <w:bCs/>
                <w:color w:val="000000" w:themeColor="text1"/>
                <w:lang w:val="ro-MD"/>
              </w:rPr>
              <w:t xml:space="preserve"> și poziții nete pe instrumente de datorie</w:t>
            </w:r>
            <w:bookmarkEnd w:id="428"/>
          </w:p>
        </w:tc>
        <w:tc>
          <w:tcPr>
            <w:tcW w:w="450" w:type="pct"/>
          </w:tcPr>
          <w:p w14:paraId="4E9396D5"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0F0E5355"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A97ECC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FA8A886"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334</w:t>
            </w:r>
          </w:p>
          <w:p w14:paraId="255A7A00" w14:textId="0ECE515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Poziții nete pe instrumente de datorie</w:t>
            </w:r>
          </w:p>
        </w:tc>
        <w:tc>
          <w:tcPr>
            <w:tcW w:w="1692" w:type="pct"/>
            <w:shd w:val="clear" w:color="auto" w:fill="auto"/>
          </w:tcPr>
          <w:p w14:paraId="1B07136A" w14:textId="4093E818"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798092E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5491DB5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34E500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9FBFFDD" w14:textId="1D08A5A5" w:rsidR="009D7356" w:rsidRPr="00C011B2" w:rsidRDefault="009D7356" w:rsidP="009D7356">
            <w:pPr>
              <w:spacing w:after="0" w:line="276" w:lineRule="auto"/>
              <w:jc w:val="both"/>
              <w:rPr>
                <w:rFonts w:ascii="Times New Roman" w:hAnsi="Times New Roman" w:cs="Times New Roman"/>
                <w:color w:val="000000" w:themeColor="text1"/>
              </w:rPr>
            </w:pPr>
            <w:r w:rsidRPr="00C011B2">
              <w:rPr>
                <w:rFonts w:ascii="Times New Roman" w:hAnsi="Times New Roman" w:cs="Times New Roman"/>
                <w:color w:val="000000" w:themeColor="text1"/>
              </w:rPr>
              <w:t>Pozițiile nete se clasifică corespunzător monedei în care acestea sunt denominate, iar cerința de fonduri proprii pentru riscul general și riscul specific se calculează separat pentru fiecare monedă individuală.</w:t>
            </w:r>
          </w:p>
        </w:tc>
        <w:tc>
          <w:tcPr>
            <w:tcW w:w="1692" w:type="pct"/>
            <w:shd w:val="clear" w:color="auto" w:fill="auto"/>
          </w:tcPr>
          <w:p w14:paraId="23937091" w14:textId="41A3639F" w:rsidR="009D7356" w:rsidRPr="00C011B2" w:rsidRDefault="007908A9" w:rsidP="009D7356">
            <w:pPr>
              <w:spacing w:after="0" w:line="276" w:lineRule="auto"/>
              <w:jc w:val="both"/>
              <w:rPr>
                <w:rFonts w:ascii="Times New Roman" w:hAnsi="Times New Roman" w:cs="Times New Roman"/>
                <w:color w:val="000000" w:themeColor="text1"/>
                <w:lang w:val="ro-MD"/>
              </w:rPr>
            </w:pPr>
            <w:bookmarkStart w:id="429" w:name="_Hlk224716173"/>
            <w:r w:rsidRPr="00C011B2">
              <w:rPr>
                <w:rFonts w:ascii="Times New Roman" w:hAnsi="Times New Roman" w:cs="Times New Roman"/>
                <w:color w:val="000000" w:themeColor="text1"/>
              </w:rPr>
              <w:t xml:space="preserve">434. </w:t>
            </w:r>
            <w:r w:rsidR="009D7356" w:rsidRPr="00C011B2">
              <w:rPr>
                <w:rFonts w:ascii="Times New Roman" w:hAnsi="Times New Roman" w:cs="Times New Roman"/>
                <w:color w:val="000000" w:themeColor="text1"/>
              </w:rPr>
              <w:t>Pozițiile nete se clasifică corespunzător monedei în care acestea sunt denominate, iar cerința de fonduri proprii pentru riscul general și riscul specific se calculează separat pentru fiecare monedă individuală.</w:t>
            </w:r>
            <w:bookmarkEnd w:id="429"/>
          </w:p>
        </w:tc>
        <w:tc>
          <w:tcPr>
            <w:tcW w:w="450" w:type="pct"/>
          </w:tcPr>
          <w:p w14:paraId="6A5235C0" w14:textId="27415181"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EE5071A"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CBFC32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DC55D0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1</w:t>
            </w:r>
          </w:p>
          <w:p w14:paraId="778E519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Risc specific</w:t>
            </w:r>
          </w:p>
          <w:p w14:paraId="29DC41A8"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335</w:t>
            </w:r>
          </w:p>
          <w:p w14:paraId="18C47663" w14:textId="7A462AC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Plafon privind cerința de fonduri proprii pentru o poziție netă</w:t>
            </w:r>
          </w:p>
        </w:tc>
        <w:tc>
          <w:tcPr>
            <w:tcW w:w="1692" w:type="pct"/>
            <w:shd w:val="clear" w:color="auto" w:fill="auto"/>
          </w:tcPr>
          <w:p w14:paraId="3B32FF11" w14:textId="263745C9"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430" w:name="_Hlk195099622"/>
            <w:r w:rsidRPr="00C011B2">
              <w:rPr>
                <w:rFonts w:ascii="Times New Roman" w:hAnsi="Times New Roman" w:cs="Times New Roman"/>
                <w:color w:val="000000" w:themeColor="text1"/>
                <w:lang w:val="ro-MD"/>
              </w:rPr>
              <w:t>Subsecțiunea 1</w:t>
            </w:r>
            <w:r w:rsidR="00295A66" w:rsidRPr="00C011B2">
              <w:rPr>
                <w:rFonts w:ascii="Times New Roman" w:hAnsi="Times New Roman" w:cs="Times New Roman"/>
                <w:color w:val="000000" w:themeColor="text1"/>
                <w:lang w:val="ro-MD"/>
              </w:rPr>
              <w:t>.</w:t>
            </w:r>
          </w:p>
          <w:p w14:paraId="2E6FF14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Risc specific</w:t>
            </w:r>
          </w:p>
          <w:p w14:paraId="43FE6558" w14:textId="0508E524" w:rsidR="009D7356" w:rsidRPr="00C011B2" w:rsidRDefault="007908A9"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Paragraful 1. </w:t>
            </w:r>
            <w:r w:rsidR="009D7356" w:rsidRPr="00C011B2">
              <w:rPr>
                <w:rFonts w:ascii="Times New Roman" w:hAnsi="Times New Roman" w:cs="Times New Roman"/>
                <w:b/>
                <w:bCs/>
                <w:color w:val="000000" w:themeColor="text1"/>
                <w:lang w:val="ro-MD"/>
              </w:rPr>
              <w:t>Plafon privind cerința de fonduri proprii pentru o poziție netă</w:t>
            </w:r>
            <w:bookmarkEnd w:id="430"/>
          </w:p>
        </w:tc>
        <w:tc>
          <w:tcPr>
            <w:tcW w:w="450" w:type="pct"/>
          </w:tcPr>
          <w:p w14:paraId="1182AF5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5D8D9CA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D1266B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710827" w14:textId="4ED4CB8C" w:rsidR="009D7356" w:rsidRPr="00C011B2" w:rsidRDefault="009D7356" w:rsidP="009D7356">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color w:val="000000" w:themeColor="text1"/>
                <w:lang w:val="it-IT"/>
              </w:rPr>
              <w:t xml:space="preserve">Instituția poate plafona cerința de fonduri proprii pentru riscul specific al unei poziții nete pe un instrument de datorie la valoarea maximă a pierderii </w:t>
            </w:r>
            <w:r w:rsidRPr="00C011B2">
              <w:rPr>
                <w:rFonts w:ascii="Times New Roman" w:hAnsi="Times New Roman" w:cs="Times New Roman"/>
                <w:color w:val="000000" w:themeColor="text1"/>
                <w:lang w:val="it-IT"/>
              </w:rPr>
              <w:lastRenderedPageBreak/>
              <w:t>posibile ca urmare a riscului de nerambursare. În cazul unei poziții scurte, această limită poate fi calculată ca o modificare a valorii determinată de titlu sau, unde este cazul, de faptul că numele-suport devin imediat lipsite de risc de nerambursare.</w:t>
            </w:r>
          </w:p>
        </w:tc>
        <w:tc>
          <w:tcPr>
            <w:tcW w:w="1692" w:type="pct"/>
            <w:shd w:val="clear" w:color="auto" w:fill="auto"/>
          </w:tcPr>
          <w:p w14:paraId="3252918B" w14:textId="414B5851" w:rsidR="009D7356" w:rsidRPr="00C011B2" w:rsidRDefault="007908A9" w:rsidP="009D7356">
            <w:pPr>
              <w:spacing w:after="0" w:line="276" w:lineRule="auto"/>
              <w:jc w:val="both"/>
              <w:rPr>
                <w:rFonts w:ascii="Times New Roman" w:hAnsi="Times New Roman" w:cs="Times New Roman"/>
                <w:color w:val="000000" w:themeColor="text1"/>
                <w:lang w:val="ro-MD"/>
              </w:rPr>
            </w:pPr>
            <w:bookmarkStart w:id="431" w:name="_Hlk224716237"/>
            <w:r w:rsidRPr="00C011B2">
              <w:rPr>
                <w:rFonts w:ascii="Times New Roman" w:hAnsi="Times New Roman" w:cs="Times New Roman"/>
                <w:color w:val="000000" w:themeColor="text1"/>
                <w:lang w:val="it-IT"/>
              </w:rPr>
              <w:lastRenderedPageBreak/>
              <w:t xml:space="preserve">435. Banca </w:t>
            </w:r>
            <w:r w:rsidR="009D7356" w:rsidRPr="00C011B2">
              <w:rPr>
                <w:rFonts w:ascii="Times New Roman" w:hAnsi="Times New Roman" w:cs="Times New Roman"/>
                <w:color w:val="000000" w:themeColor="text1"/>
                <w:lang w:val="it-IT"/>
              </w:rPr>
              <w:t xml:space="preserve">poate plafona cerința de fonduri proprii pentru riscul specific al unei poziții nete pe un instrument de datorie la valoarea maximă a pierderii posibile ca urmare </w:t>
            </w:r>
            <w:r w:rsidR="009D7356" w:rsidRPr="00C011B2">
              <w:rPr>
                <w:rFonts w:ascii="Times New Roman" w:hAnsi="Times New Roman" w:cs="Times New Roman"/>
                <w:color w:val="000000" w:themeColor="text1"/>
                <w:lang w:val="it-IT"/>
              </w:rPr>
              <w:lastRenderedPageBreak/>
              <w:t>a riscului de nerambursare. În cazul unei poziții scurte, această limită poate fi calculată ca o modificare a valorii determinată de titlu sau, unde este cazul, de faptul că numele-suport devin imediat lipsite de risc de nerambursare.</w:t>
            </w:r>
            <w:bookmarkEnd w:id="431"/>
          </w:p>
        </w:tc>
        <w:tc>
          <w:tcPr>
            <w:tcW w:w="450" w:type="pct"/>
          </w:tcPr>
          <w:p w14:paraId="24A63F04" w14:textId="360CBF95"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8CC34C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3B13F9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E28AA8"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336</w:t>
            </w:r>
          </w:p>
          <w:p w14:paraId="427EEAF9" w14:textId="2622028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Cerință de fonduri proprii pentru instrumentele de datorie care nu sunt poziții din securitizare</w:t>
            </w:r>
          </w:p>
        </w:tc>
        <w:tc>
          <w:tcPr>
            <w:tcW w:w="1692" w:type="pct"/>
            <w:shd w:val="clear" w:color="auto" w:fill="auto"/>
          </w:tcPr>
          <w:p w14:paraId="1A09349E" w14:textId="32609FD4" w:rsidR="009D7356" w:rsidRPr="00C011B2" w:rsidRDefault="00CE0623" w:rsidP="009D7356">
            <w:pPr>
              <w:spacing w:after="0" w:line="276" w:lineRule="auto"/>
              <w:jc w:val="both"/>
              <w:rPr>
                <w:rFonts w:ascii="Times New Roman" w:hAnsi="Times New Roman" w:cs="Times New Roman"/>
                <w:color w:val="000000" w:themeColor="text1"/>
                <w:lang w:val="ro-MD"/>
              </w:rPr>
            </w:pPr>
            <w:bookmarkStart w:id="432" w:name="_Hlk195099654"/>
            <w:r w:rsidRPr="00C011B2">
              <w:rPr>
                <w:rFonts w:ascii="Times New Roman" w:hAnsi="Times New Roman" w:cs="Times New Roman"/>
                <w:i/>
                <w:iCs/>
                <w:color w:val="000000" w:themeColor="text1"/>
                <w:lang w:val="ro-MD"/>
              </w:rPr>
              <w:t xml:space="preserve">Paragraful 2. </w:t>
            </w:r>
            <w:r w:rsidR="009D7356" w:rsidRPr="00C011B2">
              <w:rPr>
                <w:rFonts w:ascii="Times New Roman" w:hAnsi="Times New Roman" w:cs="Times New Roman"/>
                <w:b/>
                <w:bCs/>
                <w:color w:val="000000" w:themeColor="text1"/>
                <w:lang w:val="ro-MD"/>
              </w:rPr>
              <w:t>Cerință de fonduri proprii pentru instrumentele de datorie care nu sunt poziții din securitizare</w:t>
            </w:r>
            <w:bookmarkEnd w:id="432"/>
          </w:p>
        </w:tc>
        <w:tc>
          <w:tcPr>
            <w:tcW w:w="450" w:type="pct"/>
          </w:tcPr>
          <w:p w14:paraId="6E3442E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65F85A6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981A12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C2B276" w14:textId="6A37D25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Instituția atribuie pozițiile nete din portofoliul de tranzacționare pe instrumente care nu sunt poziții din securitizare, calculate conform articolului 327, categoriilor corespunzătoare din tabelul 1 în funcție de emitent/debitor, evaluarea externă sau internă a creditului, precum și în funcție de scadența reziduală, și, în continuare, le înmulțește cu ponderile prevăzute în tabelul menționat. Instituția însumează pozițiile ponderate care rezultă din aplicarea prezentului articol, indiferent dacă acestea sunt lungi sau scurte, în vederea calculării cerinței de fonduri proprii pentru acoperirea riscului specific.</w:t>
            </w:r>
          </w:p>
          <w:p w14:paraId="3545278B"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1</w:t>
            </w:r>
          </w:p>
          <w:tbl>
            <w:tblPr>
              <w:tblW w:w="494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659"/>
              <w:gridCol w:w="2290"/>
            </w:tblGrid>
            <w:tr w:rsidR="009D7356" w:rsidRPr="00C011B2" w14:paraId="4BE8F2EC" w14:textId="77777777" w:rsidTr="009033CD">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ACEB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Categorii</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A85C4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Cerință de fonduri proprii pentru riscul specific</w:t>
                  </w:r>
                </w:p>
              </w:tc>
            </w:tr>
            <w:tr w:rsidR="009D7356" w:rsidRPr="00C011B2" w14:paraId="78039ECB" w14:textId="77777777" w:rsidTr="009033CD">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C2D9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Titluri de datorie care ar beneficia de o pondere de risc egală cu 0 % conform abordării standardizate pentru riscul de credit.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CC16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r w:rsidR="009D7356" w:rsidRPr="00C011B2" w14:paraId="20075F2A" w14:textId="77777777" w:rsidTr="009033CD">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FDBE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datorie care ar beneficia de o pondere de risc egală cu 20 % sau 50 % conform abordării standardizate pentru riscul de credit și alte elemente eligibile așa cum sunt definite la alineatul (4).</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477C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0,25 % (durata reziduală până la scadența finală este mai mică sau egală cu 6 luni)</w:t>
                  </w:r>
                </w:p>
                <w:p w14:paraId="3302CF2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 (durata reziduală până la scadența finală este mai mare de 6 luni și mai mică sau egală cu 24 de luni)</w:t>
                  </w:r>
                </w:p>
                <w:p w14:paraId="0DD0D85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1,60 % (durata reziduală până la scadența finală este mai mare de 24 de luni)</w:t>
                  </w:r>
                </w:p>
              </w:tc>
            </w:tr>
            <w:tr w:rsidR="009D7356" w:rsidRPr="00C011B2" w14:paraId="540B3A1C" w14:textId="77777777" w:rsidTr="009033CD">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DA898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datorie care ar beneficia de o pondere de risc egală cu 100 % conform abordării standardizate pentru riscul de credit.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ACD8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8,00 %</w:t>
                  </w:r>
                </w:p>
              </w:tc>
            </w:tr>
            <w:tr w:rsidR="009D7356" w:rsidRPr="00C011B2" w14:paraId="233F4E53" w14:textId="77777777" w:rsidTr="009033CD">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1395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Titluri de datorie care ar beneficia de o pondere de risc </w:t>
                  </w:r>
                  <w:r w:rsidRPr="00C011B2">
                    <w:rPr>
                      <w:rFonts w:ascii="Times New Roman" w:hAnsi="Times New Roman" w:cs="Times New Roman"/>
                      <w:color w:val="000000" w:themeColor="text1"/>
                      <w:lang w:val="ro-MD"/>
                    </w:rPr>
                    <w:lastRenderedPageBreak/>
                    <w:t>egală cu 150 % conform abordării standardizate pentru riscul de credit.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C25B9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12,00 %</w:t>
                  </w:r>
                </w:p>
              </w:tc>
            </w:tr>
          </w:tbl>
          <w:p w14:paraId="5D2EFE0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27938AD" w14:textId="2D644828" w:rsidR="009D7356" w:rsidRPr="00C011B2" w:rsidRDefault="00CE0623" w:rsidP="009D7356">
            <w:pPr>
              <w:spacing w:after="0" w:line="276" w:lineRule="auto"/>
              <w:jc w:val="both"/>
              <w:rPr>
                <w:rFonts w:ascii="Times New Roman" w:hAnsi="Times New Roman" w:cs="Times New Roman"/>
                <w:color w:val="000000" w:themeColor="text1"/>
                <w:lang w:val="ro-MD"/>
              </w:rPr>
            </w:pPr>
            <w:bookmarkStart w:id="433" w:name="_Hlk224716290"/>
            <w:r w:rsidRPr="00C011B2">
              <w:rPr>
                <w:rFonts w:ascii="Times New Roman" w:hAnsi="Times New Roman" w:cs="Times New Roman"/>
                <w:color w:val="000000" w:themeColor="text1"/>
                <w:lang w:val="ro-MD"/>
              </w:rPr>
              <w:lastRenderedPageBreak/>
              <w:t>436.</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atribuie pozițiile nete din portofoliul de tranzacționare pe instrumente care nu sunt poziții din securitizare, calculate conform </w:t>
            </w:r>
            <w:r w:rsidRPr="00C011B2">
              <w:rPr>
                <w:rFonts w:ascii="Times New Roman" w:hAnsi="Times New Roman" w:cs="Times New Roman"/>
                <w:color w:val="000000" w:themeColor="text1"/>
                <w:lang w:val="ro-MD"/>
              </w:rPr>
              <w:t>secțiunii 1 subsecțiunea 2</w:t>
            </w:r>
            <w:r w:rsidR="009D7356" w:rsidRPr="00C011B2">
              <w:rPr>
                <w:rFonts w:ascii="Times New Roman" w:hAnsi="Times New Roman" w:cs="Times New Roman"/>
                <w:color w:val="000000" w:themeColor="text1"/>
                <w:lang w:val="ro-MD"/>
              </w:rPr>
              <w:t xml:space="preserve">, categoriilor corespunzătoare din tabelul 1 în funcție de emitent/debitor, evaluarea externă sau internă a creditului, precum și în funcție de scadența reziduală, și, în continuare, le înmulțește cu ponderile prevăzute în tabelul menționat.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însumează pozițiile ponderate care rezultă din aplicarea prezentului </w:t>
            </w:r>
            <w:r w:rsidRPr="00C011B2">
              <w:rPr>
                <w:rFonts w:ascii="Times New Roman" w:hAnsi="Times New Roman" w:cs="Times New Roman"/>
                <w:color w:val="000000" w:themeColor="text1"/>
                <w:lang w:val="ro-MD"/>
              </w:rPr>
              <w:t>paragraf</w:t>
            </w:r>
            <w:r w:rsidR="009D7356" w:rsidRPr="00C011B2">
              <w:rPr>
                <w:rFonts w:ascii="Times New Roman" w:hAnsi="Times New Roman" w:cs="Times New Roman"/>
                <w:color w:val="000000" w:themeColor="text1"/>
                <w:lang w:val="ro-MD"/>
              </w:rPr>
              <w:t>, indiferent dacă acestea sunt lungi sau scurte, în vederea calculării cerinței de fonduri proprii pentru acoperirea riscului specific.</w:t>
            </w:r>
          </w:p>
          <w:p w14:paraId="6F80061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34" w:name="_Hlk224716335"/>
            <w:bookmarkEnd w:id="433"/>
            <w:r w:rsidRPr="00C011B2">
              <w:rPr>
                <w:rFonts w:ascii="Times New Roman" w:hAnsi="Times New Roman" w:cs="Times New Roman"/>
                <w:b/>
                <w:bCs/>
                <w:color w:val="000000" w:themeColor="text1"/>
                <w:lang w:val="ro-MD"/>
              </w:rPr>
              <w:t>Tabelul 1</w:t>
            </w:r>
          </w:p>
          <w:tbl>
            <w:tblPr>
              <w:tblW w:w="494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659"/>
              <w:gridCol w:w="2290"/>
            </w:tblGrid>
            <w:tr w:rsidR="009D7356" w:rsidRPr="00C011B2" w14:paraId="6CF65245" w14:textId="77777777" w:rsidTr="001E785F">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7420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Categorii</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CE91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Cerință de fonduri proprii pentru riscul specific</w:t>
                  </w:r>
                </w:p>
              </w:tc>
            </w:tr>
            <w:tr w:rsidR="009D7356" w:rsidRPr="00C011B2" w14:paraId="37D2FBCF" w14:textId="77777777" w:rsidTr="001E785F">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F0F2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Titluri de datorie care ar beneficia de o pondere de risc </w:t>
                  </w:r>
                  <w:r w:rsidRPr="00C011B2">
                    <w:rPr>
                      <w:rFonts w:ascii="Times New Roman" w:hAnsi="Times New Roman" w:cs="Times New Roman"/>
                      <w:color w:val="000000" w:themeColor="text1"/>
                      <w:lang w:val="ro-MD"/>
                    </w:rPr>
                    <w:lastRenderedPageBreak/>
                    <w:t>egală cu 0 % conform abordării standardizate pentru riscul de credit.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49C0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0 %</w:t>
                  </w:r>
                </w:p>
              </w:tc>
            </w:tr>
            <w:tr w:rsidR="009D7356" w:rsidRPr="00C011B2" w14:paraId="06B4D9D6" w14:textId="77777777" w:rsidTr="001E785F">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2F576" w14:textId="7B30F32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Titluri de datorie care ar beneficia de o pondere de risc egală cu 20 % sau 50 % conform abordării standardizate pentru riscul de credit și alte elemente eligibile așa cum sunt definite la </w:t>
                  </w:r>
                  <w:r w:rsidR="00CE0623" w:rsidRPr="00C011B2">
                    <w:rPr>
                      <w:rFonts w:ascii="Times New Roman" w:hAnsi="Times New Roman" w:cs="Times New Roman"/>
                      <w:color w:val="000000" w:themeColor="text1"/>
                      <w:lang w:val="ro-MD"/>
                    </w:rPr>
                    <w:t>pct.439</w:t>
                  </w:r>
                  <w:r w:rsidRPr="00C011B2">
                    <w:rPr>
                      <w:rFonts w:ascii="Times New Roman" w:hAnsi="Times New Roman" w:cs="Times New Roman"/>
                      <w:color w:val="000000" w:themeColor="text1"/>
                      <w:lang w:val="ro-MD"/>
                    </w:rPr>
                    <w: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F91B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0,25 % (durata reziduală până la scadența finală este mai mică sau egală cu 6 luni)</w:t>
                  </w:r>
                </w:p>
                <w:p w14:paraId="2B66489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 (durata reziduală până la scadența finală este mai mare de 6 luni și mai mică sau egală cu 24 de luni)</w:t>
                  </w:r>
                </w:p>
                <w:p w14:paraId="0DFB8F4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1,60 % (durata reziduală până la scadența finală este mai mare de 24 de luni)</w:t>
                  </w:r>
                </w:p>
              </w:tc>
            </w:tr>
            <w:tr w:rsidR="009D7356" w:rsidRPr="00C011B2" w14:paraId="73BFDB72" w14:textId="77777777" w:rsidTr="001E785F">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592F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Titluri de datorie care ar beneficia de o pondere de risc egală cu 100 % conform abordării standardizate pentru riscul de credit.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3548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8,00 %</w:t>
                  </w:r>
                </w:p>
              </w:tc>
            </w:tr>
            <w:tr w:rsidR="009D7356" w:rsidRPr="00C011B2" w14:paraId="10F060CC" w14:textId="77777777" w:rsidTr="001E785F">
              <w:trPr>
                <w:jc w:val="center"/>
              </w:trPr>
              <w:tc>
                <w:tcPr>
                  <w:tcW w:w="26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29B0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Titluri de datorie care ar beneficia de o pondere de risc egală cu 150 % conform </w:t>
                  </w:r>
                  <w:r w:rsidRPr="00C011B2">
                    <w:rPr>
                      <w:rFonts w:ascii="Times New Roman" w:hAnsi="Times New Roman" w:cs="Times New Roman"/>
                      <w:color w:val="000000" w:themeColor="text1"/>
                      <w:lang w:val="ro-MD"/>
                    </w:rPr>
                    <w:lastRenderedPageBreak/>
                    <w:t>abordării standardizate pentru riscul de credit.</w:t>
                  </w:r>
                </w:p>
              </w:tc>
              <w:tc>
                <w:tcPr>
                  <w:tcW w:w="229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1223B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12,00 %</w:t>
                  </w:r>
                </w:p>
              </w:tc>
            </w:tr>
            <w:bookmarkEnd w:id="434"/>
          </w:tbl>
          <w:p w14:paraId="6ED4820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698D0974" w14:textId="4A5D1363"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2B088E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4EACDC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166F4EA" w14:textId="3CA4007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Pentru ca instituțiile care aplică abordarea IRB clasei de expuneri căreia îi aparține emitentul instrumentului de datorie să poată beneficia de o pondere de risc conform abordării standardizate pentru riscul de credit, menționată la alineatul (1), emitentul expunerii trebuie să aibă un rating intern cu o probabilitate de nerambursare echivalentă cu sau mai scăzută decât cea asociată cu nivelul corespunzător de calitate a creditului conform abordării standardizate.</w:t>
            </w:r>
          </w:p>
        </w:tc>
        <w:tc>
          <w:tcPr>
            <w:tcW w:w="1692" w:type="pct"/>
            <w:shd w:val="clear" w:color="auto" w:fill="auto"/>
          </w:tcPr>
          <w:p w14:paraId="35CE7140" w14:textId="04481184" w:rsidR="009D7356" w:rsidRPr="00C011B2" w:rsidRDefault="00CE0623" w:rsidP="009D7356">
            <w:pPr>
              <w:spacing w:after="0" w:line="276" w:lineRule="auto"/>
              <w:jc w:val="both"/>
              <w:rPr>
                <w:rFonts w:ascii="Times New Roman" w:hAnsi="Times New Roman" w:cs="Times New Roman"/>
                <w:color w:val="000000" w:themeColor="text1"/>
                <w:lang w:val="ro-MD"/>
              </w:rPr>
            </w:pPr>
            <w:bookmarkStart w:id="435" w:name="_Hlk224716810"/>
            <w:r w:rsidRPr="00C011B2">
              <w:rPr>
                <w:rFonts w:ascii="Times New Roman" w:hAnsi="Times New Roman" w:cs="Times New Roman"/>
                <w:color w:val="000000" w:themeColor="text1"/>
                <w:lang w:val="ro-MD"/>
              </w:rPr>
              <w:t>437.</w:t>
            </w:r>
            <w:r w:rsidR="009D7356" w:rsidRPr="00C011B2">
              <w:rPr>
                <w:rFonts w:ascii="Times New Roman" w:hAnsi="Times New Roman" w:cs="Times New Roman"/>
                <w:color w:val="000000" w:themeColor="text1"/>
                <w:lang w:val="ro-MD"/>
              </w:rPr>
              <w:t xml:space="preserve">  Pentru ca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care aplică abordarea IRB clasei de expuneri căreia îi aparține emitentul instrumentului de datorie să poată beneficia de o pondere de risc conform abordării standardizate pentru riscul de credit, menționată la </w:t>
            </w:r>
            <w:r w:rsidRPr="00C011B2">
              <w:rPr>
                <w:rFonts w:ascii="Times New Roman" w:hAnsi="Times New Roman" w:cs="Times New Roman"/>
                <w:color w:val="000000" w:themeColor="text1"/>
                <w:lang w:val="ro-MD"/>
              </w:rPr>
              <w:t>pct.436</w:t>
            </w:r>
            <w:r w:rsidR="009D7356" w:rsidRPr="00C011B2">
              <w:rPr>
                <w:rFonts w:ascii="Times New Roman" w:hAnsi="Times New Roman" w:cs="Times New Roman"/>
                <w:color w:val="000000" w:themeColor="text1"/>
                <w:lang w:val="ro-MD"/>
              </w:rPr>
              <w:t>, emitentul expunerii trebuie să aibă un rating intern cu o probabilitate de nerambursare echivalentă cu sau mai scăzută decât cea asociată cu nivelul corespunzător de calitate a creditului conform abordării standardizate.</w:t>
            </w:r>
            <w:bookmarkEnd w:id="435"/>
          </w:p>
        </w:tc>
        <w:tc>
          <w:tcPr>
            <w:tcW w:w="450" w:type="pct"/>
          </w:tcPr>
          <w:p w14:paraId="4BDB7F96" w14:textId="6FBD9A3F"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EBA877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69C836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9420D4" w14:textId="30E0EF9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Instituțiile pot calcula cerințele pentru riscul specific aferent oricăror obligațiuni care îndeplinesc condițiile pentru o pondere de risc egală cu 10 %, în conformitate cu tratamentul de la articolul 129 alineatele (4), (5) și (6), ca jumătate din cerința de fonduri proprii pentru riscul specific aplicabilă celei de a doua categorii din tabelul 1.</w:t>
            </w:r>
          </w:p>
        </w:tc>
        <w:tc>
          <w:tcPr>
            <w:tcW w:w="1692" w:type="pct"/>
            <w:shd w:val="clear" w:color="auto" w:fill="auto"/>
          </w:tcPr>
          <w:p w14:paraId="5BBC4CB7" w14:textId="5841D513" w:rsidR="009D7356" w:rsidRPr="00C011B2" w:rsidRDefault="00CE0623" w:rsidP="009D7356">
            <w:pPr>
              <w:spacing w:after="0" w:line="276" w:lineRule="auto"/>
              <w:jc w:val="both"/>
              <w:rPr>
                <w:rFonts w:ascii="Times New Roman" w:hAnsi="Times New Roman" w:cs="Times New Roman"/>
                <w:color w:val="000000" w:themeColor="text1"/>
                <w:lang w:val="ro-MD"/>
              </w:rPr>
            </w:pPr>
            <w:bookmarkStart w:id="436" w:name="_Hlk224716834"/>
            <w:r w:rsidRPr="00C011B2">
              <w:rPr>
                <w:rFonts w:ascii="Times New Roman" w:hAnsi="Times New Roman" w:cs="Times New Roman"/>
                <w:color w:val="000000" w:themeColor="text1"/>
                <w:lang w:val="ro-MD"/>
              </w:rPr>
              <w:t>438.</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pot calcula cerințele pentru riscul specific aferent oricăror obligațiuni care îndeplinesc condițiile pentru o pondere de risc egală cu 10 %, în conformitate cu tratamentul de la </w:t>
            </w:r>
            <w:r w:rsidR="004458D3" w:rsidRPr="00C011B2">
              <w:rPr>
                <w:rFonts w:ascii="Times New Roman" w:hAnsi="Times New Roman" w:cs="Times New Roman"/>
                <w:color w:val="000000" w:themeColor="text1"/>
                <w:lang w:val="ro-MD"/>
              </w:rPr>
              <w:t>pct.75</w:t>
            </w:r>
            <w:r w:rsidR="004458D3" w:rsidRPr="00C011B2">
              <w:rPr>
                <w:rFonts w:ascii="Times New Roman" w:hAnsi="Times New Roman" w:cs="Times New Roman"/>
                <w:color w:val="000000" w:themeColor="text1"/>
                <w:vertAlign w:val="superscript"/>
                <w:lang w:val="ro-MD"/>
              </w:rPr>
              <w:t>14</w:t>
            </w:r>
            <w:r w:rsidR="004458D3" w:rsidRPr="00C011B2">
              <w:rPr>
                <w:rFonts w:ascii="Times New Roman" w:hAnsi="Times New Roman" w:cs="Times New Roman"/>
                <w:color w:val="000000" w:themeColor="text1"/>
                <w:lang w:val="ro-MD"/>
              </w:rPr>
              <w:t xml:space="preserve"> și 75</w:t>
            </w:r>
            <w:r w:rsidR="004458D3" w:rsidRPr="00C011B2">
              <w:rPr>
                <w:rFonts w:ascii="Times New Roman" w:hAnsi="Times New Roman" w:cs="Times New Roman"/>
                <w:color w:val="000000" w:themeColor="text1"/>
                <w:vertAlign w:val="superscript"/>
                <w:lang w:val="ro-MD"/>
              </w:rPr>
              <w:t>15</w:t>
            </w:r>
            <w:r w:rsidR="004458D3" w:rsidRPr="00C011B2">
              <w:rPr>
                <w:rFonts w:ascii="Times New Roman" w:hAnsi="Times New Roman" w:cs="Times New Roman"/>
                <w:color w:val="000000" w:themeColor="text1"/>
                <w:lang w:val="ro-MD"/>
              </w:rPr>
              <w:t xml:space="preserve"> din Regulamentul nr.111/2018</w:t>
            </w:r>
            <w:r w:rsidR="009D7356" w:rsidRPr="00C011B2">
              <w:rPr>
                <w:rFonts w:ascii="Times New Roman" w:hAnsi="Times New Roman" w:cs="Times New Roman"/>
                <w:color w:val="000000" w:themeColor="text1"/>
                <w:lang w:val="ro-MD"/>
              </w:rPr>
              <w:t>, ca jumătate din cerința de fonduri proprii pentru riscul specific aplicabilă celei de a doua categorii din tabelul 1.</w:t>
            </w:r>
            <w:bookmarkEnd w:id="436"/>
          </w:p>
        </w:tc>
        <w:tc>
          <w:tcPr>
            <w:tcW w:w="450" w:type="pct"/>
          </w:tcPr>
          <w:p w14:paraId="61D7F14E" w14:textId="57D3688F"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4511B9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FB9708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2B1DF2" w14:textId="0CDF5A8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Alte elemente eligibile:</w:t>
            </w:r>
          </w:p>
          <w:p w14:paraId="772199CE" w14:textId="24E5544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poziții lungi și scurte pe active pentru care nu este disponibilă o evaluare din partea unei ECAI desemnate, și care îndeplinesc următoarele condiții:</w:t>
            </w:r>
          </w:p>
          <w:p w14:paraId="7BC1D18D" w14:textId="784FB52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sunt considerate suficient de lichide de către instituția în cauză;</w:t>
            </w:r>
          </w:p>
          <w:p w14:paraId="382865D4" w14:textId="514FAA9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(ii) calitatea lor investițională este, în opinia instituției, cel puțin echivalentă cu cea a activelor menționate în tabelul 1 al doilea rând;</w:t>
            </w:r>
          </w:p>
          <w:p w14:paraId="5B4B2254" w14:textId="526394C8"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sunt admise la tranzacționare pe cel puțin o piață reglementată dintr-un stat membru sau pe o bursă (stock exchange) dintr-o țară terță, cu condiția ca bursa respectivă să fie recunoscută de autoritățile competente din statul membru respectiv;</w:t>
            </w:r>
          </w:p>
          <w:p w14:paraId="419F1933" w14:textId="0EF7C59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poziții lungi și scurte pe active, emise de instituții supuse cerințelor de fonduri proprii prevăzute în prezentul regulament, care sunt considerate de către instituția în cauză suficient de lichide și a căror calitate investițională este, în opinia instituției, cel puțin echivalentă cu cea a activelor menționate în tabelul 1 al doilea rând;</w:t>
            </w:r>
          </w:p>
          <w:p w14:paraId="1D0DE0EE" w14:textId="2CF35B0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titluri emise de instituții care sunt considerate a avea un nivel de calitate a creditului echivalent sau mai ridicat decât cele asociate nivelului 2 de calitate a creditului, conform abordării standardizate pentru riscul de credit al expunerilor față de instituții, și care sunt supuse unor mecanisme de supraveghere și reglementare comparabile cu cele prevăzute în prezentul regulament și în Directiva 2013/36/UE.</w:t>
            </w:r>
          </w:p>
          <w:p w14:paraId="6EBC24C0" w14:textId="3E07676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Instituțiile care aplică litera (a) sau (b) trebuie să dispună de o metodologie documentată pe baza căreia </w:t>
            </w:r>
            <w:r w:rsidRPr="00C011B2">
              <w:rPr>
                <w:rFonts w:ascii="Times New Roman" w:hAnsi="Times New Roman" w:cs="Times New Roman"/>
                <w:color w:val="000000" w:themeColor="text1"/>
                <w:lang w:val="ro-MD"/>
              </w:rPr>
              <w:lastRenderedPageBreak/>
              <w:t>evaluează dacă activele îndeplinesc cerințele de la punctele respective și să notifice această metodologie autorităților competente.</w:t>
            </w:r>
          </w:p>
        </w:tc>
        <w:tc>
          <w:tcPr>
            <w:tcW w:w="1692" w:type="pct"/>
            <w:shd w:val="clear" w:color="auto" w:fill="auto"/>
          </w:tcPr>
          <w:p w14:paraId="29A5C6A0" w14:textId="7098298B" w:rsidR="009D7356" w:rsidRPr="00C011B2" w:rsidRDefault="00CE0623" w:rsidP="009D7356">
            <w:pPr>
              <w:spacing w:after="0" w:line="276" w:lineRule="auto"/>
              <w:jc w:val="both"/>
              <w:rPr>
                <w:rFonts w:ascii="Times New Roman" w:hAnsi="Times New Roman" w:cs="Times New Roman"/>
                <w:color w:val="000000" w:themeColor="text1"/>
                <w:lang w:val="ro-MD"/>
              </w:rPr>
            </w:pPr>
            <w:bookmarkStart w:id="437" w:name="_Hlk224716884"/>
            <w:r w:rsidRPr="00C011B2">
              <w:rPr>
                <w:rFonts w:ascii="Times New Roman" w:hAnsi="Times New Roman" w:cs="Times New Roman"/>
                <w:color w:val="000000" w:themeColor="text1"/>
                <w:lang w:val="ro-MD"/>
              </w:rPr>
              <w:lastRenderedPageBreak/>
              <w:t>439.</w:t>
            </w:r>
            <w:r w:rsidR="009D7356" w:rsidRPr="00C011B2">
              <w:rPr>
                <w:rFonts w:ascii="Times New Roman" w:hAnsi="Times New Roman" w:cs="Times New Roman"/>
                <w:color w:val="000000" w:themeColor="text1"/>
                <w:lang w:val="ro-MD"/>
              </w:rPr>
              <w:t>   Alte elemente eligibile:</w:t>
            </w:r>
          </w:p>
          <w:p w14:paraId="57C1AACF" w14:textId="187EAC10" w:rsidR="009D7356" w:rsidRPr="00C011B2" w:rsidRDefault="004458D3"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439.1.</w:t>
            </w:r>
            <w:r w:rsidR="009D7356" w:rsidRPr="00C011B2">
              <w:rPr>
                <w:rFonts w:ascii="Times New Roman" w:hAnsi="Times New Roman" w:cs="Times New Roman"/>
                <w:color w:val="000000" w:themeColor="text1"/>
                <w:lang w:val="ro-MD"/>
              </w:rPr>
              <w:t> poziții lungi și scurte pe active pentru care nu este disponibilă o evaluare din partea unei ECAI desemnate, și care îndeplinesc următoarele condiții:</w:t>
            </w:r>
          </w:p>
          <w:p w14:paraId="3BC2BA5D" w14:textId="45EE1930" w:rsidR="009D7356" w:rsidRPr="00C011B2" w:rsidRDefault="004458D3"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439.1.1.</w:t>
            </w:r>
            <w:r w:rsidR="009D7356" w:rsidRPr="00C011B2">
              <w:rPr>
                <w:rFonts w:ascii="Times New Roman" w:hAnsi="Times New Roman" w:cs="Times New Roman"/>
                <w:color w:val="000000" w:themeColor="text1"/>
                <w:lang w:val="ro-MD"/>
              </w:rPr>
              <w:t xml:space="preserve"> sunt considerate suficient de lichide de către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în cauză;</w:t>
            </w:r>
          </w:p>
          <w:p w14:paraId="38746298" w14:textId="415421E1" w:rsidR="009D7356" w:rsidRPr="00C011B2" w:rsidRDefault="004458D3"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439.1.2.</w:t>
            </w:r>
            <w:r w:rsidR="009D7356" w:rsidRPr="00C011B2">
              <w:rPr>
                <w:rFonts w:ascii="Times New Roman" w:hAnsi="Times New Roman" w:cs="Times New Roman"/>
                <w:color w:val="000000" w:themeColor="text1"/>
                <w:lang w:val="ro-MD"/>
              </w:rPr>
              <w:t xml:space="preserve"> calitatea lor investițională este, în opinia </w:t>
            </w:r>
            <w:r w:rsidRPr="00C011B2">
              <w:rPr>
                <w:rFonts w:ascii="Times New Roman" w:hAnsi="Times New Roman" w:cs="Times New Roman"/>
                <w:color w:val="000000" w:themeColor="text1"/>
                <w:lang w:val="ro-MD"/>
              </w:rPr>
              <w:t>băncii</w:t>
            </w:r>
            <w:r w:rsidR="009D7356" w:rsidRPr="00C011B2">
              <w:rPr>
                <w:rFonts w:ascii="Times New Roman" w:hAnsi="Times New Roman" w:cs="Times New Roman"/>
                <w:color w:val="000000" w:themeColor="text1"/>
                <w:lang w:val="ro-MD"/>
              </w:rPr>
              <w:t>, cel puțin echivalentă cu cea a activelor menționate în tabelul 1 al doilea rând;</w:t>
            </w:r>
          </w:p>
          <w:p w14:paraId="63F72EC5" w14:textId="6CB94185" w:rsidR="009D7356" w:rsidRPr="00C011B2" w:rsidRDefault="004458D3"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439.1.3.</w:t>
            </w:r>
            <w:r w:rsidR="009D7356" w:rsidRPr="00C011B2">
              <w:rPr>
                <w:rFonts w:ascii="Times New Roman" w:hAnsi="Times New Roman" w:cs="Times New Roman"/>
                <w:color w:val="000000" w:themeColor="text1"/>
                <w:lang w:val="ro-MD"/>
              </w:rPr>
              <w:t xml:space="preserve"> sunt admise la tranzacționare pe cel puțin o piață reglementată dintr-un stat membru sau pe o bursă (stock exchange) </w:t>
            </w:r>
            <w:r w:rsidR="000E001D" w:rsidRPr="00C011B2">
              <w:rPr>
                <w:rFonts w:ascii="Times New Roman" w:hAnsi="Times New Roman" w:cs="Times New Roman"/>
                <w:color w:val="000000" w:themeColor="text1"/>
                <w:lang w:val="ro-MD"/>
              </w:rPr>
              <w:t>dintr-un alt stat</w:t>
            </w:r>
            <w:r w:rsidR="009D7356" w:rsidRPr="00C011B2">
              <w:rPr>
                <w:rFonts w:ascii="Times New Roman" w:hAnsi="Times New Roman" w:cs="Times New Roman"/>
                <w:color w:val="000000" w:themeColor="text1"/>
                <w:lang w:val="ro-MD"/>
              </w:rPr>
              <w:t>, cu condiția ca bursa respectivă să fie recunoscută de autoritățile competente din statul membru respectiv;</w:t>
            </w:r>
          </w:p>
          <w:p w14:paraId="1CCA1555" w14:textId="1B6EDC6F" w:rsidR="009D7356" w:rsidRPr="00C011B2" w:rsidRDefault="00243624"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439.2.</w:t>
            </w:r>
            <w:r w:rsidR="009D7356" w:rsidRPr="00C011B2">
              <w:rPr>
                <w:rFonts w:ascii="Times New Roman" w:hAnsi="Times New Roman" w:cs="Times New Roman"/>
                <w:color w:val="000000" w:themeColor="text1"/>
                <w:lang w:val="ro-MD"/>
              </w:rPr>
              <w:t xml:space="preserve"> poziții lungi și scurte pe active, emise de </w:t>
            </w:r>
            <w:r w:rsidRPr="00C011B2">
              <w:rPr>
                <w:rFonts w:ascii="Times New Roman" w:hAnsi="Times New Roman" w:cs="Times New Roman"/>
                <w:color w:val="000000" w:themeColor="text1"/>
                <w:lang w:val="ro-MD"/>
              </w:rPr>
              <w:t xml:space="preserve">bănci </w:t>
            </w:r>
            <w:r w:rsidR="009D7356" w:rsidRPr="00C011B2">
              <w:rPr>
                <w:rFonts w:ascii="Times New Roman" w:hAnsi="Times New Roman" w:cs="Times New Roman"/>
                <w:color w:val="000000" w:themeColor="text1"/>
                <w:lang w:val="ro-MD"/>
              </w:rPr>
              <w:t xml:space="preserve">supuse cerințelor de fonduri proprii prevăzute în </w:t>
            </w:r>
            <w:r w:rsidRPr="00C011B2">
              <w:rPr>
                <w:rFonts w:ascii="Times New Roman" w:hAnsi="Times New Roman" w:cs="Times New Roman"/>
                <w:color w:val="000000" w:themeColor="text1"/>
                <w:lang w:val="ro-MD"/>
              </w:rPr>
              <w:t>Regulamentul nr.109/2018</w:t>
            </w:r>
            <w:r w:rsidR="009D7356" w:rsidRPr="00C011B2">
              <w:rPr>
                <w:rFonts w:ascii="Times New Roman" w:hAnsi="Times New Roman" w:cs="Times New Roman"/>
                <w:color w:val="000000" w:themeColor="text1"/>
                <w:lang w:val="ro-MD"/>
              </w:rPr>
              <w:t xml:space="preserve">, care sunt considerate de către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în cauză suficient de lichide și a căror calitate investițională este, în opinia </w:t>
            </w:r>
            <w:r w:rsidRPr="00C011B2">
              <w:rPr>
                <w:rFonts w:ascii="Times New Roman" w:hAnsi="Times New Roman" w:cs="Times New Roman"/>
                <w:color w:val="000000" w:themeColor="text1"/>
                <w:lang w:val="ro-MD"/>
              </w:rPr>
              <w:t>băncii</w:t>
            </w:r>
            <w:r w:rsidR="009D7356" w:rsidRPr="00C011B2">
              <w:rPr>
                <w:rFonts w:ascii="Times New Roman" w:hAnsi="Times New Roman" w:cs="Times New Roman"/>
                <w:color w:val="000000" w:themeColor="text1"/>
                <w:lang w:val="ro-MD"/>
              </w:rPr>
              <w:t>, cel puțin echivalentă cu cea a activelor menționate în tabelul 1 al doilea rând;</w:t>
            </w:r>
          </w:p>
          <w:p w14:paraId="0FA12896" w14:textId="0AA6FBB6" w:rsidR="009D7356" w:rsidRPr="00C011B2" w:rsidRDefault="00243624"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439.3.</w:t>
            </w:r>
            <w:r w:rsidR="009D7356" w:rsidRPr="00C011B2">
              <w:rPr>
                <w:rFonts w:ascii="Times New Roman" w:hAnsi="Times New Roman" w:cs="Times New Roman"/>
                <w:color w:val="000000" w:themeColor="text1"/>
                <w:lang w:val="ro-MD"/>
              </w:rPr>
              <w:t xml:space="preserve"> titluri emise de </w:t>
            </w:r>
            <w:r w:rsidRPr="00C011B2">
              <w:rPr>
                <w:rFonts w:ascii="Times New Roman" w:hAnsi="Times New Roman" w:cs="Times New Roman"/>
                <w:color w:val="000000" w:themeColor="text1"/>
                <w:lang w:val="ro-MD"/>
              </w:rPr>
              <w:t xml:space="preserve">bănci </w:t>
            </w:r>
            <w:r w:rsidR="009D7356" w:rsidRPr="00C011B2">
              <w:rPr>
                <w:rFonts w:ascii="Times New Roman" w:hAnsi="Times New Roman" w:cs="Times New Roman"/>
                <w:color w:val="000000" w:themeColor="text1"/>
                <w:lang w:val="ro-MD"/>
              </w:rPr>
              <w:t xml:space="preserve">care sunt considerate a avea un nivel de calitate a creditului echivalent sau mai ridicat decât cele asociate nivelului 2 de calitate a creditului, conform abordării standardizate pentru riscul de credit al expunerilor față de </w:t>
            </w:r>
            <w:r w:rsidRPr="00C011B2">
              <w:rPr>
                <w:rFonts w:ascii="Times New Roman" w:hAnsi="Times New Roman" w:cs="Times New Roman"/>
                <w:color w:val="000000" w:themeColor="text1"/>
                <w:lang w:val="ro-MD"/>
              </w:rPr>
              <w:t>bănci</w:t>
            </w:r>
            <w:r w:rsidR="009D7356" w:rsidRPr="00C011B2">
              <w:rPr>
                <w:rFonts w:ascii="Times New Roman" w:hAnsi="Times New Roman" w:cs="Times New Roman"/>
                <w:color w:val="000000" w:themeColor="text1"/>
                <w:lang w:val="ro-MD"/>
              </w:rPr>
              <w:t xml:space="preserve">, și care sunt supuse unor mecanisme de supraveghere și reglementare comparabile cu cele prevăzute în </w:t>
            </w:r>
            <w:r w:rsidR="004931B6" w:rsidRPr="00C011B2">
              <w:rPr>
                <w:rFonts w:ascii="Times New Roman" w:hAnsi="Times New Roman" w:cs="Times New Roman"/>
                <w:color w:val="000000" w:themeColor="text1"/>
                <w:lang w:val="ro-MD"/>
              </w:rPr>
              <w:t>actele normative aferente domeniului prudențial</w:t>
            </w:r>
            <w:r w:rsidR="009D7356" w:rsidRPr="00C011B2">
              <w:rPr>
                <w:rFonts w:ascii="Times New Roman" w:hAnsi="Times New Roman" w:cs="Times New Roman"/>
                <w:color w:val="000000" w:themeColor="text1"/>
                <w:lang w:val="ro-MD"/>
              </w:rPr>
              <w:t xml:space="preserve"> și în </w:t>
            </w:r>
            <w:r w:rsidR="004931B6" w:rsidRPr="00C011B2">
              <w:rPr>
                <w:rFonts w:ascii="Times New Roman" w:hAnsi="Times New Roman" w:cs="Times New Roman"/>
                <w:color w:val="000000" w:themeColor="text1"/>
                <w:lang w:val="ro-MD"/>
              </w:rPr>
              <w:t>Legea nr.202/2017</w:t>
            </w:r>
            <w:r w:rsidR="009D7356" w:rsidRPr="00C011B2">
              <w:rPr>
                <w:rFonts w:ascii="Times New Roman" w:hAnsi="Times New Roman" w:cs="Times New Roman"/>
                <w:color w:val="000000" w:themeColor="text1"/>
                <w:lang w:val="ro-MD"/>
              </w:rPr>
              <w:t>.</w:t>
            </w:r>
          </w:p>
          <w:p w14:paraId="42DAD18F" w14:textId="46F5DFB1" w:rsidR="009D7356" w:rsidRPr="00C011B2" w:rsidRDefault="004931B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440. Băncile </w:t>
            </w:r>
            <w:r w:rsidR="009D7356" w:rsidRPr="00C011B2">
              <w:rPr>
                <w:rFonts w:ascii="Times New Roman" w:hAnsi="Times New Roman" w:cs="Times New Roman"/>
                <w:color w:val="000000" w:themeColor="text1"/>
                <w:lang w:val="ro-MD"/>
              </w:rPr>
              <w:t xml:space="preserve">care aplică </w:t>
            </w:r>
            <w:r w:rsidRPr="00C011B2">
              <w:rPr>
                <w:rFonts w:ascii="Times New Roman" w:hAnsi="Times New Roman" w:cs="Times New Roman"/>
                <w:color w:val="000000" w:themeColor="text1"/>
                <w:lang w:val="ro-MD"/>
              </w:rPr>
              <w:t>subpct.439.1</w:t>
            </w:r>
            <w:r w:rsidR="009D7356" w:rsidRPr="00C011B2">
              <w:rPr>
                <w:rFonts w:ascii="Times New Roman" w:hAnsi="Times New Roman" w:cs="Times New Roman"/>
                <w:color w:val="000000" w:themeColor="text1"/>
                <w:lang w:val="ro-MD"/>
              </w:rPr>
              <w:t xml:space="preserve"> sau </w:t>
            </w:r>
            <w:r w:rsidRPr="00C011B2">
              <w:rPr>
                <w:rFonts w:ascii="Times New Roman" w:hAnsi="Times New Roman" w:cs="Times New Roman"/>
                <w:color w:val="000000" w:themeColor="text1"/>
                <w:lang w:val="ro-MD"/>
              </w:rPr>
              <w:t>439.2</w:t>
            </w:r>
            <w:r w:rsidR="009D7356" w:rsidRPr="00C011B2">
              <w:rPr>
                <w:rFonts w:ascii="Times New Roman" w:hAnsi="Times New Roman" w:cs="Times New Roman"/>
                <w:color w:val="000000" w:themeColor="text1"/>
                <w:lang w:val="ro-MD"/>
              </w:rPr>
              <w:t xml:space="preserve"> trebuie să dispună de o metodologie documentată pe baza căreia evaluează dacă activele îndeplinesc cerințele de la </w:t>
            </w:r>
            <w:r w:rsidRPr="00C011B2">
              <w:rPr>
                <w:rFonts w:ascii="Times New Roman" w:hAnsi="Times New Roman" w:cs="Times New Roman"/>
                <w:color w:val="000000" w:themeColor="text1"/>
                <w:lang w:val="ro-MD"/>
              </w:rPr>
              <w:lastRenderedPageBreak/>
              <w:t>sub</w:t>
            </w:r>
            <w:r w:rsidR="009D7356" w:rsidRPr="00C011B2">
              <w:rPr>
                <w:rFonts w:ascii="Times New Roman" w:hAnsi="Times New Roman" w:cs="Times New Roman"/>
                <w:color w:val="000000" w:themeColor="text1"/>
                <w:lang w:val="ro-MD"/>
              </w:rPr>
              <w:t xml:space="preserve">punctele respective și să notifice această metodologie </w:t>
            </w:r>
            <w:r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w:t>
            </w:r>
            <w:bookmarkEnd w:id="437"/>
          </w:p>
        </w:tc>
        <w:tc>
          <w:tcPr>
            <w:tcW w:w="450" w:type="pct"/>
          </w:tcPr>
          <w:p w14:paraId="5FA645DF" w14:textId="645F1196"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8D35D9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E6341F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CBA4102"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337</w:t>
            </w:r>
          </w:p>
          <w:p w14:paraId="041C2436" w14:textId="28BC2C8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Cerința de fonduri proprii pentru instrumentele care sunt poziții din securitizare</w:t>
            </w:r>
          </w:p>
        </w:tc>
        <w:tc>
          <w:tcPr>
            <w:tcW w:w="1692" w:type="pct"/>
            <w:shd w:val="clear" w:color="auto" w:fill="auto"/>
          </w:tcPr>
          <w:p w14:paraId="46A5CB76" w14:textId="7131EC83" w:rsidR="009D7356" w:rsidRPr="00C011B2" w:rsidRDefault="004931B6" w:rsidP="009D7356">
            <w:pPr>
              <w:spacing w:after="0" w:line="276" w:lineRule="auto"/>
              <w:jc w:val="both"/>
              <w:rPr>
                <w:rFonts w:ascii="Times New Roman" w:hAnsi="Times New Roman" w:cs="Times New Roman"/>
                <w:color w:val="000000" w:themeColor="text1"/>
                <w:lang w:val="ro-MD"/>
              </w:rPr>
            </w:pPr>
            <w:bookmarkStart w:id="438" w:name="_Hlk195099684"/>
            <w:r w:rsidRPr="00C011B2">
              <w:rPr>
                <w:rFonts w:ascii="Times New Roman" w:hAnsi="Times New Roman" w:cs="Times New Roman"/>
                <w:i/>
                <w:iCs/>
                <w:color w:val="000000" w:themeColor="text1"/>
                <w:lang w:val="ro-MD"/>
              </w:rPr>
              <w:t xml:space="preserve">Paragraful 3. </w:t>
            </w:r>
            <w:r w:rsidR="009D7356" w:rsidRPr="00C011B2">
              <w:rPr>
                <w:rFonts w:ascii="Times New Roman" w:hAnsi="Times New Roman" w:cs="Times New Roman"/>
                <w:b/>
                <w:bCs/>
                <w:color w:val="000000" w:themeColor="text1"/>
                <w:lang w:val="ro-MD"/>
              </w:rPr>
              <w:t>Cerința de fonduri proprii pentru instrumentele care sunt poziții din securitizare</w:t>
            </w:r>
            <w:bookmarkEnd w:id="438"/>
          </w:p>
        </w:tc>
        <w:tc>
          <w:tcPr>
            <w:tcW w:w="450" w:type="pct"/>
          </w:tcPr>
          <w:p w14:paraId="617B4F4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529D0F5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B8C11A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A6FDD94" w14:textId="54068F7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Pentru instrumentele din portofoliul de tranzacționare care sunt poziții din securitizare, instituția aplică pozițiilor sale nete, calculate în conformitate cu articolul 327 alineatul (1), o pondere egală cu 8 % din ponderea de risc pe care instituția ar aplica-o poziției din afara portofoliului de tranzacționare, conform titlului II capitolul 5 secțiunea 3.</w:t>
            </w:r>
          </w:p>
        </w:tc>
        <w:tc>
          <w:tcPr>
            <w:tcW w:w="1692" w:type="pct"/>
            <w:shd w:val="clear" w:color="auto" w:fill="auto"/>
          </w:tcPr>
          <w:p w14:paraId="40946669" w14:textId="4DC249D6" w:rsidR="009D7356" w:rsidRPr="00C011B2" w:rsidRDefault="004931B6" w:rsidP="00D7736B">
            <w:pPr>
              <w:spacing w:after="0" w:line="276" w:lineRule="auto"/>
              <w:jc w:val="both"/>
              <w:rPr>
                <w:rFonts w:ascii="Times New Roman" w:hAnsi="Times New Roman" w:cs="Times New Roman"/>
                <w:color w:val="000000" w:themeColor="text1"/>
                <w:lang w:val="ro-MD"/>
              </w:rPr>
            </w:pPr>
            <w:bookmarkStart w:id="439" w:name="_Hlk224717091"/>
            <w:r w:rsidRPr="00C011B2">
              <w:rPr>
                <w:rFonts w:ascii="Times New Roman" w:hAnsi="Times New Roman" w:cs="Times New Roman"/>
                <w:color w:val="000000" w:themeColor="text1"/>
                <w:lang w:val="ro-MD"/>
              </w:rPr>
              <w:t>441.</w:t>
            </w:r>
            <w:r w:rsidR="009D7356" w:rsidRPr="00C011B2">
              <w:rPr>
                <w:rFonts w:ascii="Times New Roman" w:hAnsi="Times New Roman" w:cs="Times New Roman"/>
                <w:color w:val="000000" w:themeColor="text1"/>
                <w:lang w:val="ro-MD"/>
              </w:rPr>
              <w:t xml:space="preserve">   Pentru instrumentele din portofoliul de tranzacționare care sunt poziții din securitizare,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aplică pozițiilor sale nete, calculate în conformitate cu </w:t>
            </w:r>
            <w:r w:rsidR="00D7736B" w:rsidRPr="00C011B2">
              <w:rPr>
                <w:rFonts w:ascii="Times New Roman" w:hAnsi="Times New Roman" w:cs="Times New Roman"/>
                <w:color w:val="000000" w:themeColor="text1"/>
                <w:lang w:val="ro-MD"/>
              </w:rPr>
              <w:t>pct.418</w:t>
            </w:r>
            <w:r w:rsidR="009D7356" w:rsidRPr="00C011B2">
              <w:rPr>
                <w:rFonts w:ascii="Times New Roman" w:hAnsi="Times New Roman" w:cs="Times New Roman"/>
                <w:color w:val="000000" w:themeColor="text1"/>
                <w:lang w:val="ro-MD"/>
              </w:rPr>
              <w:t xml:space="preserve">, o pondere egală cu </w:t>
            </w:r>
            <w:r w:rsidR="00330DA2" w:rsidRPr="00C011B2">
              <w:rPr>
                <w:rFonts w:ascii="Times New Roman" w:hAnsi="Times New Roman" w:cs="Times New Roman"/>
                <w:color w:val="000000" w:themeColor="text1"/>
                <w:lang w:val="ro-MD"/>
              </w:rPr>
              <w:t>10 </w:t>
            </w:r>
            <w:r w:rsidR="009D7356" w:rsidRPr="00C011B2">
              <w:rPr>
                <w:rFonts w:ascii="Times New Roman" w:hAnsi="Times New Roman" w:cs="Times New Roman"/>
                <w:color w:val="000000" w:themeColor="text1"/>
                <w:lang w:val="ro-MD"/>
              </w:rPr>
              <w:t xml:space="preserve">% din ponderea de risc pe care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ar aplica-o poziției din afara portofoliului de tranzacționare, conform capitolul</w:t>
            </w:r>
            <w:r w:rsidRPr="00C011B2">
              <w:rPr>
                <w:rFonts w:ascii="Times New Roman" w:hAnsi="Times New Roman" w:cs="Times New Roman"/>
                <w:color w:val="000000" w:themeColor="text1"/>
                <w:lang w:val="ro-MD"/>
              </w:rPr>
              <w:t>ui</w:t>
            </w:r>
            <w:r w:rsidR="009D7356"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IV</w:t>
            </w:r>
            <w:r w:rsidR="009D7356" w:rsidRPr="00C011B2">
              <w:rPr>
                <w:rFonts w:ascii="Times New Roman" w:hAnsi="Times New Roman" w:cs="Times New Roman"/>
                <w:color w:val="000000" w:themeColor="text1"/>
                <w:lang w:val="ro-MD"/>
              </w:rPr>
              <w:t xml:space="preserve"> secțiunea 3</w:t>
            </w:r>
            <w:r w:rsidRPr="00C011B2">
              <w:rPr>
                <w:rFonts w:ascii="Times New Roman" w:hAnsi="Times New Roman" w:cs="Times New Roman"/>
                <w:color w:val="000000" w:themeColor="text1"/>
                <w:lang w:val="ro-MD"/>
              </w:rPr>
              <w:t xml:space="preserve"> din Regulamentul privind</w:t>
            </w:r>
            <w:r w:rsidR="00D7736B"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tratamentul prudenţial al securitizărilor, aprobat prin HCE al BNM nr.221/2025 (în continuare – Regulamentul nr.221/2025)</w:t>
            </w:r>
            <w:r w:rsidR="009D7356" w:rsidRPr="00C011B2">
              <w:rPr>
                <w:rFonts w:ascii="Times New Roman" w:hAnsi="Times New Roman" w:cs="Times New Roman"/>
                <w:color w:val="000000" w:themeColor="text1"/>
                <w:lang w:val="ro-MD"/>
              </w:rPr>
              <w:t>.</w:t>
            </w:r>
            <w:bookmarkEnd w:id="439"/>
          </w:p>
        </w:tc>
        <w:tc>
          <w:tcPr>
            <w:tcW w:w="450" w:type="pct"/>
          </w:tcPr>
          <w:p w14:paraId="18299659" w14:textId="5A60A056" w:rsidR="009D7356" w:rsidRPr="00C011B2" w:rsidRDefault="00330DA2"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Parțial </w:t>
            </w:r>
            <w:r w:rsidR="00317E14" w:rsidRPr="00C011B2">
              <w:rPr>
                <w:rFonts w:ascii="Times New Roman" w:hAnsi="Times New Roman" w:cs="Times New Roman"/>
                <w:color w:val="000000" w:themeColor="text1"/>
                <w:lang w:val="ro-MD"/>
              </w:rPr>
              <w:t>compatibil</w:t>
            </w:r>
          </w:p>
        </w:tc>
        <w:tc>
          <w:tcPr>
            <w:tcW w:w="1261" w:type="pct"/>
          </w:tcPr>
          <w:p w14:paraId="0E79A3C2" w14:textId="0DD5F314" w:rsidR="009D7356" w:rsidRPr="00C011B2" w:rsidRDefault="00B03320" w:rsidP="00B03320">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de 8% se va aplica de la data</w:t>
            </w:r>
            <w:r w:rsidRPr="00C011B2">
              <w:rPr>
                <w:lang w:val="ro-MD"/>
              </w:rPr>
              <w:t xml:space="preserve"> </w:t>
            </w:r>
            <w:r w:rsidRPr="00C011B2">
              <w:rPr>
                <w:rFonts w:ascii="Times New Roman" w:hAnsi="Times New Roman" w:cs="Times New Roman"/>
                <w:color w:val="000000" w:themeColor="text1"/>
                <w:lang w:val="ro-MD"/>
              </w:rPr>
              <w:t>intrării în vigoare a Tratatului de aderare a Republicii Moldova la Uniunea Europeană. Până la data respectivă se va aplica p</w:t>
            </w:r>
            <w:r w:rsidR="00330DA2" w:rsidRPr="00C011B2">
              <w:rPr>
                <w:rFonts w:ascii="Times New Roman" w:hAnsi="Times New Roman" w:cs="Times New Roman"/>
                <w:color w:val="000000" w:themeColor="text1"/>
                <w:lang w:val="ro-MD"/>
              </w:rPr>
              <w:t xml:space="preserve">onderea de risc </w:t>
            </w:r>
            <w:r w:rsidRPr="00C011B2">
              <w:rPr>
                <w:rFonts w:ascii="Times New Roman" w:hAnsi="Times New Roman" w:cs="Times New Roman"/>
                <w:color w:val="000000" w:themeColor="text1"/>
                <w:lang w:val="ro-MD"/>
              </w:rPr>
              <w:t>de 8% astfel cum stabilesc prevederile Regulamentului nr.109/2018</w:t>
            </w:r>
            <w:r w:rsidR="00330DA2"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cu privire la fondurile proprii ale băncilor şi cerinţele de capital.</w:t>
            </w:r>
          </w:p>
        </w:tc>
      </w:tr>
      <w:tr w:rsidR="009D7356" w:rsidRPr="00C011B2" w14:paraId="66348B4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2948C13"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49" w:tooltip="32024R1623: REPLACED" w:history="1">
              <w:r w:rsidR="009D7356" w:rsidRPr="00C011B2">
                <w:rPr>
                  <w:rStyle w:val="Hyperlink"/>
                  <w:rFonts w:ascii="Times New Roman" w:hAnsi="Times New Roman" w:cs="Times New Roman"/>
                  <w:b/>
                  <w:bCs/>
                  <w:lang w:val="ro-MD"/>
                </w:rPr>
                <w:t>▼M17</w:t>
              </w:r>
            </w:hyperlink>
          </w:p>
          <w:p w14:paraId="20AF9660" w14:textId="169EBA0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Atunci când determină ponderile de risc în sensul alineatului (1), instituțiile utilizează exclusiv abordarea prevăzută în titlul II capitolul 5 secțiunea 3.</w:t>
            </w:r>
          </w:p>
        </w:tc>
        <w:tc>
          <w:tcPr>
            <w:tcW w:w="1692" w:type="pct"/>
            <w:shd w:val="clear" w:color="auto" w:fill="auto"/>
          </w:tcPr>
          <w:p w14:paraId="0B289DF2" w14:textId="3E5C87E8" w:rsidR="009D7356" w:rsidRPr="00C011B2" w:rsidRDefault="008C6DA4" w:rsidP="009D7356">
            <w:pPr>
              <w:spacing w:after="0" w:line="276" w:lineRule="auto"/>
              <w:jc w:val="both"/>
              <w:rPr>
                <w:rFonts w:ascii="Times New Roman" w:hAnsi="Times New Roman" w:cs="Times New Roman"/>
                <w:color w:val="000000" w:themeColor="text1"/>
                <w:lang w:val="ro-MD"/>
              </w:rPr>
            </w:pPr>
            <w:bookmarkStart w:id="440" w:name="_Hlk224717116"/>
            <w:r w:rsidRPr="00C011B2">
              <w:rPr>
                <w:rFonts w:ascii="Times New Roman" w:hAnsi="Times New Roman" w:cs="Times New Roman"/>
                <w:color w:val="000000" w:themeColor="text1"/>
                <w:lang w:val="ro-MD"/>
              </w:rPr>
              <w:t>442.</w:t>
            </w:r>
            <w:r w:rsidR="009D7356" w:rsidRPr="00C011B2">
              <w:rPr>
                <w:rFonts w:ascii="Times New Roman" w:hAnsi="Times New Roman" w:cs="Times New Roman"/>
                <w:color w:val="000000" w:themeColor="text1"/>
                <w:lang w:val="ro-MD"/>
              </w:rPr>
              <w:t>   Atunci când determină ponderile de risc în sensul</w:t>
            </w:r>
            <w:r w:rsidR="00D60B29" w:rsidRPr="00C011B2">
              <w:rPr>
                <w:rFonts w:ascii="Times New Roman" w:hAnsi="Times New Roman" w:cs="Times New Roman"/>
                <w:color w:val="000000" w:themeColor="text1"/>
                <w:lang w:val="ro-MD"/>
              </w:rPr>
              <w:t>pct.441</w:t>
            </w:r>
            <w:r w:rsidR="009D7356" w:rsidRPr="00C011B2">
              <w:rPr>
                <w:rFonts w:ascii="Times New Roman" w:hAnsi="Times New Roman" w:cs="Times New Roman"/>
                <w:color w:val="000000" w:themeColor="text1"/>
                <w:lang w:val="ro-MD"/>
              </w:rPr>
              <w:t xml:space="preserve">, </w:t>
            </w:r>
            <w:r w:rsidR="00D60B29"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utilizează exclusiv abordarea prevăzută în capitolul </w:t>
            </w:r>
            <w:r w:rsidR="00D60B29" w:rsidRPr="00C011B2">
              <w:rPr>
                <w:rFonts w:ascii="Times New Roman" w:hAnsi="Times New Roman" w:cs="Times New Roman"/>
                <w:color w:val="000000" w:themeColor="text1"/>
                <w:lang w:val="ro-MD"/>
              </w:rPr>
              <w:t>IV</w:t>
            </w:r>
            <w:r w:rsidR="009D7356" w:rsidRPr="00C011B2">
              <w:rPr>
                <w:rFonts w:ascii="Times New Roman" w:hAnsi="Times New Roman" w:cs="Times New Roman"/>
                <w:color w:val="000000" w:themeColor="text1"/>
                <w:lang w:val="ro-MD"/>
              </w:rPr>
              <w:t xml:space="preserve"> secțiunea 3</w:t>
            </w:r>
            <w:r w:rsidR="00D60B29" w:rsidRPr="00C011B2">
              <w:rPr>
                <w:lang w:val="ro-MD"/>
              </w:rPr>
              <w:t xml:space="preserve"> </w:t>
            </w:r>
            <w:r w:rsidR="00D60B29" w:rsidRPr="00C011B2">
              <w:rPr>
                <w:rFonts w:ascii="Times New Roman" w:hAnsi="Times New Roman" w:cs="Times New Roman"/>
                <w:color w:val="000000" w:themeColor="text1"/>
                <w:lang w:val="ro-MD"/>
              </w:rPr>
              <w:t>din Regulamentul nr.221/2025</w:t>
            </w:r>
            <w:r w:rsidR="009D7356" w:rsidRPr="00C011B2">
              <w:rPr>
                <w:rFonts w:ascii="Times New Roman" w:hAnsi="Times New Roman" w:cs="Times New Roman"/>
                <w:color w:val="000000" w:themeColor="text1"/>
                <w:lang w:val="ro-MD"/>
              </w:rPr>
              <w:t>.</w:t>
            </w:r>
            <w:bookmarkEnd w:id="440"/>
          </w:p>
        </w:tc>
        <w:tc>
          <w:tcPr>
            <w:tcW w:w="450" w:type="pct"/>
          </w:tcPr>
          <w:p w14:paraId="304001D1" w14:textId="1AEA082A"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2926B8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AB5D6D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1208008"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0" w:tooltip="32017R2401: REPLACED" w:history="1">
              <w:r w:rsidR="009D7356" w:rsidRPr="00C011B2">
                <w:rPr>
                  <w:rStyle w:val="Hyperlink"/>
                  <w:rFonts w:ascii="Times New Roman" w:hAnsi="Times New Roman" w:cs="Times New Roman"/>
                  <w:b/>
                  <w:bCs/>
                  <w:lang w:val="ro-MD"/>
                </w:rPr>
                <w:t>▼M5</w:t>
              </w:r>
            </w:hyperlink>
          </w:p>
          <w:p w14:paraId="5778E726" w14:textId="03BE46A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pozițiilor din securitizare cărora li se aplică o pondere de risc suplimentară în conformitate cu articolul 247 alineatul (6), se aplică 8 % din ponderea de risc totală.</w:t>
            </w:r>
          </w:p>
        </w:tc>
        <w:tc>
          <w:tcPr>
            <w:tcW w:w="1692" w:type="pct"/>
            <w:shd w:val="clear" w:color="auto" w:fill="auto"/>
          </w:tcPr>
          <w:p w14:paraId="54487179" w14:textId="7C9C3FD6" w:rsidR="009D7356" w:rsidRPr="00C011B2" w:rsidRDefault="00D60B29" w:rsidP="009D7356">
            <w:pPr>
              <w:spacing w:after="0" w:line="276" w:lineRule="auto"/>
              <w:jc w:val="both"/>
              <w:rPr>
                <w:rFonts w:ascii="Times New Roman" w:hAnsi="Times New Roman" w:cs="Times New Roman"/>
                <w:color w:val="000000" w:themeColor="text1"/>
                <w:lang w:val="ro-MD"/>
              </w:rPr>
            </w:pPr>
            <w:bookmarkStart w:id="441" w:name="_Hlk224717140"/>
            <w:r w:rsidRPr="00C011B2">
              <w:rPr>
                <w:rFonts w:ascii="Times New Roman" w:hAnsi="Times New Roman" w:cs="Times New Roman"/>
                <w:color w:val="000000" w:themeColor="text1"/>
                <w:lang w:val="ro-MD"/>
              </w:rPr>
              <w:t>443.</w:t>
            </w:r>
            <w:r w:rsidR="009D7356" w:rsidRPr="00C011B2">
              <w:rPr>
                <w:rFonts w:ascii="Times New Roman" w:hAnsi="Times New Roman" w:cs="Times New Roman"/>
                <w:color w:val="000000" w:themeColor="text1"/>
                <w:lang w:val="ro-MD"/>
              </w:rPr>
              <w:t xml:space="preserve">   În cazul pozițiilor din securitizare cărora li se aplică o pondere de risc suplimentară în conformitate cu </w:t>
            </w:r>
            <w:r w:rsidRPr="00C011B2">
              <w:rPr>
                <w:rFonts w:ascii="Times New Roman" w:hAnsi="Times New Roman" w:cs="Times New Roman"/>
                <w:color w:val="000000" w:themeColor="text1"/>
                <w:lang w:val="ro-MD"/>
              </w:rPr>
              <w:t>pct.24 din Regulamentul nr.221/2025</w:t>
            </w:r>
            <w:r w:rsidR="009D7356" w:rsidRPr="00C011B2">
              <w:rPr>
                <w:rFonts w:ascii="Times New Roman" w:hAnsi="Times New Roman" w:cs="Times New Roman"/>
                <w:color w:val="000000" w:themeColor="text1"/>
                <w:lang w:val="ro-MD"/>
              </w:rPr>
              <w:t xml:space="preserve">, se aplică </w:t>
            </w:r>
            <w:r w:rsidR="00E73876" w:rsidRPr="00C011B2">
              <w:rPr>
                <w:rFonts w:ascii="Times New Roman" w:hAnsi="Times New Roman" w:cs="Times New Roman"/>
                <w:color w:val="000000" w:themeColor="text1"/>
                <w:lang w:val="ro-MD"/>
              </w:rPr>
              <w:t>10 </w:t>
            </w:r>
            <w:r w:rsidR="009D7356" w:rsidRPr="00C011B2">
              <w:rPr>
                <w:rFonts w:ascii="Times New Roman" w:hAnsi="Times New Roman" w:cs="Times New Roman"/>
                <w:color w:val="000000" w:themeColor="text1"/>
                <w:lang w:val="ro-MD"/>
              </w:rPr>
              <w:t>% din ponderea de risc totală.</w:t>
            </w:r>
            <w:bookmarkEnd w:id="441"/>
          </w:p>
        </w:tc>
        <w:tc>
          <w:tcPr>
            <w:tcW w:w="450" w:type="pct"/>
          </w:tcPr>
          <w:p w14:paraId="7A361289" w14:textId="21F04499"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Parțial </w:t>
            </w:r>
            <w:r w:rsidR="00317E14" w:rsidRPr="00C011B2">
              <w:rPr>
                <w:rFonts w:ascii="Times New Roman" w:hAnsi="Times New Roman" w:cs="Times New Roman"/>
                <w:color w:val="000000" w:themeColor="text1"/>
                <w:lang w:val="ro-MD"/>
              </w:rPr>
              <w:t>compatibil</w:t>
            </w:r>
          </w:p>
        </w:tc>
        <w:tc>
          <w:tcPr>
            <w:tcW w:w="1261" w:type="pct"/>
          </w:tcPr>
          <w:p w14:paraId="0771FAF9" w14:textId="05AC4D3C"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Ponderea de risc de 8% se va aplica de la data intrării în vigoare a Tratatului de aderare a Republicii Moldova la Uniunea Europeană. Până la data respectivă se va aplica ponderea de risc de 8% astfel cum stabilesc prevederile Regulamentului </w:t>
            </w:r>
            <w:r w:rsidRPr="00C011B2">
              <w:rPr>
                <w:rFonts w:ascii="Times New Roman" w:hAnsi="Times New Roman" w:cs="Times New Roman"/>
                <w:color w:val="000000" w:themeColor="text1"/>
                <w:lang w:val="ro-MD"/>
              </w:rPr>
              <w:lastRenderedPageBreak/>
              <w:t>nr.109/2018 cu privire la fondurile proprii ale băncilor şi cerinţele de capital.</w:t>
            </w:r>
          </w:p>
        </w:tc>
      </w:tr>
      <w:tr w:rsidR="009D7356" w:rsidRPr="00C011B2" w14:paraId="54D5083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19033B"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1" w:tooltip="32024R1623: REPLACED" w:history="1">
              <w:r w:rsidR="009D7356" w:rsidRPr="00C011B2">
                <w:rPr>
                  <w:rStyle w:val="Hyperlink"/>
                  <w:rFonts w:ascii="Times New Roman" w:hAnsi="Times New Roman" w:cs="Times New Roman"/>
                  <w:b/>
                  <w:bCs/>
                  <w:lang w:val="ro-MD"/>
                </w:rPr>
                <w:t>▼M17</w:t>
              </w:r>
            </w:hyperlink>
          </w:p>
          <w:p w14:paraId="2B521409" w14:textId="32A170B8"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Instituția însumează pozițiile sale ponderate care rezultă din aplicarea alineatelor (1), (2) și (3) de la prezentul articol, indiferent dacă acestea sunt lungi sau scurte, pentru a-și calcula cerința de fonduri proprii pentru un risc specific, cu excepția pozițiilor din securitizare cărora li se aplică articolul 338 alineatul (2).</w:t>
            </w:r>
          </w:p>
        </w:tc>
        <w:tc>
          <w:tcPr>
            <w:tcW w:w="1692" w:type="pct"/>
            <w:shd w:val="clear" w:color="auto" w:fill="auto"/>
          </w:tcPr>
          <w:p w14:paraId="06D76EA5" w14:textId="369F3C5F" w:rsidR="009D7356" w:rsidRPr="00C011B2" w:rsidRDefault="00D60B29" w:rsidP="009D7356">
            <w:pPr>
              <w:spacing w:after="0" w:line="276" w:lineRule="auto"/>
              <w:jc w:val="both"/>
              <w:rPr>
                <w:rFonts w:ascii="Times New Roman" w:hAnsi="Times New Roman" w:cs="Times New Roman"/>
                <w:color w:val="000000" w:themeColor="text1"/>
                <w:lang w:val="ro-MD"/>
              </w:rPr>
            </w:pPr>
            <w:bookmarkStart w:id="442" w:name="_Hlk224717178"/>
            <w:r w:rsidRPr="00C011B2">
              <w:rPr>
                <w:rFonts w:ascii="Times New Roman" w:hAnsi="Times New Roman" w:cs="Times New Roman"/>
                <w:color w:val="000000" w:themeColor="text1"/>
                <w:lang w:val="ro-MD"/>
              </w:rPr>
              <w:t>444.</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însumează pozițiile sale ponderate care rezultă din aplicarea </w:t>
            </w:r>
            <w:r w:rsidRPr="00C011B2">
              <w:rPr>
                <w:rFonts w:ascii="Times New Roman" w:hAnsi="Times New Roman" w:cs="Times New Roman"/>
                <w:color w:val="000000" w:themeColor="text1"/>
                <w:lang w:val="ro-MD"/>
              </w:rPr>
              <w:t>pct.441-443</w:t>
            </w:r>
            <w:r w:rsidR="009D7356" w:rsidRPr="00C011B2">
              <w:rPr>
                <w:rFonts w:ascii="Times New Roman" w:hAnsi="Times New Roman" w:cs="Times New Roman"/>
                <w:color w:val="000000" w:themeColor="text1"/>
                <w:lang w:val="ro-MD"/>
              </w:rPr>
              <w:t>, indiferent dacă acestea sunt lungi sau scurte, pentru a-și calcula cerința de fonduri proprii pentru un risc specific, cu excepția pozițiilor din securitizare cărora li se aplică</w:t>
            </w:r>
            <w:r w:rsidR="00536C3D" w:rsidRPr="00C011B2">
              <w:rPr>
                <w:rFonts w:ascii="Times New Roman" w:hAnsi="Times New Roman" w:cs="Times New Roman"/>
                <w:color w:val="000000" w:themeColor="text1"/>
                <w:lang w:val="ro-MD"/>
              </w:rPr>
              <w:t>pct.448</w:t>
            </w:r>
            <w:r w:rsidR="009D7356" w:rsidRPr="00C011B2">
              <w:rPr>
                <w:rFonts w:ascii="Times New Roman" w:hAnsi="Times New Roman" w:cs="Times New Roman"/>
                <w:color w:val="000000" w:themeColor="text1"/>
                <w:lang w:val="ro-MD"/>
              </w:rPr>
              <w:t>.</w:t>
            </w:r>
            <w:bookmarkEnd w:id="442"/>
          </w:p>
        </w:tc>
        <w:tc>
          <w:tcPr>
            <w:tcW w:w="450" w:type="pct"/>
          </w:tcPr>
          <w:p w14:paraId="11BC6D76" w14:textId="71AEE551"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4C0003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33F835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E44EB66"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2" w:tooltip="32017R2401: REPLACED" w:history="1">
              <w:r w:rsidR="009D7356" w:rsidRPr="00C011B2">
                <w:rPr>
                  <w:rStyle w:val="Hyperlink"/>
                  <w:rFonts w:ascii="Times New Roman" w:hAnsi="Times New Roman" w:cs="Times New Roman"/>
                  <w:b/>
                  <w:bCs/>
                  <w:lang w:val="ro-MD"/>
                </w:rPr>
                <w:t>▼M5</w:t>
              </w:r>
            </w:hyperlink>
          </w:p>
          <w:p w14:paraId="02C312A9" w14:textId="299E239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În cazul în care instituția inițiatoare a unei securitizări tradiționale nu îndeplinește condițiile necesare pentru transferul unei părți semnificative a riscului prevăzute la articolul 244, instituția inițiatoare include expunerile-suport din securitizare în calculul său referitor la cerința de fonduri proprii, ca și cum aceste expuneri nu ar fi fost securitizate.</w:t>
            </w:r>
          </w:p>
          <w:p w14:paraId="13C6DDE2" w14:textId="32C8F2A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 cazul în care instituția inițiatoare a unei securitizări sintetice nu îndeplinește condițiile necesare pentru transferul unei părți semnificative a riscului prevăzute la articolul 245, instituția inițiatoare include expunerile-suport din securitizare în calculul său referitor la cerințele de fonduri proprii, ca și cum aceste </w:t>
            </w:r>
            <w:r w:rsidRPr="00C011B2">
              <w:rPr>
                <w:rFonts w:ascii="Times New Roman" w:hAnsi="Times New Roman" w:cs="Times New Roman"/>
                <w:color w:val="000000" w:themeColor="text1"/>
                <w:lang w:val="ro-MD"/>
              </w:rPr>
              <w:lastRenderedPageBreak/>
              <w:t>expuneri nu ar fi fost securitizate și nu ține seama de efectul securitizării sintetice în scopul protecției creditului.</w:t>
            </w:r>
          </w:p>
        </w:tc>
        <w:tc>
          <w:tcPr>
            <w:tcW w:w="1692" w:type="pct"/>
            <w:shd w:val="clear" w:color="auto" w:fill="auto"/>
          </w:tcPr>
          <w:p w14:paraId="16B22905" w14:textId="4D87DA19" w:rsidR="009D7356" w:rsidRPr="00C011B2" w:rsidRDefault="00D60B29" w:rsidP="009D7356">
            <w:pPr>
              <w:spacing w:after="0" w:line="276" w:lineRule="auto"/>
              <w:jc w:val="both"/>
              <w:rPr>
                <w:rFonts w:ascii="Times New Roman" w:hAnsi="Times New Roman" w:cs="Times New Roman"/>
                <w:color w:val="000000" w:themeColor="text1"/>
                <w:lang w:val="ro-MD"/>
              </w:rPr>
            </w:pPr>
            <w:bookmarkStart w:id="443" w:name="_Hlk224717200"/>
            <w:r w:rsidRPr="00C011B2">
              <w:rPr>
                <w:rFonts w:ascii="Times New Roman" w:hAnsi="Times New Roman" w:cs="Times New Roman"/>
                <w:color w:val="000000" w:themeColor="text1"/>
                <w:lang w:val="ro-MD"/>
              </w:rPr>
              <w:lastRenderedPageBreak/>
              <w:t>445.</w:t>
            </w:r>
            <w:r w:rsidR="009D7356" w:rsidRPr="00C011B2">
              <w:rPr>
                <w:rFonts w:ascii="Times New Roman" w:hAnsi="Times New Roman" w:cs="Times New Roman"/>
                <w:color w:val="000000" w:themeColor="text1"/>
                <w:lang w:val="ro-MD"/>
              </w:rPr>
              <w:t xml:space="preserve"> În cazul în care </w:t>
            </w:r>
            <w:r w:rsidR="00536C3D"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inițiatoare a unei securitizări tradiționale nu îndeplinește condițiile necesare pentru transferul unei părți semnificative a riscului prevăzute la </w:t>
            </w:r>
            <w:r w:rsidR="00536C3D" w:rsidRPr="00C011B2">
              <w:rPr>
                <w:rFonts w:ascii="Times New Roman" w:hAnsi="Times New Roman" w:cs="Times New Roman"/>
                <w:color w:val="000000" w:themeColor="text1"/>
                <w:lang w:val="ro-MD"/>
              </w:rPr>
              <w:t>capitolul III secțiunea 1 din Regulamentul nr.221/2025</w:t>
            </w:r>
            <w:r w:rsidR="009D7356" w:rsidRPr="00C011B2">
              <w:rPr>
                <w:rFonts w:ascii="Times New Roman" w:hAnsi="Times New Roman" w:cs="Times New Roman"/>
                <w:color w:val="000000" w:themeColor="text1"/>
                <w:lang w:val="ro-MD"/>
              </w:rPr>
              <w:t xml:space="preserve">, </w:t>
            </w:r>
            <w:r w:rsidR="00536C3D"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inițiatoare include expunerile-suport din securitizare în calculul său referitor la cerința de fonduri proprii, ca și cum aceste expuneri nu ar fi fost securitizate.</w:t>
            </w:r>
          </w:p>
          <w:p w14:paraId="4F3ADBA0" w14:textId="70497823" w:rsidR="009D7356" w:rsidRPr="00C011B2" w:rsidRDefault="00D60B29"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446. </w:t>
            </w:r>
            <w:r w:rsidR="009D7356" w:rsidRPr="00C011B2">
              <w:rPr>
                <w:rFonts w:ascii="Times New Roman" w:hAnsi="Times New Roman" w:cs="Times New Roman"/>
                <w:color w:val="000000" w:themeColor="text1"/>
                <w:lang w:val="ro-MD"/>
              </w:rPr>
              <w:t xml:space="preserve">În cazul în care </w:t>
            </w:r>
            <w:r w:rsidR="00536C3D"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inițiatoare a unei securitizări sintetice nu îndeplinește condițiile necesare pentru transferul unei părți semnificative a riscului prevăzute la </w:t>
            </w:r>
            <w:r w:rsidR="00536C3D" w:rsidRPr="00C011B2">
              <w:rPr>
                <w:rFonts w:ascii="Times New Roman" w:hAnsi="Times New Roman" w:cs="Times New Roman"/>
                <w:color w:val="000000" w:themeColor="text1"/>
                <w:lang w:val="ro-MD"/>
              </w:rPr>
              <w:t>capitolul III secțiunea 2 din Regulamentul nr.221/2025</w:t>
            </w:r>
            <w:r w:rsidR="009D7356" w:rsidRPr="00C011B2">
              <w:rPr>
                <w:rFonts w:ascii="Times New Roman" w:hAnsi="Times New Roman" w:cs="Times New Roman"/>
                <w:color w:val="000000" w:themeColor="text1"/>
                <w:lang w:val="ro-MD"/>
              </w:rPr>
              <w:t xml:space="preserve">, </w:t>
            </w:r>
            <w:r w:rsidR="00536C3D"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inițiatoare include expunerile-suport din securitizare în calculul său referitor la cerințele de fonduri proprii, ca și cum aceste expuneri nu ar fi fost securitizate și nu ține </w:t>
            </w:r>
            <w:r w:rsidR="009D7356" w:rsidRPr="00C011B2">
              <w:rPr>
                <w:rFonts w:ascii="Times New Roman" w:hAnsi="Times New Roman" w:cs="Times New Roman"/>
                <w:color w:val="000000" w:themeColor="text1"/>
                <w:lang w:val="ro-MD"/>
              </w:rPr>
              <w:lastRenderedPageBreak/>
              <w:t>seama de efectul securitizării sintetice în scopul protecției creditului.</w:t>
            </w:r>
            <w:bookmarkEnd w:id="443"/>
          </w:p>
        </w:tc>
        <w:tc>
          <w:tcPr>
            <w:tcW w:w="450" w:type="pct"/>
          </w:tcPr>
          <w:p w14:paraId="20086FA1" w14:textId="5100283B"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EAF398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296C04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B4D5912"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3" w:tooltip="32024R1623: REPLACED" w:history="1">
              <w:r w:rsidR="009D7356" w:rsidRPr="00C011B2">
                <w:rPr>
                  <w:rStyle w:val="Hyperlink"/>
                  <w:rFonts w:ascii="Times New Roman" w:hAnsi="Times New Roman" w:cs="Times New Roman"/>
                  <w:b/>
                  <w:bCs/>
                  <w:lang w:val="ro-MD"/>
                </w:rPr>
                <w:t>▼M17</w:t>
              </w:r>
            </w:hyperlink>
          </w:p>
          <w:p w14:paraId="315EB180"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338</w:t>
            </w:r>
          </w:p>
          <w:p w14:paraId="36455B69" w14:textId="4CC28A9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Cerință de fonduri proprii pentru portofoliul de tranzacționare pe bază de corelație</w:t>
            </w:r>
          </w:p>
        </w:tc>
        <w:tc>
          <w:tcPr>
            <w:tcW w:w="1692" w:type="pct"/>
            <w:shd w:val="clear" w:color="auto" w:fill="auto"/>
          </w:tcPr>
          <w:p w14:paraId="1DD0A36A" w14:textId="2CACE85E" w:rsidR="009D7356" w:rsidRPr="00C011B2" w:rsidRDefault="00536C3D" w:rsidP="009D7356">
            <w:pPr>
              <w:spacing w:after="0" w:line="276" w:lineRule="auto"/>
              <w:jc w:val="both"/>
              <w:rPr>
                <w:rFonts w:ascii="Times New Roman" w:hAnsi="Times New Roman" w:cs="Times New Roman"/>
                <w:color w:val="000000" w:themeColor="text1"/>
                <w:lang w:val="ro-MD"/>
              </w:rPr>
            </w:pPr>
            <w:bookmarkStart w:id="444" w:name="_Hlk195099714"/>
            <w:r w:rsidRPr="00C011B2">
              <w:rPr>
                <w:rFonts w:ascii="Times New Roman" w:hAnsi="Times New Roman" w:cs="Times New Roman"/>
                <w:i/>
                <w:iCs/>
                <w:color w:val="000000" w:themeColor="text1"/>
                <w:lang w:val="ro-MD"/>
              </w:rPr>
              <w:t xml:space="preserve">Paragraful 4. </w:t>
            </w:r>
            <w:r w:rsidR="009D7356" w:rsidRPr="00C011B2">
              <w:rPr>
                <w:rFonts w:ascii="Times New Roman" w:hAnsi="Times New Roman" w:cs="Times New Roman"/>
                <w:b/>
                <w:bCs/>
                <w:color w:val="000000" w:themeColor="text1"/>
                <w:lang w:val="ro-MD"/>
              </w:rPr>
              <w:t>Cerință de fonduri proprii pentru portofoliul de tranzacționare pe bază de corelație</w:t>
            </w:r>
            <w:bookmarkEnd w:id="444"/>
          </w:p>
        </w:tc>
        <w:tc>
          <w:tcPr>
            <w:tcW w:w="450" w:type="pct"/>
          </w:tcPr>
          <w:p w14:paraId="6819CBE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40B1730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2DE318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D4A02D1" w14:textId="1821B16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sensul prezentului articol, o instituție își stabilește portofoliul de tranzacționare pe bază de corelație în conformitate cu articolul 325 alineatele (6), (7) și (8).</w:t>
            </w:r>
          </w:p>
        </w:tc>
        <w:tc>
          <w:tcPr>
            <w:tcW w:w="1692" w:type="pct"/>
            <w:shd w:val="clear" w:color="auto" w:fill="auto"/>
          </w:tcPr>
          <w:p w14:paraId="7B5AE337" w14:textId="6479BDA8" w:rsidR="009D7356" w:rsidRPr="00C011B2" w:rsidRDefault="00D60B29" w:rsidP="009D7356">
            <w:pPr>
              <w:spacing w:after="0" w:line="276" w:lineRule="auto"/>
              <w:jc w:val="both"/>
              <w:rPr>
                <w:rFonts w:ascii="Times New Roman" w:hAnsi="Times New Roman" w:cs="Times New Roman"/>
                <w:color w:val="000000" w:themeColor="text1"/>
                <w:lang w:val="ro-MD"/>
              </w:rPr>
            </w:pPr>
            <w:bookmarkStart w:id="445" w:name="_Hlk224717294"/>
            <w:r w:rsidRPr="00C011B2">
              <w:rPr>
                <w:rFonts w:ascii="Times New Roman" w:hAnsi="Times New Roman" w:cs="Times New Roman"/>
                <w:color w:val="000000" w:themeColor="text1"/>
                <w:lang w:val="ro-MD"/>
              </w:rPr>
              <w:t>447.</w:t>
            </w:r>
            <w:r w:rsidR="009D7356" w:rsidRPr="00C011B2">
              <w:rPr>
                <w:rFonts w:ascii="Times New Roman" w:hAnsi="Times New Roman" w:cs="Times New Roman"/>
                <w:color w:val="000000" w:themeColor="text1"/>
                <w:lang w:val="ro-MD"/>
              </w:rPr>
              <w:t>   În sensul prezentului articol, o </w:t>
            </w:r>
            <w:r w:rsidR="00536C3D"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 xml:space="preserve">își stabilește portofoliul de tranzacționare pe bază de corelație în conformitate cu </w:t>
            </w:r>
            <w:r w:rsidR="00D7736B" w:rsidRPr="00C011B2">
              <w:rPr>
                <w:rFonts w:ascii="Times New Roman" w:hAnsi="Times New Roman" w:cs="Times New Roman"/>
                <w:color w:val="000000" w:themeColor="text1"/>
                <w:lang w:val="ro-MD"/>
              </w:rPr>
              <w:t>pct.75-78</w:t>
            </w:r>
            <w:r w:rsidR="009D7356" w:rsidRPr="00C011B2">
              <w:rPr>
                <w:rFonts w:ascii="Times New Roman" w:hAnsi="Times New Roman" w:cs="Times New Roman"/>
                <w:color w:val="000000" w:themeColor="text1"/>
                <w:lang w:val="ro-MD"/>
              </w:rPr>
              <w:t>.</w:t>
            </w:r>
            <w:bookmarkEnd w:id="445"/>
          </w:p>
        </w:tc>
        <w:tc>
          <w:tcPr>
            <w:tcW w:w="450" w:type="pct"/>
          </w:tcPr>
          <w:p w14:paraId="68CBA645" w14:textId="22D17504"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7B6977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9D5CF2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964EEA" w14:textId="44D9989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O instituție determină cel mai mare dintre următoarele cuantumuri ca cerință de fonduri proprii pentru riscul specific în ceea ce privește portofoliul de tranzacționare pe bază de corelație:</w:t>
            </w:r>
          </w:p>
          <w:p w14:paraId="51688E48" w14:textId="6AC04F2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cerința totală de fonduri proprii pentru riscul specific care s-ar aplica exclusiv pozițiilor nete lungi din portofoliul de tranzacționare pe bază de corelație;</w:t>
            </w:r>
          </w:p>
          <w:p w14:paraId="200CED90" w14:textId="6862F05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cerința totală de fonduri proprii pentru riscul specific care s-ar aplica exclusiv pozițiilor nete scurte din portofoliul de tranzacționare pe bază de corelație.</w:t>
            </w:r>
          </w:p>
        </w:tc>
        <w:tc>
          <w:tcPr>
            <w:tcW w:w="1692" w:type="pct"/>
            <w:shd w:val="clear" w:color="auto" w:fill="auto"/>
          </w:tcPr>
          <w:p w14:paraId="19C776FA" w14:textId="6978B0B3" w:rsidR="009D7356" w:rsidRPr="00C011B2" w:rsidRDefault="00D60B29" w:rsidP="009D7356">
            <w:pPr>
              <w:spacing w:after="0" w:line="276" w:lineRule="auto"/>
              <w:jc w:val="both"/>
              <w:rPr>
                <w:rFonts w:ascii="Times New Roman" w:hAnsi="Times New Roman" w:cs="Times New Roman"/>
                <w:color w:val="000000" w:themeColor="text1"/>
                <w:lang w:val="ro-MD"/>
              </w:rPr>
            </w:pPr>
            <w:bookmarkStart w:id="446" w:name="_Hlk224717320"/>
            <w:r w:rsidRPr="00C011B2">
              <w:rPr>
                <w:rFonts w:ascii="Times New Roman" w:hAnsi="Times New Roman" w:cs="Times New Roman"/>
                <w:color w:val="000000" w:themeColor="text1"/>
                <w:lang w:val="ro-MD"/>
              </w:rPr>
              <w:t>448</w:t>
            </w:r>
            <w:r w:rsidR="004778A0" w:rsidRPr="00C011B2">
              <w:rPr>
                <w:rFonts w:ascii="Times New Roman" w:hAnsi="Times New Roman" w:cs="Times New Roman"/>
                <w:color w:val="000000" w:themeColor="text1"/>
                <w:lang w:val="ro-MD"/>
              </w:rPr>
              <w:t>.</w:t>
            </w:r>
            <w:r w:rsidR="009D7356" w:rsidRPr="00C011B2">
              <w:rPr>
                <w:rFonts w:ascii="Times New Roman" w:hAnsi="Times New Roman" w:cs="Times New Roman"/>
                <w:color w:val="000000" w:themeColor="text1"/>
                <w:lang w:val="ro-MD"/>
              </w:rPr>
              <w:t xml:space="preserve">   O </w:t>
            </w:r>
            <w:r w:rsidR="004778A0"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determină cel mai mare dintre următoarele cuantumuri ca cerință de fonduri proprii pentru riscul specific în ceea ce privește portofoliul de tranzacționare pe bază de corelație:</w:t>
            </w:r>
          </w:p>
          <w:p w14:paraId="142C0D2B" w14:textId="561FB6B7"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448.1.</w:t>
            </w:r>
            <w:r w:rsidR="009D7356" w:rsidRPr="00C011B2">
              <w:rPr>
                <w:rFonts w:ascii="Times New Roman" w:hAnsi="Times New Roman" w:cs="Times New Roman"/>
                <w:color w:val="000000" w:themeColor="text1"/>
                <w:lang w:val="ro-MD"/>
              </w:rPr>
              <w:t> cerința totală de fonduri proprii pentru riscul specific care s-ar aplica exclusiv pozițiilor nete lungi din portofoliul de tranzacționare pe bază de corelație;</w:t>
            </w:r>
          </w:p>
          <w:p w14:paraId="2B026C7B" w14:textId="19B175B5"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448.2.</w:t>
            </w:r>
            <w:r w:rsidR="009D7356" w:rsidRPr="00C011B2">
              <w:rPr>
                <w:rFonts w:ascii="Times New Roman" w:hAnsi="Times New Roman" w:cs="Times New Roman"/>
                <w:color w:val="000000" w:themeColor="text1"/>
                <w:lang w:val="ro-MD"/>
              </w:rPr>
              <w:t> cerința totală de fonduri proprii pentru riscul specific care s-ar aplica exclusiv pozițiilor nete scurte din portofoliul de tranzacționare pe bază de corelație.</w:t>
            </w:r>
            <w:bookmarkEnd w:id="446"/>
          </w:p>
        </w:tc>
        <w:tc>
          <w:tcPr>
            <w:tcW w:w="450" w:type="pct"/>
          </w:tcPr>
          <w:p w14:paraId="170862E2" w14:textId="6B1D3C0A" w:rsidR="009D7356" w:rsidRPr="00C011B2" w:rsidRDefault="00317E14"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7C6346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260810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C8DEEE"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4" w:tooltip="32013R0575R(02): REPLACED" w:history="1">
              <w:r w:rsidR="009D7356" w:rsidRPr="00C011B2">
                <w:rPr>
                  <w:rStyle w:val="Hyperlink"/>
                  <w:rFonts w:ascii="Times New Roman" w:hAnsi="Times New Roman" w:cs="Times New Roman"/>
                  <w:b/>
                  <w:bCs/>
                  <w:lang w:val="ro-MD"/>
                </w:rPr>
                <w:t>▼C2</w:t>
              </w:r>
            </w:hyperlink>
          </w:p>
          <w:p w14:paraId="111D1B6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Subsecțiunea 2</w:t>
            </w:r>
          </w:p>
          <w:p w14:paraId="24B0976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Risc general</w:t>
            </w:r>
          </w:p>
          <w:p w14:paraId="25AC4C17"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339</w:t>
            </w:r>
          </w:p>
          <w:p w14:paraId="710A1BEC" w14:textId="157F22C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lastRenderedPageBreak/>
              <w:t>Calcularea riscului general pe baza scadenței</w:t>
            </w:r>
          </w:p>
        </w:tc>
        <w:tc>
          <w:tcPr>
            <w:tcW w:w="1692" w:type="pct"/>
            <w:shd w:val="clear" w:color="auto" w:fill="auto"/>
          </w:tcPr>
          <w:p w14:paraId="5E89226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447" w:name="_Hlk195099738"/>
            <w:r w:rsidRPr="00C011B2">
              <w:rPr>
                <w:rFonts w:ascii="Times New Roman" w:hAnsi="Times New Roman" w:cs="Times New Roman"/>
                <w:color w:val="000000" w:themeColor="text1"/>
                <w:lang w:val="ro-MD"/>
              </w:rPr>
              <w:lastRenderedPageBreak/>
              <w:t>Subsecțiunea 2</w:t>
            </w:r>
          </w:p>
          <w:p w14:paraId="4DFA177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Risc general</w:t>
            </w:r>
          </w:p>
          <w:p w14:paraId="2BDE2179" w14:textId="71C2F03E"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Paragraful 1. </w:t>
            </w:r>
            <w:r w:rsidR="009D7356" w:rsidRPr="00C011B2">
              <w:rPr>
                <w:rFonts w:ascii="Times New Roman" w:hAnsi="Times New Roman" w:cs="Times New Roman"/>
                <w:b/>
                <w:bCs/>
                <w:color w:val="000000" w:themeColor="text1"/>
                <w:lang w:val="ro-MD"/>
              </w:rPr>
              <w:t>Calcularea riscului general pe baza scadenței</w:t>
            </w:r>
            <w:bookmarkEnd w:id="447"/>
          </w:p>
        </w:tc>
        <w:tc>
          <w:tcPr>
            <w:tcW w:w="450" w:type="pct"/>
          </w:tcPr>
          <w:p w14:paraId="03B6F8C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1D737BC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CC71B9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BEDFA4" w14:textId="2112211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vederea calculării cerințelor de fonduri proprii pentru acoperirea riscului general, toate pozițiile se ponderează corespunzător scadenței, astfel cum se explică la alineatul (2), în vederea calculării cerinței de fonduri proprii necesare pentru acoperirea acestora. Această cerință se reduce în cazul în care o poziție ponderată este deținută în paralel cu o poziție ponderată de semn opus, în cadrul aceleiași benzi de scadență. Reducerea cerinței se efectuează de asemenea în cazul în care pozițiile ponderate de semn opus se încadrează în benzi de scadență diferite, nivelul reducerii depinzând atât de faptul că cele două poziții aparțin sau nu aceleiași zone, cât și de zonele specifice în care se încadrează.</w:t>
            </w:r>
          </w:p>
        </w:tc>
        <w:tc>
          <w:tcPr>
            <w:tcW w:w="1692" w:type="pct"/>
            <w:shd w:val="clear" w:color="auto" w:fill="auto"/>
          </w:tcPr>
          <w:p w14:paraId="20967298" w14:textId="60ECE497"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48" w:name="_Hlk224717379"/>
            <w:r w:rsidRPr="00C011B2">
              <w:rPr>
                <w:rFonts w:ascii="Times New Roman" w:hAnsi="Times New Roman" w:cs="Times New Roman"/>
                <w:color w:val="000000" w:themeColor="text1"/>
                <w:lang w:val="ro-MD"/>
              </w:rPr>
              <w:t>449.</w:t>
            </w:r>
            <w:r w:rsidR="009D7356" w:rsidRPr="00C011B2">
              <w:rPr>
                <w:rFonts w:ascii="Times New Roman" w:hAnsi="Times New Roman" w:cs="Times New Roman"/>
                <w:color w:val="000000" w:themeColor="text1"/>
                <w:lang w:val="ro-MD"/>
              </w:rPr>
              <w:t> În vederea calculării cerințelor de fonduri proprii pentru acoperirea riscului general, toate pozițiile se ponderează corespunzător scadenței, astfel cum se explică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pct.450</w:t>
            </w:r>
            <w:r w:rsidR="009D7356" w:rsidRPr="00C011B2">
              <w:rPr>
                <w:rFonts w:ascii="Times New Roman" w:hAnsi="Times New Roman" w:cs="Times New Roman"/>
                <w:color w:val="000000" w:themeColor="text1"/>
                <w:lang w:val="ro-MD"/>
              </w:rPr>
              <w:t>, în vederea calculării cerinței de fonduri proprii necesare pentru acoperirea acestora. Această cerință se reduce în cazul în care o poziție ponderată este deținută în paralel cu o poziție ponderată de semn opus, în cadrul aceleiași benzi de scadență. Reducerea cerinței se efectuează de asemenea în cazul în care pozițiile ponderate de semn opus se încadrează în benzi de scadență diferite, nivelul reducerii depinzând atât de faptul că cele două poziții aparțin sau nu aceleiași zone, cât și de zonele specifice în care se încadrează.</w:t>
            </w:r>
            <w:bookmarkEnd w:id="448"/>
          </w:p>
        </w:tc>
        <w:tc>
          <w:tcPr>
            <w:tcW w:w="450" w:type="pct"/>
          </w:tcPr>
          <w:p w14:paraId="46B6E6CB" w14:textId="12DDE62E"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1C0CEB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EC3ECF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EFFF409" w14:textId="5BD490D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Instituția încadrează pozițiile nete în benzile de scadență corespunzătoare din coloana 2 sau, după caz, coloana 3 a tabelului 2 de la alineatul (4). Instituția realizează acest lucru pe baza scadenței reziduale, în cazul instrumentelor cu rată fixă și pe baza perioadei rămase până la următoarea fixare a ratei dobânzii, în cazul instrumentelor la care rata dobânzii este variabilă înainte de scadența finală. Instituția face, de asemenea, distincție între instrumentele de datorie cu un cupon de 3 % sau mai mult și cele cu un cupon sub 3 % și, în </w:t>
            </w:r>
            <w:r w:rsidRPr="00C011B2">
              <w:rPr>
                <w:rFonts w:ascii="Times New Roman" w:hAnsi="Times New Roman" w:cs="Times New Roman"/>
                <w:color w:val="000000" w:themeColor="text1"/>
                <w:lang w:val="ro-MD"/>
              </w:rPr>
              <w:lastRenderedPageBreak/>
              <w:t>consecință, le încadrează în coloana 2 sau coloana 3 a tabelului 2. Apoi, instituția le înmulțește pe fiecare dintre acestea cu ponderea aferentă benzii de scadență în cauză din coloana 4 a tabelului 2.</w:t>
            </w:r>
          </w:p>
        </w:tc>
        <w:tc>
          <w:tcPr>
            <w:tcW w:w="1692" w:type="pct"/>
            <w:shd w:val="clear" w:color="auto" w:fill="auto"/>
          </w:tcPr>
          <w:p w14:paraId="5C41ACEC" w14:textId="4134DADD"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49" w:name="_Hlk224717401"/>
            <w:r w:rsidRPr="00C011B2">
              <w:rPr>
                <w:rFonts w:ascii="Times New Roman" w:hAnsi="Times New Roman" w:cs="Times New Roman"/>
                <w:color w:val="000000" w:themeColor="text1"/>
                <w:lang w:val="ro-MD"/>
              </w:rPr>
              <w:lastRenderedPageBreak/>
              <w:t>450.</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încadrează pozițiile nete în benzile de scadență corespunzătoare din coloana 2 sau, după caz, coloana 3 a tabelului 2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pct.452</w:t>
            </w:r>
            <w:r w:rsidR="009D7356"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realizează acest lucru pe baza scadenței reziduale, în cazul instrumentelor cu rată fixă și pe baza perioadei rămase până la următoarea fixare a ratei dobânzii, în cazul instrumentelor la care rata dobânzii este variabilă înainte de scadența finală.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face, de asemenea, distincție între instrumentele de datorie cu un cupon de 3 % sau mai mult și cele cu un cupon sub 3 % și, în consecință, le </w:t>
            </w:r>
            <w:r w:rsidR="009D7356" w:rsidRPr="00C011B2">
              <w:rPr>
                <w:rFonts w:ascii="Times New Roman" w:hAnsi="Times New Roman" w:cs="Times New Roman"/>
                <w:color w:val="000000" w:themeColor="text1"/>
                <w:lang w:val="ro-MD"/>
              </w:rPr>
              <w:lastRenderedPageBreak/>
              <w:t xml:space="preserve">încadrează în coloana 2 sau coloana 3 a tabelului 2. Apoi,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le înmulțește pe fiecare dintre acestea cu ponderea aferentă benzii de scadență în cauză din coloana 4 a tabelului 2.</w:t>
            </w:r>
            <w:bookmarkEnd w:id="449"/>
          </w:p>
        </w:tc>
        <w:tc>
          <w:tcPr>
            <w:tcW w:w="450" w:type="pct"/>
          </w:tcPr>
          <w:p w14:paraId="5E93C7A7" w14:textId="6AA24B04"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65F3D6A"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72D61C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A7B6C0" w14:textId="72D4768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Ulterior, instituția calculează suma pozițiilor lungi ponderate și suma pozițiilor scurte ponderate din fiecare dintre benzile de scadență. Suma rezultată din punerea în corespondență a celor două sume amintite, într-o bandă de scadență dată, reprezintă poziția ponderată pusă în corespondență în acea bandă, în timp ce poziția lungă reziduală sau poziția scurtă reziduală reprezintă poziția ponderată nepusă în corespondență în aceeași bandă. Apoi, se calculează totalul pozițiilor ponderate puse în corespondență din toate benzile.</w:t>
            </w:r>
          </w:p>
        </w:tc>
        <w:tc>
          <w:tcPr>
            <w:tcW w:w="1692" w:type="pct"/>
            <w:shd w:val="clear" w:color="auto" w:fill="auto"/>
          </w:tcPr>
          <w:p w14:paraId="481A9DE5" w14:textId="23CCC584"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0" w:name="_Hlk224717420"/>
            <w:r w:rsidRPr="00C011B2">
              <w:rPr>
                <w:rFonts w:ascii="Times New Roman" w:hAnsi="Times New Roman" w:cs="Times New Roman"/>
                <w:color w:val="000000" w:themeColor="text1"/>
                <w:lang w:val="ro-MD"/>
              </w:rPr>
              <w:t>451.</w:t>
            </w:r>
            <w:r w:rsidR="009D7356" w:rsidRPr="00C011B2">
              <w:rPr>
                <w:rFonts w:ascii="Times New Roman" w:hAnsi="Times New Roman" w:cs="Times New Roman"/>
                <w:color w:val="000000" w:themeColor="text1"/>
                <w:lang w:val="ro-MD"/>
              </w:rPr>
              <w:t xml:space="preserve">   Ulterior,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calculează suma pozițiilor lungi ponderate și suma pozițiilor scurte ponderate din fiecare dintre benzile de scadență. Suma rezultată din punerea în corespondență a celor două sume amintite, într-o bandă de scadență dată, reprezintă poziția ponderată pusă în corespondență în acea bandă, în timp ce poziția lungă reziduală sau poziția scurtă reziduală reprezintă poziția ponderată nepusă în corespondență în aceeași bandă. Apoi, se calculează totalul pozițiilor ponderate puse în corespondență din toate benzile.</w:t>
            </w:r>
            <w:bookmarkEnd w:id="450"/>
          </w:p>
        </w:tc>
        <w:tc>
          <w:tcPr>
            <w:tcW w:w="450" w:type="pct"/>
          </w:tcPr>
          <w:p w14:paraId="4028323C" w14:textId="6F24B968"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11BEBA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511E13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EFCEF2E" w14:textId="69BFCA9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Pentru benzile incluse în fiecare dintre zonele din tabelul 2, instituția calculează totalurile pozițiilor lungi ponderate nepuse în corespondență, în vederea determinării poziției lungi ponderate nepuse în corespondență pentru fiecare zonă. În mod similar, totalurile aferente pozițiilor scurte ponderate nepuse în corespondență, de la fiecare bandă dintr-o anumită zonă, se însumează în vederea determinării poziției scurte ponderate nepuse în corespondență pentru acea zonă. Partea aferentă poziției lungi ponderate nepuse în corespondență pentru o zonă dată, care este pusă în </w:t>
            </w:r>
            <w:r w:rsidRPr="00C011B2">
              <w:rPr>
                <w:rFonts w:ascii="Times New Roman" w:hAnsi="Times New Roman" w:cs="Times New Roman"/>
                <w:color w:val="000000" w:themeColor="text1"/>
                <w:lang w:val="ro-MD"/>
              </w:rPr>
              <w:lastRenderedPageBreak/>
              <w:t>corespondență cu poziția scurtă ponderată, nepusă în corespondență pentru aceeași zonă, reprezintă poziția ponderată pusă în corespondență pentru zona respectivă. Partea poziției lungi ponderate, nepuse în corespondență, sau a poziției scurte ponderate, nepuse în corespondență pentru o zonă, care nu poate fi astfel pusă în corespondență, reprezintă poziția ponderată nepusă în corespondență pentru zona respectivă.</w:t>
            </w:r>
          </w:p>
          <w:p w14:paraId="08709F91"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2</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09"/>
              <w:gridCol w:w="700"/>
              <w:gridCol w:w="959"/>
              <w:gridCol w:w="687"/>
              <w:gridCol w:w="845"/>
            </w:tblGrid>
            <w:tr w:rsidR="009D7356" w:rsidRPr="00C011B2" w14:paraId="7601FFFD" w14:textId="77777777" w:rsidTr="002119DC">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627B5"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Zonă</w:t>
                  </w:r>
                </w:p>
              </w:tc>
              <w:tc>
                <w:tcPr>
                  <w:tcW w:w="230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4E472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Bandă de scadență</w:t>
                  </w:r>
                </w:p>
              </w:tc>
              <w:tc>
                <w:tcPr>
                  <w:tcW w:w="9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BD145"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 (%)</w:t>
                  </w:r>
                </w:p>
              </w:tc>
              <w:tc>
                <w:tcPr>
                  <w:tcW w:w="117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82FE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Variația presupusă a ratei dobânzii (%)</w:t>
                  </w:r>
                </w:p>
              </w:tc>
            </w:tr>
            <w:tr w:rsidR="009D7356" w:rsidRPr="00C011B2" w14:paraId="14BDC5E1"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C675A9"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9CABD5"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Cupon de 3 % sau mai mult</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9099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Cupon sub 3 %</w:t>
                  </w:r>
                </w:p>
              </w:tc>
              <w:tc>
                <w:tcPr>
                  <w:tcW w:w="9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72697B"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p>
              </w:tc>
              <w:tc>
                <w:tcPr>
                  <w:tcW w:w="117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57C4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p>
              </w:tc>
            </w:tr>
            <w:tr w:rsidR="009D7356" w:rsidRPr="00C011B2" w14:paraId="587E9540" w14:textId="77777777" w:rsidTr="002119DC">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CF58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Unu</w:t>
                  </w: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44C72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 1 lună</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995EC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 1 lună</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63EA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0,00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2D78C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r>
            <w:tr w:rsidR="009D7356" w:rsidRPr="00C011B2" w14:paraId="0E166711"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308BE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2B8C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3 luni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6E70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3 luni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790D3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D00D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w:t>
                  </w:r>
                </w:p>
              </w:tc>
            </w:tr>
            <w:tr w:rsidR="009D7356" w:rsidRPr="00C011B2" w14:paraId="515E1857"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7CAFA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C31A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6 luni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A8BA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6 luni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8D067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D2FC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w:t>
                  </w:r>
                </w:p>
              </w:tc>
            </w:tr>
            <w:tr w:rsidR="009D7356" w:rsidRPr="00C011B2" w14:paraId="439A7ABF"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D8ACE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6DF7F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6 ≤ 12 luni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CE23E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6 ≤ 12 luni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4541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5A19B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w:t>
                  </w:r>
                </w:p>
              </w:tc>
            </w:tr>
            <w:tr w:rsidR="009D7356" w:rsidRPr="00C011B2" w14:paraId="748BC39E" w14:textId="77777777" w:rsidTr="002119DC">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3BA5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Doi</w:t>
                  </w: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F17ED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2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9BDE0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 ≤ 1,9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1061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4451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0,90</w:t>
                  </w:r>
                </w:p>
              </w:tc>
            </w:tr>
            <w:tr w:rsidR="009D7356" w:rsidRPr="00C011B2" w14:paraId="4E90ACA4"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DC880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C13B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 ≤ 3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E42A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1,9 ≤ 2,8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EF5D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9899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0,80</w:t>
                  </w:r>
                </w:p>
              </w:tc>
            </w:tr>
            <w:tr w:rsidR="009D7356" w:rsidRPr="00C011B2" w14:paraId="0AFF4136"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3BE54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866A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4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710E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2,8 ≤ 3,6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0278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79A6C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0,75</w:t>
                  </w:r>
                </w:p>
              </w:tc>
            </w:tr>
            <w:tr w:rsidR="009D7356" w:rsidRPr="00C011B2" w14:paraId="34F7E892" w14:textId="77777777" w:rsidTr="002119DC">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57B3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Trei</w:t>
                  </w: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4316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4 ≤ 5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E879E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3,6 ≤ 4,3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9C7A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8CE34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0,75</w:t>
                  </w:r>
                </w:p>
              </w:tc>
            </w:tr>
            <w:tr w:rsidR="009D7356" w:rsidRPr="00C011B2" w14:paraId="16EAB333"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A1F15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4A1A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5 ≤ 7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AB221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4,3 ≤ 5,7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8C28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C530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w:t>
                  </w:r>
                </w:p>
              </w:tc>
            </w:tr>
            <w:tr w:rsidR="009D7356" w:rsidRPr="00C011B2" w14:paraId="19D90CA2"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E97C1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49C8D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7 ≤ 10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B5F3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5,7 ≤ 7,3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16D4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7AB0A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0,65</w:t>
                  </w:r>
                </w:p>
              </w:tc>
            </w:tr>
            <w:tr w:rsidR="009D7356" w:rsidRPr="00C011B2" w14:paraId="541B3A7C"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65B4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85DA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 ≤ 15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DA59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7,3 ≤ 9,3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738B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F6FB8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450F8619"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F90D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49A9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15 ≤ 20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2B70D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9,3 ≤ 10,6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93D33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B0EB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79E35323"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98593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A2FDD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20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165A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10,6 ≤ 12,0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52F6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89433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5764B1FA"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F9699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5493B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B3560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12,0 ≤ 20,0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F82B1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9B49A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75871FDC" w14:textId="77777777" w:rsidTr="002119DC">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0CB3C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5927E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5D215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20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3C3B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12,50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08328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bl>
          <w:p w14:paraId="36191DC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9DBC941" w14:textId="0E0D167F"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1" w:name="_Hlk224717450"/>
            <w:r w:rsidRPr="00C011B2">
              <w:rPr>
                <w:rFonts w:ascii="Times New Roman" w:hAnsi="Times New Roman" w:cs="Times New Roman"/>
                <w:color w:val="000000" w:themeColor="text1"/>
                <w:lang w:val="ro-MD"/>
              </w:rPr>
              <w:lastRenderedPageBreak/>
              <w:t>452.</w:t>
            </w:r>
            <w:r w:rsidR="009D7356" w:rsidRPr="00C011B2">
              <w:rPr>
                <w:rFonts w:ascii="Times New Roman" w:hAnsi="Times New Roman" w:cs="Times New Roman"/>
                <w:color w:val="000000" w:themeColor="text1"/>
                <w:lang w:val="ro-MD"/>
              </w:rPr>
              <w:t xml:space="preserve">  Pentru benzile incluse în fiecare dintre zonele din tabelul 2,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calculează totalurile pozițiilor lungi ponderate nepuse în corespondență, în vederea determinării poziției lungi ponderate nepuse în corespondență pentru fiecare zonă. În mod similar, totalurile aferente pozițiilor scurte ponderate nepuse în corespondență, de la fiecare bandă dintr-o anumită zonă, se însumează în vederea determinării poziției scurte ponderate nepuse în corespondență pentru acea zonă. Partea aferentă poziției lungi ponderate nepuse în corespondență pentru o zonă dată, care este pusă în </w:t>
            </w:r>
            <w:r w:rsidR="009D7356" w:rsidRPr="00C011B2">
              <w:rPr>
                <w:rFonts w:ascii="Times New Roman" w:hAnsi="Times New Roman" w:cs="Times New Roman"/>
                <w:color w:val="000000" w:themeColor="text1"/>
                <w:lang w:val="ro-MD"/>
              </w:rPr>
              <w:lastRenderedPageBreak/>
              <w:t>corespondență cu poziția scurtă ponderată, nepusă în corespondență pentru aceeași zonă, reprezintă poziția ponderată pusă în corespondență pentru zona respectivă. Partea poziției lungi ponderate, nepuse în corespondență, sau a poziției scurte ponderate, nepuse în corespondență pentru o zonă, care nu poate fi astfel pusă în corespondență, reprezintă poziția ponderată nepusă în corespondență pentru zona respectivă.</w:t>
            </w:r>
          </w:p>
          <w:p w14:paraId="3FC49B8E"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52" w:name="_Hlk224717484"/>
            <w:bookmarkEnd w:id="451"/>
            <w:r w:rsidRPr="00C011B2">
              <w:rPr>
                <w:rFonts w:ascii="Times New Roman" w:hAnsi="Times New Roman" w:cs="Times New Roman"/>
                <w:b/>
                <w:bCs/>
                <w:color w:val="000000" w:themeColor="text1"/>
                <w:lang w:val="ro-MD"/>
              </w:rPr>
              <w:t>Tabelul 2</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09"/>
              <w:gridCol w:w="700"/>
              <w:gridCol w:w="959"/>
              <w:gridCol w:w="687"/>
              <w:gridCol w:w="845"/>
            </w:tblGrid>
            <w:tr w:rsidR="009D7356" w:rsidRPr="00C011B2" w14:paraId="1D994369" w14:textId="77777777" w:rsidTr="001E785F">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0615D"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Zonă</w:t>
                  </w:r>
                </w:p>
              </w:tc>
              <w:tc>
                <w:tcPr>
                  <w:tcW w:w="230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F4114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Bandă de scadență</w:t>
                  </w:r>
                </w:p>
              </w:tc>
              <w:tc>
                <w:tcPr>
                  <w:tcW w:w="9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72781"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Pondere (%)</w:t>
                  </w:r>
                </w:p>
              </w:tc>
              <w:tc>
                <w:tcPr>
                  <w:tcW w:w="117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C37CD9"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Variația presupusă a ratei dobânzii (%)</w:t>
                  </w:r>
                </w:p>
              </w:tc>
            </w:tr>
            <w:tr w:rsidR="009D7356" w:rsidRPr="00C011B2" w14:paraId="435CED92"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BBDDED"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3D8B3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Cupon de 3 % sau mai mult</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1286B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Cupon sub 3 %</w:t>
                  </w:r>
                </w:p>
              </w:tc>
              <w:tc>
                <w:tcPr>
                  <w:tcW w:w="9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C6C3C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p>
              </w:tc>
              <w:tc>
                <w:tcPr>
                  <w:tcW w:w="117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1134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p>
              </w:tc>
            </w:tr>
            <w:tr w:rsidR="009D7356" w:rsidRPr="00C011B2" w14:paraId="78593085" w14:textId="77777777" w:rsidTr="001E785F">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12DA0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Unu</w:t>
                  </w: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42E5C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 1 lună</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6F09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 1 lună</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7D7B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0,00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1AAC8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r>
            <w:tr w:rsidR="009D7356" w:rsidRPr="00C011B2" w14:paraId="1636DE13"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A7662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0718E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3 luni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2050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3 luni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75AC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0,20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82279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w:t>
                  </w:r>
                </w:p>
              </w:tc>
            </w:tr>
            <w:tr w:rsidR="009D7356" w:rsidRPr="00C011B2" w14:paraId="40181A8F"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2342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C881C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6 luni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28A56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6 luni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E845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0,40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8A7B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w:t>
                  </w:r>
                </w:p>
              </w:tc>
            </w:tr>
            <w:tr w:rsidR="009D7356" w:rsidRPr="00C011B2" w14:paraId="104ADDFD"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BFC76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52748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6 ≤ 12 luni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CD69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6 ≤ 12 luni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D0B17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45FC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w:t>
                  </w:r>
                </w:p>
              </w:tc>
            </w:tr>
            <w:tr w:rsidR="009D7356" w:rsidRPr="00C011B2" w14:paraId="2B9DC52E" w14:textId="77777777" w:rsidTr="001E785F">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32E91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Doi</w:t>
                  </w: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24B0F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2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66BA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 ≤ 1,9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D5AE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563A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0,90</w:t>
                  </w:r>
                </w:p>
              </w:tc>
            </w:tr>
            <w:tr w:rsidR="009D7356" w:rsidRPr="00C011B2" w14:paraId="78E49DE0"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A24DA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AC92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 ≤ 3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52C45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1,9 ≤ 2,8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21C4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1,75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3F39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0,80</w:t>
                  </w:r>
                </w:p>
              </w:tc>
            </w:tr>
            <w:tr w:rsidR="009D7356" w:rsidRPr="00C011B2" w14:paraId="52993346"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89993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833D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4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799CF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2,8 ≤ 3,6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88869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A0A2F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0,75</w:t>
                  </w:r>
                </w:p>
              </w:tc>
            </w:tr>
            <w:tr w:rsidR="009D7356" w:rsidRPr="00C011B2" w14:paraId="3DD73E67" w14:textId="77777777" w:rsidTr="001E785F">
              <w:trPr>
                <w:jc w:val="center"/>
              </w:trPr>
              <w:tc>
                <w:tcPr>
                  <w:tcW w:w="56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50F83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Trei</w:t>
                  </w: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E61F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4 ≤ 5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2203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3,6 ≤ 4,3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AE12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2,75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D7D9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0,75</w:t>
                  </w:r>
                </w:p>
              </w:tc>
            </w:tr>
            <w:tr w:rsidR="009D7356" w:rsidRPr="00C011B2" w14:paraId="25930FE6"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81D2A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A42D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5 ≤ 7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629EC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4,3 ≤ 5,7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71F10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7ED3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0,70</w:t>
                  </w:r>
                </w:p>
              </w:tc>
            </w:tr>
            <w:tr w:rsidR="009D7356" w:rsidRPr="00C011B2" w14:paraId="0B82192C"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D5ACA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CF15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7 ≤ 10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431D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5,7 ≤ 7,3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8A94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3,75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3982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0,65</w:t>
                  </w:r>
                </w:p>
              </w:tc>
            </w:tr>
            <w:tr w:rsidR="009D7356" w:rsidRPr="00C011B2" w14:paraId="3EF0B648"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0C553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2E33F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 ≤ 15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8B5BE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7,3 ≤ 9,3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24F7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057B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6F9F00D1"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8DBC9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892E9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15 ≤ 20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E58F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9,3 ≤ 10,6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7AEF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5,25</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0B65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0F95CD41"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EF360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F8424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20 ani</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14275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10,6 ≤ 12,0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6044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6,00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4E0EA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70BBE3C4"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EFF84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38D9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B814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12,0 ≤ 20,0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0B07E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8,00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9E96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tr w:rsidR="009D7356" w:rsidRPr="00C011B2" w14:paraId="0141D603" w14:textId="77777777" w:rsidTr="001E785F">
              <w:trPr>
                <w:jc w:val="center"/>
              </w:trPr>
              <w:tc>
                <w:tcPr>
                  <w:tcW w:w="5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1DBDC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9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05702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w:t>
                  </w:r>
                </w:p>
              </w:tc>
              <w:tc>
                <w:tcPr>
                  <w:tcW w:w="13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AC565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20 ani</w:t>
                  </w:r>
                </w:p>
              </w:tc>
              <w:tc>
                <w:tcPr>
                  <w:tcW w:w="9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84C9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12,50</w:t>
                  </w:r>
                </w:p>
              </w:tc>
              <w:tc>
                <w:tcPr>
                  <w:tcW w:w="11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E738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0,60</w:t>
                  </w:r>
                </w:p>
              </w:tc>
            </w:tr>
            <w:bookmarkEnd w:id="452"/>
          </w:tbl>
          <w:p w14:paraId="7C99029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1505086A" w14:textId="5975FBEA"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D208EC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930BE8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81CD9FD" w14:textId="717DBD18"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(5)   Cuantumul aferent poziției lungi sau scurte ponderate, nepuse în corespondență în zona unu, care </w:t>
            </w:r>
            <w:r w:rsidRPr="00C011B2">
              <w:rPr>
                <w:rFonts w:ascii="Times New Roman" w:hAnsi="Times New Roman" w:cs="Times New Roman"/>
                <w:color w:val="000000" w:themeColor="text1"/>
                <w:lang w:val="ro-MD"/>
              </w:rPr>
              <w:lastRenderedPageBreak/>
              <w:t>este pus în corespondență cu poziția scurtă sau lungă ponderată nepusă în corespondență din zona doi, reprezintă poziția ponderată pusă în corespondență între zonele unu și doi. Același calcul se realizează ulterior pentru partea rămasă din poziția ponderată nepusă în corespondență din zona doi și poziția ponderată nepusă în corespondență din zona trei, în vederea calculării poziției ponderate puse în corespondență între zonele doi și trei.</w:t>
            </w:r>
          </w:p>
        </w:tc>
        <w:tc>
          <w:tcPr>
            <w:tcW w:w="1692" w:type="pct"/>
            <w:shd w:val="clear" w:color="auto" w:fill="auto"/>
          </w:tcPr>
          <w:p w14:paraId="55E37DD9" w14:textId="2724BD10"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3" w:name="_Hlk224717634"/>
            <w:r w:rsidRPr="00C011B2">
              <w:rPr>
                <w:rFonts w:ascii="Times New Roman" w:hAnsi="Times New Roman" w:cs="Times New Roman"/>
                <w:color w:val="000000" w:themeColor="text1"/>
                <w:lang w:val="ro-MD"/>
              </w:rPr>
              <w:lastRenderedPageBreak/>
              <w:t>453.</w:t>
            </w:r>
            <w:r w:rsidR="009D7356" w:rsidRPr="00C011B2">
              <w:rPr>
                <w:rFonts w:ascii="Times New Roman" w:hAnsi="Times New Roman" w:cs="Times New Roman"/>
                <w:color w:val="000000" w:themeColor="text1"/>
                <w:lang w:val="ro-MD"/>
              </w:rPr>
              <w:t xml:space="preserve">   Cuantumul aferent poziției lungi sau scurte ponderate, nepuse în corespondență în zona unu, care este </w:t>
            </w:r>
            <w:r w:rsidR="009D7356" w:rsidRPr="00C011B2">
              <w:rPr>
                <w:rFonts w:ascii="Times New Roman" w:hAnsi="Times New Roman" w:cs="Times New Roman"/>
                <w:color w:val="000000" w:themeColor="text1"/>
                <w:lang w:val="ro-MD"/>
              </w:rPr>
              <w:lastRenderedPageBreak/>
              <w:t>pus în corespondență cu poziția scurtă sau lungă ponderată nepusă în corespondență din zona doi, reprezintă poziția ponderată pusă în corespondență între zonele unu și doi. Același calcul se realizează ulterior pentru partea rămasă din poziția ponderată nepusă în corespondență din zona doi și poziția ponderată nepusă în corespondență din zona trei, în vederea calculării poziției ponderate puse în corespondență între zonele doi și trei.</w:t>
            </w:r>
            <w:bookmarkEnd w:id="453"/>
          </w:p>
        </w:tc>
        <w:tc>
          <w:tcPr>
            <w:tcW w:w="450" w:type="pct"/>
          </w:tcPr>
          <w:p w14:paraId="135FDDDA" w14:textId="62039D95"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FCEBCE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BFE587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3EBAF9" w14:textId="76AD5B1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Instituția poate inversa ordinea de la alineatul (5), astfel încât să calculeze poziția ponderată pusă în corespondență între zonele doi și trei înainte să calculeze poziția respectivă între zonele unu și doi.</w:t>
            </w:r>
          </w:p>
        </w:tc>
        <w:tc>
          <w:tcPr>
            <w:tcW w:w="1692" w:type="pct"/>
            <w:shd w:val="clear" w:color="auto" w:fill="auto"/>
          </w:tcPr>
          <w:p w14:paraId="4397BC12" w14:textId="34F8BCB6"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4" w:name="_Hlk224717665"/>
            <w:r w:rsidRPr="00C011B2">
              <w:rPr>
                <w:rFonts w:ascii="Times New Roman" w:hAnsi="Times New Roman" w:cs="Times New Roman"/>
                <w:color w:val="000000" w:themeColor="text1"/>
                <w:lang w:val="ro-MD"/>
              </w:rPr>
              <w:t>454.</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poate inversa ordinea de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pct.453</w:t>
            </w:r>
            <w:r w:rsidR="009D7356" w:rsidRPr="00C011B2">
              <w:rPr>
                <w:rFonts w:ascii="Times New Roman" w:hAnsi="Times New Roman" w:cs="Times New Roman"/>
                <w:color w:val="000000" w:themeColor="text1"/>
                <w:lang w:val="ro-MD"/>
              </w:rPr>
              <w:t>, astfel încât să calculeze poziția ponderată pusă în corespondență între zonele doi și trei înainte să calculeze poziția respectivă între zonele unu și doi.</w:t>
            </w:r>
            <w:bookmarkEnd w:id="454"/>
          </w:p>
        </w:tc>
        <w:tc>
          <w:tcPr>
            <w:tcW w:w="450" w:type="pct"/>
          </w:tcPr>
          <w:p w14:paraId="2F16E1AC" w14:textId="65E21208"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BDC42E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87AEBC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8AD9ED4" w14:textId="61F2FCB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Apoi, în vederea determinării poziției ponderate puse în corespondență între zonele unu și trei, soldul poziției ponderate nepuse în corespondență din zona unu se pune în corespondență cu cel din zona trei, rămas după ce zona trei a fost pusă în corespondență cu zona doi.</w:t>
            </w:r>
          </w:p>
        </w:tc>
        <w:tc>
          <w:tcPr>
            <w:tcW w:w="1692" w:type="pct"/>
            <w:shd w:val="clear" w:color="auto" w:fill="auto"/>
          </w:tcPr>
          <w:p w14:paraId="17B30BDD" w14:textId="3B88E419"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5" w:name="_Hlk224717687"/>
            <w:r w:rsidRPr="00C011B2">
              <w:rPr>
                <w:rFonts w:ascii="Times New Roman" w:hAnsi="Times New Roman" w:cs="Times New Roman"/>
                <w:color w:val="000000" w:themeColor="text1"/>
                <w:lang w:val="ro-MD"/>
              </w:rPr>
              <w:t>455.</w:t>
            </w:r>
            <w:r w:rsidR="009D7356" w:rsidRPr="00C011B2">
              <w:rPr>
                <w:rFonts w:ascii="Times New Roman" w:hAnsi="Times New Roman" w:cs="Times New Roman"/>
                <w:color w:val="000000" w:themeColor="text1"/>
                <w:lang w:val="ro-MD"/>
              </w:rPr>
              <w:t>   Apoi, în vederea determinării poziției ponderate puse în corespondență între zonele unu și trei, soldul poziției ponderate nepuse în corespondență din zona unu se pune în corespondență cu cel din zona trei, rămas după ce zona trei a fost pusă în corespondență cu zona doi.</w:t>
            </w:r>
            <w:bookmarkEnd w:id="455"/>
          </w:p>
        </w:tc>
        <w:tc>
          <w:tcPr>
            <w:tcW w:w="450" w:type="pct"/>
          </w:tcPr>
          <w:p w14:paraId="4ADADB2D" w14:textId="2C5840D1"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917288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ABD7FD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2525EB6" w14:textId="41D6389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 Pozițiile reziduale rezultate în urma parcurgerii celor trei proceduri separate de calcul de punere în corespondență prevăzute la alineatele (5), (6) și (7) se însumează.</w:t>
            </w:r>
          </w:p>
        </w:tc>
        <w:tc>
          <w:tcPr>
            <w:tcW w:w="1692" w:type="pct"/>
            <w:shd w:val="clear" w:color="auto" w:fill="auto"/>
          </w:tcPr>
          <w:p w14:paraId="0D085D0A" w14:textId="57D08EA5"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6" w:name="_Hlk224717714"/>
            <w:r w:rsidRPr="00C011B2">
              <w:rPr>
                <w:rFonts w:ascii="Times New Roman" w:hAnsi="Times New Roman" w:cs="Times New Roman"/>
                <w:color w:val="000000" w:themeColor="text1"/>
                <w:lang w:val="ro-MD"/>
              </w:rPr>
              <w:t>456.</w:t>
            </w:r>
            <w:r w:rsidR="009D7356" w:rsidRPr="00C011B2">
              <w:rPr>
                <w:rFonts w:ascii="Times New Roman" w:hAnsi="Times New Roman" w:cs="Times New Roman"/>
                <w:color w:val="000000" w:themeColor="text1"/>
                <w:lang w:val="ro-MD"/>
              </w:rPr>
              <w:t xml:space="preserve"> Pozițiile reziduale rezultate în urma parcurgerii celor trei proceduri separate de calcul de punere în corespondență prevăzute la</w:t>
            </w:r>
            <w:r w:rsidR="00A34689"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pct.453</w:t>
            </w:r>
            <w:r w:rsidR="009D7356"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454</w:t>
            </w:r>
            <w:r w:rsidR="009D7356"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455</w:t>
            </w:r>
            <w:r w:rsidR="009D7356" w:rsidRPr="00C011B2">
              <w:rPr>
                <w:rFonts w:ascii="Times New Roman" w:hAnsi="Times New Roman" w:cs="Times New Roman"/>
                <w:color w:val="000000" w:themeColor="text1"/>
                <w:lang w:val="ro-MD"/>
              </w:rPr>
              <w:t xml:space="preserve"> se însumează.</w:t>
            </w:r>
            <w:bookmarkEnd w:id="456"/>
          </w:p>
        </w:tc>
        <w:tc>
          <w:tcPr>
            <w:tcW w:w="450" w:type="pct"/>
          </w:tcPr>
          <w:p w14:paraId="14E5F1D9" w14:textId="23DE8EFA"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47BC18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ADE232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550CBA" w14:textId="4C98A45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   Cerința de fonduri proprii a instituției se calculează prin însumarea următoarelor elemente:</w:t>
            </w:r>
          </w:p>
          <w:p w14:paraId="56773A15" w14:textId="16E4FCC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(a) 10 % din suma pozițiilor ponderate puse în corespondență în toate benzile de scadență;</w:t>
            </w:r>
          </w:p>
          <w:p w14:paraId="022258A5" w14:textId="69C295C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40 % din poziția ponderată pusă în corespondență din zona unu;</w:t>
            </w:r>
          </w:p>
          <w:p w14:paraId="3628C7AB" w14:textId="68F9605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30 % din poziția ponderată pusă în corespondență din zona doi;</w:t>
            </w:r>
          </w:p>
          <w:p w14:paraId="446D8CF1" w14:textId="41F2C4E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30 % din poziția ponderată pusă în corespondență din zona trei;</w:t>
            </w:r>
          </w:p>
          <w:p w14:paraId="4DBDC2B5" w14:textId="197881B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40 % din poziția ponderată pusă în corespondență între zonele unu și doi și între zonele doi și trei;</w:t>
            </w:r>
          </w:p>
          <w:p w14:paraId="49FE470F" w14:textId="3F156BB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150 % din poziția ponderată pusă în corespondență între zonele unu și trei;</w:t>
            </w:r>
          </w:p>
          <w:p w14:paraId="6836F53C" w14:textId="0A6264A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 100 % din pozițiile ponderate reziduale nepuse în corespondență.</w:t>
            </w:r>
          </w:p>
        </w:tc>
        <w:tc>
          <w:tcPr>
            <w:tcW w:w="1692" w:type="pct"/>
            <w:shd w:val="clear" w:color="auto" w:fill="auto"/>
          </w:tcPr>
          <w:p w14:paraId="7351587D" w14:textId="42EBA78A"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7" w:name="_Hlk224717746"/>
            <w:r w:rsidRPr="00C011B2">
              <w:rPr>
                <w:rFonts w:ascii="Times New Roman" w:hAnsi="Times New Roman" w:cs="Times New Roman"/>
                <w:color w:val="000000" w:themeColor="text1"/>
                <w:lang w:val="ro-MD"/>
              </w:rPr>
              <w:lastRenderedPageBreak/>
              <w:t>457.</w:t>
            </w:r>
            <w:r w:rsidR="009D7356" w:rsidRPr="00C011B2">
              <w:rPr>
                <w:rFonts w:ascii="Times New Roman" w:hAnsi="Times New Roman" w:cs="Times New Roman"/>
                <w:color w:val="000000" w:themeColor="text1"/>
                <w:lang w:val="ro-MD"/>
              </w:rPr>
              <w:t xml:space="preserve">   Cerința de fonduri proprii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se calculează prin însumarea următoarelor elemente:</w:t>
            </w:r>
          </w:p>
          <w:p w14:paraId="12BCB484" w14:textId="65873764"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457.1.</w:t>
            </w:r>
            <w:r w:rsidR="009D7356" w:rsidRPr="00C011B2">
              <w:rPr>
                <w:rFonts w:ascii="Times New Roman" w:hAnsi="Times New Roman" w:cs="Times New Roman"/>
                <w:color w:val="000000" w:themeColor="text1"/>
                <w:lang w:val="ro-MD"/>
              </w:rPr>
              <w:t> 10 % din suma pozițiilor ponderate puse în corespondență în toate benzile de scadență;</w:t>
            </w:r>
          </w:p>
          <w:p w14:paraId="6C65DE3A" w14:textId="0F64E480"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457.2.</w:t>
            </w:r>
            <w:r w:rsidR="009D7356" w:rsidRPr="00C011B2">
              <w:rPr>
                <w:rFonts w:ascii="Times New Roman" w:hAnsi="Times New Roman" w:cs="Times New Roman"/>
                <w:color w:val="000000" w:themeColor="text1"/>
                <w:lang w:val="ro-MD"/>
              </w:rPr>
              <w:t> 40 % din poziția ponderată pusă în corespondență din zona unu;</w:t>
            </w:r>
          </w:p>
          <w:p w14:paraId="1B0B52B4" w14:textId="2C9ECEEE"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457.3.</w:t>
            </w:r>
            <w:r w:rsidR="009D7356" w:rsidRPr="00C011B2">
              <w:rPr>
                <w:rFonts w:ascii="Times New Roman" w:hAnsi="Times New Roman" w:cs="Times New Roman"/>
                <w:color w:val="000000" w:themeColor="text1"/>
                <w:lang w:val="ro-MD"/>
              </w:rPr>
              <w:t> 30 % din poziția ponderată pusă în corespondență din zona doi;</w:t>
            </w:r>
          </w:p>
          <w:p w14:paraId="1C709225" w14:textId="63753E6D"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457.4.</w:t>
            </w:r>
            <w:r w:rsidR="009D7356" w:rsidRPr="00C011B2">
              <w:rPr>
                <w:rFonts w:ascii="Times New Roman" w:hAnsi="Times New Roman" w:cs="Times New Roman"/>
                <w:color w:val="000000" w:themeColor="text1"/>
                <w:lang w:val="ro-MD"/>
              </w:rPr>
              <w:t> 30 % din poziția ponderată pusă în corespondență din zona trei;</w:t>
            </w:r>
          </w:p>
          <w:p w14:paraId="25A3453F" w14:textId="23E8BDC1"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457.5.</w:t>
            </w:r>
            <w:r w:rsidR="009D7356" w:rsidRPr="00C011B2">
              <w:rPr>
                <w:rFonts w:ascii="Times New Roman" w:hAnsi="Times New Roman" w:cs="Times New Roman"/>
                <w:color w:val="000000" w:themeColor="text1"/>
                <w:lang w:val="ro-MD"/>
              </w:rPr>
              <w:t> 40 % din poziția ponderată pusă în corespondență între zonele unu și doi și între zonele doi și trei;</w:t>
            </w:r>
          </w:p>
          <w:p w14:paraId="03A45762" w14:textId="32C46D01"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457.6</w:t>
            </w:r>
            <w:r w:rsidR="009D7356" w:rsidRPr="00C011B2">
              <w:rPr>
                <w:rFonts w:ascii="Times New Roman" w:hAnsi="Times New Roman" w:cs="Times New Roman"/>
                <w:color w:val="000000" w:themeColor="text1"/>
                <w:lang w:val="ro-MD"/>
              </w:rPr>
              <w:t> 150 % din poziția ponderată pusă în corespondență între zonele unu și trei;</w:t>
            </w:r>
          </w:p>
          <w:p w14:paraId="1F6AF7CF" w14:textId="34969BAD" w:rsidR="009D7356" w:rsidRPr="00C011B2" w:rsidRDefault="004778A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457.7.</w:t>
            </w:r>
            <w:r w:rsidR="009D7356" w:rsidRPr="00C011B2">
              <w:rPr>
                <w:rFonts w:ascii="Times New Roman" w:hAnsi="Times New Roman" w:cs="Times New Roman"/>
                <w:color w:val="000000" w:themeColor="text1"/>
                <w:lang w:val="ro-MD"/>
              </w:rPr>
              <w:t> 100 % din pozițiile ponderate reziduale nepuse în corespondență.</w:t>
            </w:r>
            <w:bookmarkEnd w:id="457"/>
          </w:p>
        </w:tc>
        <w:tc>
          <w:tcPr>
            <w:tcW w:w="450" w:type="pct"/>
          </w:tcPr>
          <w:p w14:paraId="65B18116" w14:textId="2C1FD919"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5B20E5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362B27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819459"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340</w:t>
            </w:r>
          </w:p>
          <w:p w14:paraId="7EF3471B" w14:textId="27CD194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Calcularea riscului general pe baza duratei</w:t>
            </w:r>
          </w:p>
        </w:tc>
        <w:tc>
          <w:tcPr>
            <w:tcW w:w="1692" w:type="pct"/>
            <w:shd w:val="clear" w:color="auto" w:fill="auto"/>
          </w:tcPr>
          <w:p w14:paraId="55FBE146" w14:textId="580DE118" w:rsidR="009D7356" w:rsidRPr="00C011B2" w:rsidRDefault="004778A0" w:rsidP="009D7356">
            <w:pPr>
              <w:spacing w:after="0" w:line="276" w:lineRule="auto"/>
              <w:jc w:val="both"/>
              <w:rPr>
                <w:rFonts w:ascii="Times New Roman" w:hAnsi="Times New Roman" w:cs="Times New Roman"/>
                <w:color w:val="000000" w:themeColor="text1"/>
                <w:lang w:val="ro-MD"/>
              </w:rPr>
            </w:pPr>
            <w:bookmarkStart w:id="458" w:name="_Hlk195099787"/>
            <w:r w:rsidRPr="00C011B2">
              <w:rPr>
                <w:rFonts w:ascii="Times New Roman" w:hAnsi="Times New Roman" w:cs="Times New Roman"/>
                <w:i/>
                <w:iCs/>
                <w:color w:val="000000" w:themeColor="text1"/>
                <w:lang w:val="ro-MD"/>
              </w:rPr>
              <w:t xml:space="preserve">Paragraful 2. </w:t>
            </w:r>
            <w:r w:rsidR="009D7356" w:rsidRPr="00C011B2">
              <w:rPr>
                <w:rFonts w:ascii="Times New Roman" w:hAnsi="Times New Roman" w:cs="Times New Roman"/>
                <w:b/>
                <w:bCs/>
                <w:color w:val="000000" w:themeColor="text1"/>
                <w:lang w:val="ro-MD"/>
              </w:rPr>
              <w:t>Calcularea riscului general pe baza duratei</w:t>
            </w:r>
            <w:bookmarkEnd w:id="458"/>
          </w:p>
        </w:tc>
        <w:tc>
          <w:tcPr>
            <w:tcW w:w="450" w:type="pct"/>
          </w:tcPr>
          <w:p w14:paraId="3AFE2E0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4439404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025D58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5997F9E" w14:textId="6617B00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pot utiliza în vederea calculării cerinței de fonduri proprii pentru riscul general, aferent instrumentelor de datorie, în locul abordării prevăzute la articolul 339, o abordare care reflectă durata, cu condiția ca instituția să utilizeze acest sistem în mod consecvent.</w:t>
            </w:r>
          </w:p>
        </w:tc>
        <w:tc>
          <w:tcPr>
            <w:tcW w:w="1692" w:type="pct"/>
            <w:shd w:val="clear" w:color="auto" w:fill="auto"/>
          </w:tcPr>
          <w:p w14:paraId="0CC18646" w14:textId="10B3036D" w:rsidR="009D7356" w:rsidRPr="00C011B2" w:rsidRDefault="00764790" w:rsidP="009D7356">
            <w:pPr>
              <w:spacing w:after="0" w:line="276" w:lineRule="auto"/>
              <w:jc w:val="both"/>
              <w:rPr>
                <w:rFonts w:ascii="Times New Roman" w:hAnsi="Times New Roman" w:cs="Times New Roman"/>
                <w:color w:val="000000" w:themeColor="text1"/>
                <w:lang w:val="ro-MD"/>
              </w:rPr>
            </w:pPr>
            <w:bookmarkStart w:id="459" w:name="_Hlk224717809"/>
            <w:r w:rsidRPr="00C011B2">
              <w:rPr>
                <w:rFonts w:ascii="Times New Roman" w:hAnsi="Times New Roman" w:cs="Times New Roman"/>
                <w:color w:val="000000" w:themeColor="text1"/>
                <w:lang w:val="ro-MD"/>
              </w:rPr>
              <w:t>458.</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pot utiliza în vederea calculării cerinței de fonduri proprii pentru riscul general, aferent instrumentelor de datorie, în locul abordării prevăzute la </w:t>
            </w:r>
            <w:r w:rsidRPr="00C011B2">
              <w:rPr>
                <w:rFonts w:ascii="Times New Roman" w:hAnsi="Times New Roman" w:cs="Times New Roman"/>
                <w:color w:val="000000" w:themeColor="text1"/>
                <w:lang w:val="ro-MD"/>
              </w:rPr>
              <w:t>paragraful 1</w:t>
            </w:r>
            <w:r w:rsidR="009D7356" w:rsidRPr="00C011B2">
              <w:rPr>
                <w:rFonts w:ascii="Times New Roman" w:hAnsi="Times New Roman" w:cs="Times New Roman"/>
                <w:color w:val="000000" w:themeColor="text1"/>
                <w:lang w:val="ro-MD"/>
              </w:rPr>
              <w:t xml:space="preserve">, o abordare care reflectă durata, cu condiția ca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să utilizeze acest sistem în mod consecvent.</w:t>
            </w:r>
            <w:bookmarkEnd w:id="459"/>
          </w:p>
        </w:tc>
        <w:tc>
          <w:tcPr>
            <w:tcW w:w="450" w:type="pct"/>
          </w:tcPr>
          <w:p w14:paraId="7748F5E8" w14:textId="19B51347"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50EB44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680D3C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E6B0BD" w14:textId="35C7CC8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(2)   Conform abordării bazate pe durată menționate la alineatul (1), instituția ia valoarea de piață a fiecărui instrument de datorie cu rată fixă și calculează </w:t>
            </w:r>
            <w:r w:rsidRPr="00C011B2">
              <w:rPr>
                <w:rFonts w:ascii="Times New Roman" w:hAnsi="Times New Roman" w:cs="Times New Roman"/>
                <w:color w:val="000000" w:themeColor="text1"/>
                <w:lang w:val="ro-MD"/>
              </w:rPr>
              <w:lastRenderedPageBreak/>
              <w:t>randamentul la scadență al acestuia, care este rata de actualizare implicită pentru titlul respectiv. În cazul instrumentelor cu rată variabilă, instituția ia valoarea de piață a fiecărui instrument și calculează randamentul pornind de la ipoteza că principalul este scadent la următoarea dată de fixare a ratei dobânzii.</w:t>
            </w:r>
          </w:p>
        </w:tc>
        <w:tc>
          <w:tcPr>
            <w:tcW w:w="1692" w:type="pct"/>
            <w:shd w:val="clear" w:color="auto" w:fill="auto"/>
          </w:tcPr>
          <w:p w14:paraId="3817086B" w14:textId="1252F65F" w:rsidR="009D7356" w:rsidRPr="00C011B2" w:rsidRDefault="00764790" w:rsidP="009D7356">
            <w:pPr>
              <w:spacing w:after="0" w:line="276" w:lineRule="auto"/>
              <w:jc w:val="both"/>
              <w:rPr>
                <w:rFonts w:ascii="Times New Roman" w:hAnsi="Times New Roman" w:cs="Times New Roman"/>
                <w:color w:val="000000" w:themeColor="text1"/>
                <w:lang w:val="ro-MD"/>
              </w:rPr>
            </w:pPr>
            <w:bookmarkStart w:id="460" w:name="_Hlk224717838"/>
            <w:r w:rsidRPr="00C011B2">
              <w:rPr>
                <w:rFonts w:ascii="Times New Roman" w:hAnsi="Times New Roman" w:cs="Times New Roman"/>
                <w:color w:val="000000" w:themeColor="text1"/>
                <w:lang w:val="ro-MD"/>
              </w:rPr>
              <w:lastRenderedPageBreak/>
              <w:t>459.</w:t>
            </w:r>
            <w:r w:rsidR="009D7356" w:rsidRPr="00C011B2">
              <w:rPr>
                <w:rFonts w:ascii="Times New Roman" w:hAnsi="Times New Roman" w:cs="Times New Roman"/>
                <w:color w:val="000000" w:themeColor="text1"/>
                <w:lang w:val="ro-MD"/>
              </w:rPr>
              <w:t xml:space="preserve">   Conform abordării bazate pe durată menționate la </w:t>
            </w:r>
            <w:r w:rsidRPr="00C011B2">
              <w:rPr>
                <w:rFonts w:ascii="Times New Roman" w:hAnsi="Times New Roman" w:cs="Times New Roman"/>
                <w:color w:val="000000" w:themeColor="text1"/>
                <w:lang w:val="ro-MD"/>
              </w:rPr>
              <w:t>pct.458</w:t>
            </w:r>
            <w:r w:rsidR="009D7356" w:rsidRPr="00C011B2">
              <w:rPr>
                <w:rFonts w:ascii="Times New Roman" w:hAnsi="Times New Roman" w:cs="Times New Roman"/>
                <w:color w:val="000000" w:themeColor="text1"/>
                <w:lang w:val="ro-MD"/>
              </w:rPr>
              <w:t xml:space="preserv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ia valoarea de piață a fiecărui instrument de datorie cu rată fixă și calculează randamentul la scadență </w:t>
            </w:r>
            <w:r w:rsidR="009D7356" w:rsidRPr="00C011B2">
              <w:rPr>
                <w:rFonts w:ascii="Times New Roman" w:hAnsi="Times New Roman" w:cs="Times New Roman"/>
                <w:color w:val="000000" w:themeColor="text1"/>
                <w:lang w:val="ro-MD"/>
              </w:rPr>
              <w:lastRenderedPageBreak/>
              <w:t xml:space="preserve">al acestuia, care este rata de actualizare implicită pentru titlul respectiv. În cazul instrumentelor cu rată variabilă,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ia valoarea de piață a fiecărui instrument și calculează randamentul pornind de la ipoteza că principalul este scadent la următoarea dată de fixare a ratei dobânzii.</w:t>
            </w:r>
            <w:bookmarkEnd w:id="460"/>
          </w:p>
        </w:tc>
        <w:tc>
          <w:tcPr>
            <w:tcW w:w="450" w:type="pct"/>
          </w:tcPr>
          <w:p w14:paraId="66AACED4" w14:textId="52B143AA"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1CD92A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0B07A1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67BE5F2" w14:textId="3DCCEE2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Apoi, instituția calculează durata modificată pentru fiecare instrument de datorie pe baza următoarei formule:</w:t>
            </w:r>
          </w:p>
          <w:p w14:paraId="0A3178F1" w14:textId="6F09FD3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75440A2" wp14:editId="071295D0">
                  <wp:extent cx="2755900" cy="590550"/>
                  <wp:effectExtent l="0" t="0" r="6350" b="0"/>
                  <wp:docPr id="109" name="Picture 1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755900" cy="590550"/>
                          </a:xfrm>
                          <a:prstGeom prst="rect">
                            <a:avLst/>
                          </a:prstGeom>
                          <a:noFill/>
                          <a:ln>
                            <a:noFill/>
                          </a:ln>
                        </pic:spPr>
                      </pic:pic>
                    </a:graphicData>
                  </a:graphic>
                </wp:inline>
              </w:drawing>
            </w:r>
          </w:p>
          <w:p w14:paraId="26F96B2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63"/>
              <w:gridCol w:w="137"/>
              <w:gridCol w:w="4512"/>
            </w:tblGrid>
            <w:tr w:rsidR="009D7356" w:rsidRPr="00C011B2" w14:paraId="1ABD0917" w14:textId="77777777" w:rsidTr="0059396C">
              <w:tc>
                <w:tcPr>
                  <w:tcW w:w="309" w:type="dxa"/>
                  <w:shd w:val="clear" w:color="auto" w:fill="auto"/>
                  <w:hideMark/>
                </w:tcPr>
                <w:p w14:paraId="498F7F9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w:t>
                  </w:r>
                </w:p>
              </w:tc>
              <w:tc>
                <w:tcPr>
                  <w:tcW w:w="258" w:type="dxa"/>
                  <w:shd w:val="clear" w:color="auto" w:fill="auto"/>
                  <w:hideMark/>
                </w:tcPr>
                <w:p w14:paraId="211EC35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22" w:type="dxa"/>
                  <w:shd w:val="clear" w:color="auto" w:fill="auto"/>
                  <w:hideMark/>
                </w:tcPr>
                <w:p w14:paraId="3437866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durata calculată conform următoarei formule:</w:t>
                  </w:r>
                </w:p>
                <w:p w14:paraId="512C6CBE" w14:textId="1E09EC2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26407320" wp14:editId="2585EE0B">
                        <wp:extent cx="1860550" cy="869950"/>
                        <wp:effectExtent l="0" t="0" r="6350" b="6350"/>
                        <wp:docPr id="108" name="Picture 10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860550" cy="869950"/>
                                </a:xfrm>
                                <a:prstGeom prst="rect">
                                  <a:avLst/>
                                </a:prstGeom>
                                <a:noFill/>
                                <a:ln>
                                  <a:noFill/>
                                </a:ln>
                              </pic:spPr>
                            </pic:pic>
                          </a:graphicData>
                        </a:graphic>
                      </wp:inline>
                    </w:drawing>
                  </w:r>
                </w:p>
                <w:p w14:paraId="3054A5D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245"/>
                    <w:gridCol w:w="217"/>
                    <w:gridCol w:w="4050"/>
                  </w:tblGrid>
                  <w:tr w:rsidR="009D7356" w:rsidRPr="00C011B2" w14:paraId="0FDA2269" w14:textId="77777777">
                    <w:tc>
                      <w:tcPr>
                        <w:tcW w:w="476" w:type="dxa"/>
                        <w:shd w:val="clear" w:color="auto" w:fill="auto"/>
                        <w:hideMark/>
                      </w:tcPr>
                      <w:p w14:paraId="3A6BFE4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t>
                        </w:r>
                      </w:p>
                    </w:tc>
                    <w:tc>
                      <w:tcPr>
                        <w:tcW w:w="422" w:type="dxa"/>
                        <w:shd w:val="clear" w:color="auto" w:fill="auto"/>
                        <w:hideMark/>
                      </w:tcPr>
                      <w:p w14:paraId="5C05DDD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24" w:type="dxa"/>
                        <w:shd w:val="clear" w:color="auto" w:fill="auto"/>
                        <w:hideMark/>
                      </w:tcPr>
                      <w:p w14:paraId="681BDC2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randamentul la scadență;</w:t>
                        </w:r>
                      </w:p>
                    </w:tc>
                  </w:tr>
                </w:tbl>
                <w:p w14:paraId="3E66BFE1" w14:textId="77777777" w:rsidR="009D7356" w:rsidRPr="00C011B2" w:rsidRDefault="009D7356" w:rsidP="009D7356">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28"/>
                    <w:gridCol w:w="177"/>
                    <w:gridCol w:w="4107"/>
                  </w:tblGrid>
                  <w:tr w:rsidR="009D7356" w:rsidRPr="00C011B2" w14:paraId="7B108489" w14:textId="77777777">
                    <w:tc>
                      <w:tcPr>
                        <w:tcW w:w="442" w:type="dxa"/>
                        <w:shd w:val="clear" w:color="auto" w:fill="auto"/>
                        <w:hideMark/>
                      </w:tcPr>
                      <w:p w14:paraId="06DBFB4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w:t>
                        </w:r>
                        <w:r w:rsidRPr="00C011B2">
                          <w:rPr>
                            <w:rFonts w:ascii="Times New Roman" w:hAnsi="Times New Roman" w:cs="Times New Roman"/>
                            <w:color w:val="000000" w:themeColor="text1"/>
                            <w:vertAlign w:val="subscript"/>
                            <w:lang w:val="ro-MD"/>
                          </w:rPr>
                          <w:t>t</w:t>
                        </w:r>
                      </w:p>
                    </w:tc>
                    <w:tc>
                      <w:tcPr>
                        <w:tcW w:w="340" w:type="dxa"/>
                        <w:shd w:val="clear" w:color="auto" w:fill="auto"/>
                        <w:hideMark/>
                      </w:tcPr>
                      <w:p w14:paraId="404277E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340" w:type="dxa"/>
                        <w:shd w:val="clear" w:color="auto" w:fill="auto"/>
                        <w:hideMark/>
                      </w:tcPr>
                      <w:p w14:paraId="50FFA95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plata în numerar la momentul t;</w:t>
                        </w:r>
                      </w:p>
                    </w:tc>
                  </w:tr>
                </w:tbl>
                <w:p w14:paraId="43B9675E" w14:textId="77777777" w:rsidR="009D7356" w:rsidRPr="00C011B2" w:rsidRDefault="009D7356" w:rsidP="009D7356">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65"/>
                    <w:gridCol w:w="319"/>
                    <w:gridCol w:w="3728"/>
                  </w:tblGrid>
                  <w:tr w:rsidR="009D7356" w:rsidRPr="00C011B2" w14:paraId="407C5982" w14:textId="77777777">
                    <w:tc>
                      <w:tcPr>
                        <w:tcW w:w="926" w:type="dxa"/>
                        <w:shd w:val="clear" w:color="auto" w:fill="auto"/>
                        <w:hideMark/>
                      </w:tcPr>
                      <w:p w14:paraId="3ABF54B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w:t>
                        </w:r>
                      </w:p>
                    </w:tc>
                    <w:tc>
                      <w:tcPr>
                        <w:tcW w:w="629" w:type="dxa"/>
                        <w:shd w:val="clear" w:color="auto" w:fill="auto"/>
                        <w:hideMark/>
                      </w:tcPr>
                      <w:p w14:paraId="5920F87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567" w:type="dxa"/>
                        <w:shd w:val="clear" w:color="auto" w:fill="auto"/>
                        <w:hideMark/>
                      </w:tcPr>
                      <w:p w14:paraId="60E807B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scadența totală.</w:t>
                        </w:r>
                      </w:p>
                    </w:tc>
                  </w:tr>
                </w:tbl>
                <w:p w14:paraId="7D82B74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r>
          </w:tbl>
          <w:p w14:paraId="1BDF1F1C" w14:textId="79D973C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Se efectuează corecții ale calculului duratei modificate pentru instrumentele de datorie supuse riscului de plată </w:t>
            </w:r>
            <w:r w:rsidRPr="00C011B2">
              <w:rPr>
                <w:rFonts w:ascii="Times New Roman" w:hAnsi="Times New Roman" w:cs="Times New Roman"/>
                <w:color w:val="000000" w:themeColor="text1"/>
                <w:lang w:val="ro-MD"/>
              </w:rPr>
              <w:lastRenderedPageBreak/>
              <w:t>anticipată. ABE, în conformitate cu articolul 16 din Regulamentul (UE) nr. 1093/2010, emite ghiduri cu privire la modul de aplicare a acestor corecții.</w:t>
            </w:r>
          </w:p>
        </w:tc>
        <w:tc>
          <w:tcPr>
            <w:tcW w:w="1692" w:type="pct"/>
            <w:shd w:val="clear" w:color="auto" w:fill="auto"/>
          </w:tcPr>
          <w:p w14:paraId="0E559474" w14:textId="207031FF" w:rsidR="009D7356" w:rsidRPr="00C011B2" w:rsidRDefault="00764790" w:rsidP="009D7356">
            <w:pPr>
              <w:spacing w:after="0" w:line="276" w:lineRule="auto"/>
              <w:jc w:val="both"/>
              <w:rPr>
                <w:rFonts w:ascii="Times New Roman" w:hAnsi="Times New Roman" w:cs="Times New Roman"/>
                <w:color w:val="000000" w:themeColor="text1"/>
                <w:lang w:val="ro-MD"/>
              </w:rPr>
            </w:pPr>
            <w:bookmarkStart w:id="461" w:name="_Hlk224717878"/>
            <w:r w:rsidRPr="00C011B2">
              <w:rPr>
                <w:rFonts w:ascii="Times New Roman" w:hAnsi="Times New Roman" w:cs="Times New Roman"/>
                <w:color w:val="000000" w:themeColor="text1"/>
                <w:lang w:val="ro-MD"/>
              </w:rPr>
              <w:lastRenderedPageBreak/>
              <w:t>460.</w:t>
            </w:r>
            <w:r w:rsidR="009D7356" w:rsidRPr="00C011B2">
              <w:rPr>
                <w:rFonts w:ascii="Times New Roman" w:hAnsi="Times New Roman" w:cs="Times New Roman"/>
                <w:color w:val="000000" w:themeColor="text1"/>
                <w:lang w:val="ro-MD"/>
              </w:rPr>
              <w:t xml:space="preserve">   Apoi,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calculează durata modificată pentru fiecare instrument de datorie pe baza următoarei formule:</w:t>
            </w:r>
          </w:p>
          <w:p w14:paraId="042CEC2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68F69E4D" wp14:editId="5823D640">
                  <wp:extent cx="2755900" cy="590550"/>
                  <wp:effectExtent l="0" t="0" r="6350" b="0"/>
                  <wp:docPr id="211" name="Picture 2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755900" cy="590550"/>
                          </a:xfrm>
                          <a:prstGeom prst="rect">
                            <a:avLst/>
                          </a:prstGeom>
                          <a:noFill/>
                          <a:ln>
                            <a:noFill/>
                          </a:ln>
                        </pic:spPr>
                      </pic:pic>
                    </a:graphicData>
                  </a:graphic>
                </wp:inline>
              </w:drawing>
            </w:r>
          </w:p>
          <w:p w14:paraId="4A6B542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71"/>
              <w:gridCol w:w="145"/>
              <w:gridCol w:w="4795"/>
            </w:tblGrid>
            <w:tr w:rsidR="009D7356" w:rsidRPr="00C011B2" w14:paraId="5CC52B30" w14:textId="77777777" w:rsidTr="001E785F">
              <w:tc>
                <w:tcPr>
                  <w:tcW w:w="309" w:type="dxa"/>
                  <w:shd w:val="clear" w:color="auto" w:fill="auto"/>
                  <w:hideMark/>
                </w:tcPr>
                <w:p w14:paraId="12873AE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w:t>
                  </w:r>
                </w:p>
              </w:tc>
              <w:tc>
                <w:tcPr>
                  <w:tcW w:w="258" w:type="dxa"/>
                  <w:shd w:val="clear" w:color="auto" w:fill="auto"/>
                  <w:hideMark/>
                </w:tcPr>
                <w:p w14:paraId="68EC4DC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9122" w:type="dxa"/>
                  <w:shd w:val="clear" w:color="auto" w:fill="auto"/>
                  <w:hideMark/>
                </w:tcPr>
                <w:p w14:paraId="4C7056D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durata calculată conform următoarei formule:</w:t>
                  </w:r>
                </w:p>
                <w:p w14:paraId="0CC0022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noProof/>
                      <w:color w:val="000000" w:themeColor="text1"/>
                      <w:lang w:val="ro-MD"/>
                    </w:rPr>
                    <w:drawing>
                      <wp:inline distT="0" distB="0" distL="0" distR="0" wp14:anchorId="71DF2CC3" wp14:editId="19C53B0A">
                        <wp:extent cx="1860550" cy="869950"/>
                        <wp:effectExtent l="0" t="0" r="6350" b="6350"/>
                        <wp:docPr id="212" name="Picture 2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860550" cy="869950"/>
                                </a:xfrm>
                                <a:prstGeom prst="rect">
                                  <a:avLst/>
                                </a:prstGeom>
                                <a:noFill/>
                                <a:ln>
                                  <a:noFill/>
                                </a:ln>
                              </pic:spPr>
                            </pic:pic>
                          </a:graphicData>
                        </a:graphic>
                      </wp:inline>
                    </w:drawing>
                  </w:r>
                </w:p>
                <w:p w14:paraId="3D200ED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258"/>
                    <w:gridCol w:w="230"/>
                    <w:gridCol w:w="4307"/>
                  </w:tblGrid>
                  <w:tr w:rsidR="009D7356" w:rsidRPr="00C011B2" w14:paraId="1FF46729" w14:textId="77777777" w:rsidTr="001E785F">
                    <w:tc>
                      <w:tcPr>
                        <w:tcW w:w="476" w:type="dxa"/>
                        <w:shd w:val="clear" w:color="auto" w:fill="auto"/>
                        <w:hideMark/>
                      </w:tcPr>
                      <w:p w14:paraId="11E5A16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w:t>
                        </w:r>
                      </w:p>
                    </w:tc>
                    <w:tc>
                      <w:tcPr>
                        <w:tcW w:w="422" w:type="dxa"/>
                        <w:shd w:val="clear" w:color="auto" w:fill="auto"/>
                        <w:hideMark/>
                      </w:tcPr>
                      <w:p w14:paraId="316CA8D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224" w:type="dxa"/>
                        <w:shd w:val="clear" w:color="auto" w:fill="auto"/>
                        <w:hideMark/>
                      </w:tcPr>
                      <w:p w14:paraId="3096B04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randamentul la scadență;</w:t>
                        </w:r>
                      </w:p>
                    </w:tc>
                  </w:tr>
                </w:tbl>
                <w:p w14:paraId="7E26568C" w14:textId="77777777" w:rsidR="009D7356" w:rsidRPr="00C011B2" w:rsidRDefault="009D7356" w:rsidP="009D7356">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241"/>
                    <w:gridCol w:w="187"/>
                    <w:gridCol w:w="4367"/>
                  </w:tblGrid>
                  <w:tr w:rsidR="009D7356" w:rsidRPr="00C011B2" w14:paraId="0370BA81" w14:textId="77777777" w:rsidTr="001E785F">
                    <w:tc>
                      <w:tcPr>
                        <w:tcW w:w="442" w:type="dxa"/>
                        <w:shd w:val="clear" w:color="auto" w:fill="auto"/>
                        <w:hideMark/>
                      </w:tcPr>
                      <w:p w14:paraId="1FD3441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w:t>
                        </w:r>
                        <w:r w:rsidRPr="00C011B2">
                          <w:rPr>
                            <w:rFonts w:ascii="Times New Roman" w:hAnsi="Times New Roman" w:cs="Times New Roman"/>
                            <w:color w:val="000000" w:themeColor="text1"/>
                            <w:vertAlign w:val="subscript"/>
                            <w:lang w:val="ro-MD"/>
                          </w:rPr>
                          <w:t>t</w:t>
                        </w:r>
                      </w:p>
                    </w:tc>
                    <w:tc>
                      <w:tcPr>
                        <w:tcW w:w="340" w:type="dxa"/>
                        <w:shd w:val="clear" w:color="auto" w:fill="auto"/>
                        <w:hideMark/>
                      </w:tcPr>
                      <w:p w14:paraId="06E779A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8340" w:type="dxa"/>
                        <w:shd w:val="clear" w:color="auto" w:fill="auto"/>
                        <w:hideMark/>
                      </w:tcPr>
                      <w:p w14:paraId="7931B81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plata în numerar la momentul t;</w:t>
                        </w:r>
                      </w:p>
                    </w:tc>
                  </w:tr>
                </w:tbl>
                <w:p w14:paraId="16AFA07C" w14:textId="77777777" w:rsidR="009D7356" w:rsidRPr="00C011B2" w:rsidRDefault="009D7356" w:rsidP="009D7356">
                  <w:pPr>
                    <w:spacing w:after="0" w:line="276" w:lineRule="auto"/>
                    <w:jc w:val="both"/>
                    <w:rPr>
                      <w:rFonts w:ascii="Times New Roman" w:hAnsi="Times New Roman" w:cs="Times New Roman"/>
                      <w:vanish/>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494"/>
                    <w:gridCol w:w="338"/>
                    <w:gridCol w:w="3963"/>
                  </w:tblGrid>
                  <w:tr w:rsidR="009D7356" w:rsidRPr="00C011B2" w14:paraId="0AAF4D23" w14:textId="77777777" w:rsidTr="001E785F">
                    <w:tc>
                      <w:tcPr>
                        <w:tcW w:w="926" w:type="dxa"/>
                        <w:shd w:val="clear" w:color="auto" w:fill="auto"/>
                        <w:hideMark/>
                      </w:tcPr>
                      <w:p w14:paraId="6AAC82A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M</w:t>
                        </w:r>
                      </w:p>
                    </w:tc>
                    <w:tc>
                      <w:tcPr>
                        <w:tcW w:w="629" w:type="dxa"/>
                        <w:shd w:val="clear" w:color="auto" w:fill="auto"/>
                        <w:hideMark/>
                      </w:tcPr>
                      <w:p w14:paraId="771DE13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w:t>
                        </w:r>
                      </w:p>
                    </w:tc>
                    <w:tc>
                      <w:tcPr>
                        <w:tcW w:w="7567" w:type="dxa"/>
                        <w:shd w:val="clear" w:color="auto" w:fill="auto"/>
                        <w:hideMark/>
                      </w:tcPr>
                      <w:p w14:paraId="5055E7E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scadența totală.</w:t>
                        </w:r>
                      </w:p>
                    </w:tc>
                  </w:tr>
                </w:tbl>
                <w:p w14:paraId="022EE99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r>
          </w:tbl>
          <w:p w14:paraId="59B92FC4" w14:textId="0B3AD756" w:rsidR="009D7356" w:rsidRPr="00C011B2" w:rsidRDefault="0076479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461. </w:t>
            </w:r>
            <w:r w:rsidR="009D7356" w:rsidRPr="00C011B2">
              <w:rPr>
                <w:rFonts w:ascii="Times New Roman" w:hAnsi="Times New Roman" w:cs="Times New Roman"/>
                <w:color w:val="000000" w:themeColor="text1"/>
                <w:lang w:val="ro-MD"/>
              </w:rPr>
              <w:t xml:space="preserve">Se efectuează corecții ale calculului duratei modificate pentru instrumentele de datorie supuse riscului de plată anticipată. </w:t>
            </w:r>
            <w:bookmarkEnd w:id="461"/>
          </w:p>
        </w:tc>
        <w:tc>
          <w:tcPr>
            <w:tcW w:w="450" w:type="pct"/>
          </w:tcPr>
          <w:p w14:paraId="306A4DB1" w14:textId="576DB69E" w:rsidR="009D7356" w:rsidRPr="00C011B2" w:rsidRDefault="0076479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Parțial compatibil</w:t>
            </w:r>
          </w:p>
        </w:tc>
        <w:tc>
          <w:tcPr>
            <w:tcW w:w="1261" w:type="pct"/>
          </w:tcPr>
          <w:p w14:paraId="75E95855" w14:textId="77777777" w:rsidR="00764790" w:rsidRPr="00C011B2" w:rsidRDefault="00764790" w:rsidP="00764790">
            <w:pPr>
              <w:spacing w:line="276" w:lineRule="auto"/>
              <w:jc w:val="both"/>
              <w:rPr>
                <w:rFonts w:ascii="Times New Roman" w:hAnsi="Times New Roman" w:cs="Times New Roman"/>
                <w:color w:val="000000" w:themeColor="text1"/>
                <w:lang w:val="pt-BR"/>
              </w:rPr>
            </w:pPr>
            <w:r w:rsidRPr="00C011B2">
              <w:rPr>
                <w:rFonts w:ascii="Times New Roman" w:hAnsi="Times New Roman" w:cs="Times New Roman"/>
                <w:color w:val="000000" w:themeColor="text1"/>
                <w:lang w:val="ro-MD"/>
              </w:rPr>
              <w:t>Nu au fost transpuse prevederile aferente atribuțiilor ABE</w:t>
            </w:r>
            <w:r w:rsidRPr="00C011B2">
              <w:rPr>
                <w:rFonts w:ascii="Times New Roman" w:hAnsi="Times New Roman" w:cs="Times New Roman"/>
                <w:color w:val="000000" w:themeColor="text1"/>
                <w:lang w:val="pt-BR"/>
              </w:rPr>
              <w:t>.</w:t>
            </w:r>
          </w:p>
          <w:p w14:paraId="793350D2" w14:textId="77777777" w:rsidR="009D7356" w:rsidRPr="00C011B2" w:rsidRDefault="009D7356" w:rsidP="009D7356">
            <w:pPr>
              <w:spacing w:line="276" w:lineRule="auto"/>
              <w:jc w:val="both"/>
              <w:rPr>
                <w:rFonts w:ascii="Times New Roman" w:hAnsi="Times New Roman" w:cs="Times New Roman"/>
                <w:color w:val="000000" w:themeColor="text1"/>
                <w:lang w:val="pt-BR"/>
              </w:rPr>
            </w:pPr>
          </w:p>
        </w:tc>
      </w:tr>
      <w:tr w:rsidR="009D7356" w:rsidRPr="00C011B2" w14:paraId="12C954B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D68A7DD" w14:textId="200B521F"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462" w:name="_Hlk224717918"/>
            <w:r w:rsidRPr="00C011B2">
              <w:rPr>
                <w:rFonts w:ascii="Times New Roman" w:hAnsi="Times New Roman" w:cs="Times New Roman"/>
                <w:color w:val="000000" w:themeColor="text1"/>
                <w:lang w:val="ro-MD"/>
              </w:rPr>
              <w:t>(4)   Apoi, instituția încadrează fiecare instrument de datorie în zona corespunzătoare a tabelului 3. Instituția realizează acest lucru pe baza duratei modificate a fiecărui instrument.</w:t>
            </w:r>
          </w:p>
          <w:p w14:paraId="4BF41019"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3</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1"/>
              <w:gridCol w:w="1299"/>
              <w:gridCol w:w="1740"/>
            </w:tblGrid>
            <w:tr w:rsidR="009D7356" w:rsidRPr="00C011B2" w14:paraId="76808DD8" w14:textId="77777777" w:rsidTr="0059396C">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1A6326"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Zonă</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5AA15E"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Durată modificată</w:t>
                  </w:r>
                </w:p>
                <w:p w14:paraId="37ED50AA"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(în ani)</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3C687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Dobândă presupusă (modificare, în %)</w:t>
                  </w:r>
                </w:p>
              </w:tc>
            </w:tr>
            <w:tr w:rsidR="009D7356" w:rsidRPr="00C011B2" w14:paraId="65EA5659" w14:textId="77777777" w:rsidTr="0059396C">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E97E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Unu</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A612E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0 ≤ 1,0</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09C5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9D7356" w:rsidRPr="00C011B2" w14:paraId="51093998" w14:textId="77777777" w:rsidTr="0059396C">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FF7CA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Doi</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5D26B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 ≤ 3,6</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A25E5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0,85</w:t>
                  </w:r>
                </w:p>
              </w:tc>
            </w:tr>
            <w:tr w:rsidR="009D7356" w:rsidRPr="00C011B2" w14:paraId="17B5292D" w14:textId="77777777" w:rsidTr="0059396C">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F352D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Trei</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DB4A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3,6</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C9685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w:t>
                  </w:r>
                </w:p>
              </w:tc>
            </w:tr>
          </w:tbl>
          <w:p w14:paraId="629982F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3E76AE66" w14:textId="40772E6E" w:rsidR="009D7356" w:rsidRPr="00C011B2" w:rsidRDefault="00764790" w:rsidP="009D7356">
            <w:pPr>
              <w:spacing w:after="0" w:line="276" w:lineRule="auto"/>
              <w:jc w:val="both"/>
              <w:rPr>
                <w:rFonts w:ascii="Times New Roman" w:hAnsi="Times New Roman" w:cs="Times New Roman"/>
                <w:color w:val="000000" w:themeColor="text1"/>
                <w:lang w:val="ro-MD"/>
              </w:rPr>
            </w:pPr>
            <w:bookmarkStart w:id="463" w:name="_Hlk224717940"/>
            <w:r w:rsidRPr="00C011B2">
              <w:rPr>
                <w:rFonts w:ascii="Times New Roman" w:hAnsi="Times New Roman" w:cs="Times New Roman"/>
                <w:color w:val="000000" w:themeColor="text1"/>
                <w:lang w:val="ro-MD"/>
              </w:rPr>
              <w:t>462.</w:t>
            </w:r>
            <w:r w:rsidR="009D7356" w:rsidRPr="00C011B2">
              <w:rPr>
                <w:rFonts w:ascii="Times New Roman" w:hAnsi="Times New Roman" w:cs="Times New Roman"/>
                <w:color w:val="000000" w:themeColor="text1"/>
                <w:lang w:val="ro-MD"/>
              </w:rPr>
              <w:t xml:space="preserve">   Apoi,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încadrează fiecare instrument de datorie în zona corespunzătoare a tabelului 3.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realizează acest lucru pe baza duratei modificate a fiecărui instrument.</w:t>
            </w:r>
            <w:bookmarkEnd w:id="463"/>
          </w:p>
          <w:p w14:paraId="6A0D48A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64" w:name="_Hlk224717966"/>
            <w:r w:rsidRPr="00C011B2">
              <w:rPr>
                <w:rFonts w:ascii="Times New Roman" w:hAnsi="Times New Roman" w:cs="Times New Roman"/>
                <w:b/>
                <w:bCs/>
                <w:color w:val="000000" w:themeColor="text1"/>
                <w:lang w:val="ro-MD"/>
              </w:rPr>
              <w:t>Tabelul 3</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1"/>
              <w:gridCol w:w="1299"/>
              <w:gridCol w:w="1740"/>
            </w:tblGrid>
            <w:tr w:rsidR="009D7356" w:rsidRPr="00C011B2" w14:paraId="0AF6B651" w14:textId="77777777" w:rsidTr="001E785F">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856EE"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Zonă</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1BA76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Durată modificată</w:t>
                  </w:r>
                </w:p>
                <w:p w14:paraId="0AF1E41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(în ani)</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C7759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Dobândă presupusă (modificare, în %)</w:t>
                  </w:r>
                </w:p>
              </w:tc>
            </w:tr>
            <w:tr w:rsidR="009D7356" w:rsidRPr="00C011B2" w14:paraId="7BFDB187" w14:textId="77777777" w:rsidTr="001E785F">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BCE52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Unu</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B06EC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0 ≤ 1,0</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5843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r>
            <w:tr w:rsidR="009D7356" w:rsidRPr="00C011B2" w14:paraId="5FEE1D64" w14:textId="77777777" w:rsidTr="001E785F">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9084C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Doi</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43709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1,0 ≤ 3,6</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2E23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0,85</w:t>
                  </w:r>
                </w:p>
              </w:tc>
            </w:tr>
            <w:tr w:rsidR="009D7356" w:rsidRPr="00C011B2" w14:paraId="1A9A7945" w14:textId="77777777" w:rsidTr="001E785F">
              <w:trPr>
                <w:jc w:val="center"/>
              </w:trPr>
              <w:tc>
                <w:tcPr>
                  <w:tcW w:w="5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EA805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Trei</w:t>
                  </w:r>
                </w:p>
              </w:tc>
              <w:tc>
                <w:tcPr>
                  <w:tcW w:w="129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B2D0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3,6</w:t>
                  </w:r>
                </w:p>
              </w:tc>
              <w:tc>
                <w:tcPr>
                  <w:tcW w:w="17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A423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0,7</w:t>
                  </w:r>
                </w:p>
              </w:tc>
            </w:tr>
            <w:bookmarkEnd w:id="464"/>
          </w:tbl>
          <w:p w14:paraId="3642E1C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3EDD50A9" w14:textId="528B13E3"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B6C3F6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bookmarkEnd w:id="462"/>
      <w:tr w:rsidR="009D7356" w:rsidRPr="00C011B2" w14:paraId="3A9971A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AB8796" w14:textId="4573EE5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Instituția calculează apoi poziția ponderată pe baza duratei, pentru fiecare instrument, prin înmulțirea valorii sale de piață cu durata sa modificată și cu modificarea presupusă a ratei dobânzii aferente unui instrument căruia îi corespunde respectiva durată modificată (a se vedea coloana 3 a tabelului 3).</w:t>
            </w:r>
          </w:p>
        </w:tc>
        <w:tc>
          <w:tcPr>
            <w:tcW w:w="1692" w:type="pct"/>
            <w:shd w:val="clear" w:color="auto" w:fill="auto"/>
          </w:tcPr>
          <w:p w14:paraId="2B7D4E19" w14:textId="68FDA5B5" w:rsidR="009D7356" w:rsidRPr="00C011B2" w:rsidRDefault="00764790" w:rsidP="009D7356">
            <w:pPr>
              <w:spacing w:after="0" w:line="276" w:lineRule="auto"/>
              <w:jc w:val="both"/>
              <w:rPr>
                <w:rFonts w:ascii="Times New Roman" w:hAnsi="Times New Roman" w:cs="Times New Roman"/>
                <w:color w:val="000000" w:themeColor="text1"/>
                <w:lang w:val="ro-MD"/>
              </w:rPr>
            </w:pPr>
            <w:bookmarkStart w:id="465" w:name="_Hlk224718010"/>
            <w:r w:rsidRPr="00C011B2">
              <w:rPr>
                <w:rFonts w:ascii="Times New Roman" w:hAnsi="Times New Roman" w:cs="Times New Roman"/>
                <w:color w:val="000000" w:themeColor="text1"/>
                <w:lang w:val="ro-MD"/>
              </w:rPr>
              <w:t>463.</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calculează apoi poziția ponderată pe baza duratei, pentru fiecare instrument, prin înmulțirea valorii sale de piață cu durata sa modificată și cu modificarea presupusă a ratei dobânzii aferente unui instrument căruia îi corespunde respectiva durată modificată (a se vedea coloana 3 a tabelului 3).</w:t>
            </w:r>
            <w:bookmarkEnd w:id="465"/>
          </w:p>
        </w:tc>
        <w:tc>
          <w:tcPr>
            <w:tcW w:w="450" w:type="pct"/>
          </w:tcPr>
          <w:p w14:paraId="0129EF4D" w14:textId="7A63C465"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0CE04C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33FF0B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42E1B9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(6)   Instituția calculează pozițiile lungi ponderate pe baza duratei, precum și pozițiile scurte ponderate pe baza duratei, în cadrul fiecărei zone. Suma rezultată din punerea în corespondență, în fiecare zonă, a pozițiilor lungi ponderate pe baza duratei cu pozițiile scurte </w:t>
            </w:r>
            <w:r w:rsidRPr="00C011B2">
              <w:rPr>
                <w:rFonts w:ascii="Times New Roman" w:hAnsi="Times New Roman" w:cs="Times New Roman"/>
                <w:color w:val="000000" w:themeColor="text1"/>
                <w:lang w:val="ro-MD"/>
              </w:rPr>
              <w:lastRenderedPageBreak/>
              <w:t>ponderate pe baza duratei, reprezintă poziția ponderată pe baza duratei, pusă în corespondență pentru zona respectivă.</w:t>
            </w:r>
          </w:p>
          <w:p w14:paraId="5E7E452F" w14:textId="27E6345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Apoi instituția calculează pentru fiecare zonă pozițiile ponderate pe baza duratei nepuse în corespondență. În continuare, parcurge procedurile stabilite la articolul 339 alineatele (5)-(8), pentru pozițiile ponderate nepuse în corespondență.</w:t>
            </w:r>
          </w:p>
        </w:tc>
        <w:tc>
          <w:tcPr>
            <w:tcW w:w="1692" w:type="pct"/>
            <w:shd w:val="clear" w:color="auto" w:fill="auto"/>
          </w:tcPr>
          <w:p w14:paraId="136C4B3D" w14:textId="39568430" w:rsidR="009D7356" w:rsidRPr="00C011B2" w:rsidRDefault="00764790" w:rsidP="009D7356">
            <w:pPr>
              <w:spacing w:after="0" w:line="276" w:lineRule="auto"/>
              <w:jc w:val="both"/>
              <w:rPr>
                <w:rFonts w:ascii="Times New Roman" w:hAnsi="Times New Roman" w:cs="Times New Roman"/>
                <w:color w:val="000000" w:themeColor="text1"/>
                <w:lang w:val="ro-MD"/>
              </w:rPr>
            </w:pPr>
            <w:bookmarkStart w:id="466" w:name="_Hlk224718044"/>
            <w:r w:rsidRPr="00C011B2">
              <w:rPr>
                <w:rFonts w:ascii="Times New Roman" w:hAnsi="Times New Roman" w:cs="Times New Roman"/>
                <w:color w:val="000000" w:themeColor="text1"/>
                <w:lang w:val="ro-MD"/>
              </w:rPr>
              <w:lastRenderedPageBreak/>
              <w:t>464.</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calculează pozițiile lungi ponderate pe baza duratei, precum și pozițiile scurte ponderate pe baza duratei, în cadrul fiecărei zone. Suma rezultată din punerea în corespondență, în fiecare zonă, a pozițiilor lungi ponderate pe baza duratei cu pozițiile scurte ponderate pe </w:t>
            </w:r>
            <w:r w:rsidR="009D7356" w:rsidRPr="00C011B2">
              <w:rPr>
                <w:rFonts w:ascii="Times New Roman" w:hAnsi="Times New Roman" w:cs="Times New Roman"/>
                <w:color w:val="000000" w:themeColor="text1"/>
                <w:lang w:val="ro-MD"/>
              </w:rPr>
              <w:lastRenderedPageBreak/>
              <w:t>baza duratei, reprezintă poziția ponderată pe baza duratei, pusă în corespondență pentru zona respectivă.</w:t>
            </w:r>
          </w:p>
          <w:p w14:paraId="2D310487" w14:textId="48CB1657" w:rsidR="009D7356" w:rsidRPr="00C011B2" w:rsidRDefault="0076479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465. </w:t>
            </w:r>
            <w:r w:rsidR="009D7356" w:rsidRPr="00C011B2">
              <w:rPr>
                <w:rFonts w:ascii="Times New Roman" w:hAnsi="Times New Roman" w:cs="Times New Roman"/>
                <w:color w:val="000000" w:themeColor="text1"/>
                <w:lang w:val="ro-MD"/>
              </w:rPr>
              <w:t xml:space="preserve">Apoi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calculează pentru fiecare zonă pozițiile ponderate pe baza duratei nepuse în corespondență. În continuare, parcurge procedurile stabilite la </w:t>
            </w:r>
            <w:r w:rsidR="00640B64" w:rsidRPr="00C011B2">
              <w:rPr>
                <w:rFonts w:ascii="Times New Roman" w:hAnsi="Times New Roman" w:cs="Times New Roman"/>
                <w:color w:val="000000" w:themeColor="text1"/>
                <w:lang w:val="ro-MD"/>
              </w:rPr>
              <w:t>pct.453-456</w:t>
            </w:r>
            <w:r w:rsidR="009D7356" w:rsidRPr="00C011B2">
              <w:rPr>
                <w:rFonts w:ascii="Times New Roman" w:hAnsi="Times New Roman" w:cs="Times New Roman"/>
                <w:color w:val="000000" w:themeColor="text1"/>
                <w:lang w:val="ro-MD"/>
              </w:rPr>
              <w:t>, pentru pozițiile ponderate nepuse în corespondență.</w:t>
            </w:r>
            <w:bookmarkEnd w:id="466"/>
          </w:p>
        </w:tc>
        <w:tc>
          <w:tcPr>
            <w:tcW w:w="450" w:type="pct"/>
          </w:tcPr>
          <w:p w14:paraId="4C876A76" w14:textId="6FBA2B32"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20C0C4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6E6AD4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08100C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   Ulterior, cerința de fonduri proprii a instituției se calculează ca sumă a următoarelor elemente:</w:t>
            </w:r>
          </w:p>
          <w:p w14:paraId="4007260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2 % din poziția ponderată pe baza duratei, pusă în corespondență pentru fiecare zonă;</w:t>
            </w:r>
          </w:p>
          <w:p w14:paraId="6D4A0D8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40 % din pozițiile ponderate pe baza duratei, puse în corespondență între zonele unu și doi și între zonele doi și trei;</w:t>
            </w:r>
          </w:p>
          <w:p w14:paraId="4CF5654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150 % din poziția ponderată pe baza duratei, pusă în corespondență între zonele unu și trei;</w:t>
            </w:r>
          </w:p>
          <w:p w14:paraId="128AB2D7" w14:textId="7D3B5D6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100 % din pozițiile reziduale ponderate pe baza duratei, nepuse în corespondență.</w:t>
            </w:r>
          </w:p>
        </w:tc>
        <w:tc>
          <w:tcPr>
            <w:tcW w:w="1692" w:type="pct"/>
            <w:shd w:val="clear" w:color="auto" w:fill="auto"/>
          </w:tcPr>
          <w:p w14:paraId="5C74CE12" w14:textId="4AC75126" w:rsidR="009D7356" w:rsidRPr="00C011B2" w:rsidRDefault="00640B64" w:rsidP="009D7356">
            <w:pPr>
              <w:spacing w:after="0" w:line="276" w:lineRule="auto"/>
              <w:jc w:val="both"/>
              <w:rPr>
                <w:rFonts w:ascii="Times New Roman" w:hAnsi="Times New Roman" w:cs="Times New Roman"/>
                <w:color w:val="000000" w:themeColor="text1"/>
                <w:lang w:val="ro-MD"/>
              </w:rPr>
            </w:pPr>
            <w:bookmarkStart w:id="467" w:name="_Hlk224718083"/>
            <w:r w:rsidRPr="00C011B2">
              <w:rPr>
                <w:rFonts w:ascii="Times New Roman" w:hAnsi="Times New Roman" w:cs="Times New Roman"/>
                <w:color w:val="000000" w:themeColor="text1"/>
                <w:lang w:val="ro-MD"/>
              </w:rPr>
              <w:t>466.</w:t>
            </w:r>
            <w:r w:rsidR="009D7356" w:rsidRPr="00C011B2">
              <w:rPr>
                <w:rFonts w:ascii="Times New Roman" w:hAnsi="Times New Roman" w:cs="Times New Roman"/>
                <w:color w:val="000000" w:themeColor="text1"/>
                <w:lang w:val="ro-MD"/>
              </w:rPr>
              <w:t xml:space="preserve">   Ulterior, cerința de fonduri proprii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se calculează ca sumă a următoarelor elemente:</w:t>
            </w:r>
          </w:p>
          <w:p w14:paraId="08126647" w14:textId="5B80F26C" w:rsidR="009D7356" w:rsidRPr="00C011B2" w:rsidRDefault="00640B64"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466.1.</w:t>
            </w:r>
            <w:r w:rsidR="009D7356" w:rsidRPr="00C011B2">
              <w:rPr>
                <w:rFonts w:ascii="Times New Roman" w:hAnsi="Times New Roman" w:cs="Times New Roman"/>
                <w:color w:val="000000" w:themeColor="text1"/>
                <w:lang w:val="ro-MD"/>
              </w:rPr>
              <w:t> 2 % din poziția ponderată pe baza duratei, pusă în corespondență pentru fiecare zonă;</w:t>
            </w:r>
          </w:p>
          <w:p w14:paraId="44EA6E2F" w14:textId="7CE10E58" w:rsidR="009D7356" w:rsidRPr="00C011B2" w:rsidRDefault="00640B64"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466.2.</w:t>
            </w:r>
            <w:r w:rsidR="009D7356" w:rsidRPr="00C011B2">
              <w:rPr>
                <w:rFonts w:ascii="Times New Roman" w:hAnsi="Times New Roman" w:cs="Times New Roman"/>
                <w:color w:val="000000" w:themeColor="text1"/>
                <w:lang w:val="ro-MD"/>
              </w:rPr>
              <w:t> 40 % din pozițiile ponderate pe baza duratei, puse în corespondență între zonele unu și doi și între zonele doi și trei;</w:t>
            </w:r>
          </w:p>
          <w:p w14:paraId="7091EA59" w14:textId="60F0427F" w:rsidR="009D7356" w:rsidRPr="00C011B2" w:rsidRDefault="00640B64"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466.3.</w:t>
            </w:r>
            <w:r w:rsidR="009D7356" w:rsidRPr="00C011B2">
              <w:rPr>
                <w:rFonts w:ascii="Times New Roman" w:hAnsi="Times New Roman" w:cs="Times New Roman"/>
                <w:color w:val="000000" w:themeColor="text1"/>
                <w:lang w:val="ro-MD"/>
              </w:rPr>
              <w:t> 150 % din poziția ponderată pe baza duratei, pusă în corespondență între zonele unu și trei;</w:t>
            </w:r>
          </w:p>
          <w:p w14:paraId="6DFBA0AB" w14:textId="7C33FE24" w:rsidR="009D7356" w:rsidRPr="00C011B2" w:rsidRDefault="00640B64"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466.4.</w:t>
            </w:r>
            <w:r w:rsidR="009D7356" w:rsidRPr="00C011B2">
              <w:rPr>
                <w:rFonts w:ascii="Times New Roman" w:hAnsi="Times New Roman" w:cs="Times New Roman"/>
                <w:color w:val="000000" w:themeColor="text1"/>
                <w:lang w:val="ro-MD"/>
              </w:rPr>
              <w:t> 100 % din pozițiile reziduale ponderate pe baza duratei, nepuse în corespondență.</w:t>
            </w:r>
            <w:bookmarkEnd w:id="467"/>
          </w:p>
        </w:tc>
        <w:tc>
          <w:tcPr>
            <w:tcW w:w="450" w:type="pct"/>
          </w:tcPr>
          <w:p w14:paraId="694FB3A9" w14:textId="03C51298"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1AC37D5"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CE8DE4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099491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3</w:t>
            </w:r>
          </w:p>
          <w:p w14:paraId="1396496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Titluri de capital</w:t>
            </w:r>
          </w:p>
          <w:p w14:paraId="0789ED67"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341</w:t>
            </w:r>
          </w:p>
          <w:p w14:paraId="7724E9AA" w14:textId="75C510F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Poziții nete pe titluri de capital</w:t>
            </w:r>
          </w:p>
        </w:tc>
        <w:tc>
          <w:tcPr>
            <w:tcW w:w="1692" w:type="pct"/>
            <w:shd w:val="clear" w:color="auto" w:fill="auto"/>
          </w:tcPr>
          <w:p w14:paraId="0A376615" w14:textId="0BEF94E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68" w:name="_Hlk195099821"/>
            <w:r w:rsidRPr="00C011B2">
              <w:rPr>
                <w:rFonts w:ascii="Times New Roman" w:hAnsi="Times New Roman" w:cs="Times New Roman"/>
                <w:b/>
                <w:bCs/>
                <w:color w:val="000000" w:themeColor="text1"/>
                <w:lang w:val="ro-MD"/>
              </w:rPr>
              <w:t>Secțiunea 3</w:t>
            </w:r>
            <w:r w:rsidR="008833A0" w:rsidRPr="00C011B2">
              <w:rPr>
                <w:rFonts w:ascii="Times New Roman" w:hAnsi="Times New Roman" w:cs="Times New Roman"/>
                <w:b/>
                <w:bCs/>
                <w:color w:val="000000" w:themeColor="text1"/>
                <w:lang w:val="ro-MD"/>
              </w:rPr>
              <w:t xml:space="preserve">. </w:t>
            </w:r>
          </w:p>
          <w:p w14:paraId="0A53DBF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Titluri de capital</w:t>
            </w:r>
          </w:p>
          <w:p w14:paraId="4E297BC0" w14:textId="71A99C84" w:rsidR="009D7356" w:rsidRPr="00C011B2" w:rsidRDefault="008833A0"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Su</w:t>
            </w:r>
            <w:r w:rsidR="00CF53DC" w:rsidRPr="00C011B2">
              <w:rPr>
                <w:rFonts w:ascii="Times New Roman" w:hAnsi="Times New Roman" w:cs="Times New Roman"/>
                <w:i/>
                <w:iCs/>
                <w:color w:val="000000" w:themeColor="text1"/>
                <w:lang w:val="ro-MD"/>
              </w:rPr>
              <w:t>b</w:t>
            </w:r>
            <w:r w:rsidRPr="00C011B2">
              <w:rPr>
                <w:rFonts w:ascii="Times New Roman" w:hAnsi="Times New Roman" w:cs="Times New Roman"/>
                <w:i/>
                <w:iCs/>
                <w:color w:val="000000" w:themeColor="text1"/>
                <w:lang w:val="ro-MD"/>
              </w:rPr>
              <w:t xml:space="preserve">secțiunea 1. </w:t>
            </w:r>
          </w:p>
          <w:p w14:paraId="5E252660" w14:textId="287D4E5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Poziții nete pe titluri de capital</w:t>
            </w:r>
            <w:bookmarkEnd w:id="468"/>
          </w:p>
        </w:tc>
        <w:tc>
          <w:tcPr>
            <w:tcW w:w="450" w:type="pct"/>
          </w:tcPr>
          <w:p w14:paraId="523E286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5A02CF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BA20E9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35B6EDB" w14:textId="76F3881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Instituția calculează separat suma tuturor pozițiilor nete lungi și suma tuturor pozițiilor nete scurte, în </w:t>
            </w:r>
            <w:r w:rsidRPr="00C011B2">
              <w:rPr>
                <w:rFonts w:ascii="Times New Roman" w:hAnsi="Times New Roman" w:cs="Times New Roman"/>
                <w:color w:val="000000" w:themeColor="text1"/>
                <w:lang w:val="ro-MD"/>
              </w:rPr>
              <w:lastRenderedPageBreak/>
              <w:t>conformitate articolul 327. Suma valorilor absolute ale celor două cifre reprezintă poziția brută totală a instituției.</w:t>
            </w:r>
          </w:p>
        </w:tc>
        <w:tc>
          <w:tcPr>
            <w:tcW w:w="1692" w:type="pct"/>
            <w:shd w:val="clear" w:color="auto" w:fill="auto"/>
          </w:tcPr>
          <w:p w14:paraId="15B8B1A9" w14:textId="57DC6B15" w:rsidR="009D7356" w:rsidRPr="00C011B2" w:rsidRDefault="008833A0" w:rsidP="009D7356">
            <w:pPr>
              <w:spacing w:after="0" w:line="276" w:lineRule="auto"/>
              <w:jc w:val="both"/>
              <w:rPr>
                <w:rFonts w:ascii="Times New Roman" w:hAnsi="Times New Roman" w:cs="Times New Roman"/>
                <w:color w:val="000000" w:themeColor="text1"/>
                <w:lang w:val="ro-MD"/>
              </w:rPr>
            </w:pPr>
            <w:bookmarkStart w:id="469" w:name="_Hlk224718818"/>
            <w:r w:rsidRPr="00C011B2">
              <w:rPr>
                <w:rFonts w:ascii="Times New Roman" w:hAnsi="Times New Roman" w:cs="Times New Roman"/>
                <w:color w:val="000000" w:themeColor="text1"/>
                <w:lang w:val="ro-MD"/>
              </w:rPr>
              <w:lastRenderedPageBreak/>
              <w:t>467.</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calculează separat suma tuturor pozițiilor nete lungi și suma tuturor pozițiilor nete scurte, în conformitate </w:t>
            </w:r>
            <w:r w:rsidRPr="00C011B2">
              <w:rPr>
                <w:rFonts w:ascii="Times New Roman" w:hAnsi="Times New Roman" w:cs="Times New Roman"/>
                <w:color w:val="000000" w:themeColor="text1"/>
                <w:lang w:val="ro-MD"/>
              </w:rPr>
              <w:lastRenderedPageBreak/>
              <w:t>cu titlul II capitolul IV secțiunea 1 subsecțiunea 2</w:t>
            </w:r>
            <w:r w:rsidR="009D7356" w:rsidRPr="00C011B2">
              <w:rPr>
                <w:rFonts w:ascii="Times New Roman" w:hAnsi="Times New Roman" w:cs="Times New Roman"/>
                <w:color w:val="000000" w:themeColor="text1"/>
                <w:lang w:val="ro-MD"/>
              </w:rPr>
              <w:t xml:space="preserve">. Suma valorilor absolute ale celor două cifre reprezintă poziția brută totală a </w:t>
            </w:r>
            <w:r w:rsidRPr="00C011B2">
              <w:rPr>
                <w:rFonts w:ascii="Times New Roman" w:hAnsi="Times New Roman" w:cs="Times New Roman"/>
                <w:color w:val="000000" w:themeColor="text1"/>
                <w:lang w:val="ro-MD"/>
              </w:rPr>
              <w:t>băncii</w:t>
            </w:r>
            <w:r w:rsidR="009D7356" w:rsidRPr="00C011B2">
              <w:rPr>
                <w:rFonts w:ascii="Times New Roman" w:hAnsi="Times New Roman" w:cs="Times New Roman"/>
                <w:color w:val="000000" w:themeColor="text1"/>
                <w:lang w:val="ro-MD"/>
              </w:rPr>
              <w:t>.</w:t>
            </w:r>
            <w:bookmarkEnd w:id="469"/>
          </w:p>
        </w:tc>
        <w:tc>
          <w:tcPr>
            <w:tcW w:w="450" w:type="pct"/>
          </w:tcPr>
          <w:p w14:paraId="69845BA9" w14:textId="13C5ED4F" w:rsidR="009D7356" w:rsidRPr="00C011B2" w:rsidRDefault="008833A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5BD563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FEE10D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C8B1FB3" w14:textId="5005C68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Instituția calculează, separat pentru fiecare piață, diferența dintre suma pozițiilor nete lungi și suma pozițiilor nete scurte. Suma valorilor absolute ale acestor diferențe reprezintă poziția netă totală a instituției.</w:t>
            </w:r>
          </w:p>
        </w:tc>
        <w:tc>
          <w:tcPr>
            <w:tcW w:w="1692" w:type="pct"/>
            <w:shd w:val="clear" w:color="auto" w:fill="auto"/>
          </w:tcPr>
          <w:p w14:paraId="004C06A6" w14:textId="7E6E62CD" w:rsidR="009D7356" w:rsidRPr="00C011B2" w:rsidRDefault="008833A0" w:rsidP="009D7356">
            <w:pPr>
              <w:spacing w:after="0" w:line="276" w:lineRule="auto"/>
              <w:jc w:val="both"/>
              <w:rPr>
                <w:rFonts w:ascii="Times New Roman" w:hAnsi="Times New Roman" w:cs="Times New Roman"/>
                <w:color w:val="000000" w:themeColor="text1"/>
                <w:lang w:val="ro-MD"/>
              </w:rPr>
            </w:pPr>
            <w:bookmarkStart w:id="470" w:name="_Hlk224718832"/>
            <w:r w:rsidRPr="00C011B2">
              <w:rPr>
                <w:rFonts w:ascii="Times New Roman" w:hAnsi="Times New Roman" w:cs="Times New Roman"/>
                <w:color w:val="000000" w:themeColor="text1"/>
                <w:lang w:val="ro-MD"/>
              </w:rPr>
              <w:t>468.</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calculează, separat pentru fiecare piață, diferența dintre suma pozițiilor nete lungi și suma pozițiilor nete scurte. Suma valorilor absolute ale acestor diferențe reprezintă poziția netă totală a </w:t>
            </w:r>
            <w:r w:rsidR="00CF53DC" w:rsidRPr="00C011B2">
              <w:rPr>
                <w:rFonts w:ascii="Times New Roman" w:hAnsi="Times New Roman" w:cs="Times New Roman"/>
                <w:color w:val="000000" w:themeColor="text1"/>
                <w:lang w:val="ro-MD"/>
              </w:rPr>
              <w:t>băncii</w:t>
            </w:r>
            <w:r w:rsidR="009D7356" w:rsidRPr="00C011B2">
              <w:rPr>
                <w:rFonts w:ascii="Times New Roman" w:hAnsi="Times New Roman" w:cs="Times New Roman"/>
                <w:color w:val="000000" w:themeColor="text1"/>
                <w:lang w:val="ro-MD"/>
              </w:rPr>
              <w:t>.</w:t>
            </w:r>
            <w:bookmarkEnd w:id="470"/>
          </w:p>
        </w:tc>
        <w:tc>
          <w:tcPr>
            <w:tcW w:w="450" w:type="pct"/>
          </w:tcPr>
          <w:p w14:paraId="7FA7C214" w14:textId="73943BAD" w:rsidR="009D7356" w:rsidRPr="00C011B2" w:rsidRDefault="00CF53DC"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1CD66C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DA537B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801FB8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ABE elaborează proiecte de standarde tehnice de reglementare care definesc termenul „piață” menționat la alineatul (2).</w:t>
            </w:r>
          </w:p>
          <w:p w14:paraId="5F1BF53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transmite Comisiei aceste proiecte de standarde tehnice de reglementare până la 31 ianuarie 2014.</w:t>
            </w:r>
          </w:p>
          <w:p w14:paraId="7C70AC8A" w14:textId="089DAEF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adopta standardele tehnice de reglementare menționate la primul paragraf, în conformitate cu articolele 10-14 din Regulamentul (UE) nr. 1093/2010.</w:t>
            </w:r>
          </w:p>
        </w:tc>
        <w:tc>
          <w:tcPr>
            <w:tcW w:w="1692" w:type="pct"/>
            <w:shd w:val="clear" w:color="auto" w:fill="auto"/>
          </w:tcPr>
          <w:p w14:paraId="0998180E" w14:textId="28E8D7E6"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2ADF968C" w14:textId="0B31C201"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5E9F3AF2" w14:textId="11135579"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Alin.(3) stabilește obligații pentru autorități europene – Autoritatea Bancară Europeană.</w:t>
            </w:r>
          </w:p>
        </w:tc>
      </w:tr>
      <w:tr w:rsidR="009D7356" w:rsidRPr="00C011B2" w14:paraId="6C2EE84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C11ACC"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342</w:t>
            </w:r>
          </w:p>
          <w:p w14:paraId="0EE09AC4" w14:textId="508FDC3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Riscul specific al titlurilor de capital</w:t>
            </w:r>
          </w:p>
        </w:tc>
        <w:tc>
          <w:tcPr>
            <w:tcW w:w="1692" w:type="pct"/>
            <w:shd w:val="clear" w:color="auto" w:fill="auto"/>
          </w:tcPr>
          <w:p w14:paraId="599E1277" w14:textId="6E0F652F" w:rsidR="009D7356" w:rsidRPr="00C011B2" w:rsidRDefault="00BA4038" w:rsidP="009D7356">
            <w:pPr>
              <w:spacing w:after="0" w:line="276" w:lineRule="auto"/>
              <w:jc w:val="both"/>
              <w:rPr>
                <w:rFonts w:ascii="Times New Roman" w:hAnsi="Times New Roman" w:cs="Times New Roman"/>
                <w:color w:val="000000" w:themeColor="text1"/>
                <w:lang w:val="ro-MD"/>
              </w:rPr>
            </w:pPr>
            <w:bookmarkStart w:id="471" w:name="_Hlk195099849"/>
            <w:r w:rsidRPr="00C011B2">
              <w:rPr>
                <w:rFonts w:ascii="Times New Roman" w:hAnsi="Times New Roman" w:cs="Times New Roman"/>
                <w:i/>
                <w:iCs/>
                <w:color w:val="000000" w:themeColor="text1"/>
                <w:lang w:val="ro-MD"/>
              </w:rPr>
              <w:t xml:space="preserve">Subsecțiunea 2. </w:t>
            </w:r>
            <w:r w:rsidR="009D7356" w:rsidRPr="00C011B2">
              <w:rPr>
                <w:rFonts w:ascii="Times New Roman" w:hAnsi="Times New Roman" w:cs="Times New Roman"/>
                <w:b/>
                <w:bCs/>
                <w:color w:val="000000" w:themeColor="text1"/>
                <w:lang w:val="ro-MD"/>
              </w:rPr>
              <w:t>Riscul specific al titlurilor de capital</w:t>
            </w:r>
            <w:bookmarkEnd w:id="471"/>
          </w:p>
        </w:tc>
        <w:tc>
          <w:tcPr>
            <w:tcW w:w="450" w:type="pct"/>
          </w:tcPr>
          <w:p w14:paraId="2037411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02C8CB6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7B82C5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5E3722B" w14:textId="17529033" w:rsidR="009D7356" w:rsidRPr="00C011B2" w:rsidRDefault="009D7356" w:rsidP="009D7356">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color w:val="000000" w:themeColor="text1"/>
                <w:lang w:val="it-IT"/>
              </w:rPr>
              <w:t>Pentru a calcula cerința de fonduri proprii pentru acoperirea riscului specific, instituția înmulțește poziția sa brută totală cu 8 %.</w:t>
            </w:r>
          </w:p>
        </w:tc>
        <w:tc>
          <w:tcPr>
            <w:tcW w:w="1692" w:type="pct"/>
            <w:shd w:val="clear" w:color="auto" w:fill="auto"/>
          </w:tcPr>
          <w:p w14:paraId="719FA5B9" w14:textId="0602937C" w:rsidR="009D7356" w:rsidRPr="00C011B2" w:rsidRDefault="00BA4038" w:rsidP="009D7356">
            <w:pPr>
              <w:spacing w:after="0" w:line="276" w:lineRule="auto"/>
              <w:jc w:val="both"/>
              <w:rPr>
                <w:rFonts w:ascii="Times New Roman" w:hAnsi="Times New Roman" w:cs="Times New Roman"/>
                <w:color w:val="000000" w:themeColor="text1"/>
                <w:lang w:val="ro-MD"/>
              </w:rPr>
            </w:pPr>
            <w:bookmarkStart w:id="472" w:name="_Hlk224720753"/>
            <w:r w:rsidRPr="00C011B2">
              <w:rPr>
                <w:rFonts w:ascii="Times New Roman" w:hAnsi="Times New Roman" w:cs="Times New Roman"/>
                <w:color w:val="000000" w:themeColor="text1"/>
                <w:lang w:val="it-IT"/>
              </w:rPr>
              <w:t xml:space="preserve">470. </w:t>
            </w:r>
            <w:r w:rsidR="009D7356" w:rsidRPr="00C011B2">
              <w:rPr>
                <w:rFonts w:ascii="Times New Roman" w:hAnsi="Times New Roman" w:cs="Times New Roman"/>
                <w:color w:val="000000" w:themeColor="text1"/>
                <w:lang w:val="it-IT"/>
              </w:rPr>
              <w:t xml:space="preserve">Pentru a calcula cerința de fonduri proprii pentru acoperirea riscului specific, </w:t>
            </w:r>
            <w:r w:rsidRPr="00C011B2">
              <w:rPr>
                <w:rFonts w:ascii="Times New Roman" w:hAnsi="Times New Roman" w:cs="Times New Roman"/>
                <w:color w:val="000000" w:themeColor="text1"/>
                <w:lang w:val="it-IT"/>
              </w:rPr>
              <w:t xml:space="preserve">banca </w:t>
            </w:r>
            <w:r w:rsidR="009D7356" w:rsidRPr="00C011B2">
              <w:rPr>
                <w:rFonts w:ascii="Times New Roman" w:hAnsi="Times New Roman" w:cs="Times New Roman"/>
                <w:color w:val="000000" w:themeColor="text1"/>
                <w:lang w:val="it-IT"/>
              </w:rPr>
              <w:t xml:space="preserve">înmulțește poziția sa brută totală cu </w:t>
            </w:r>
            <w:r w:rsidR="00E73876" w:rsidRPr="00C011B2">
              <w:rPr>
                <w:rFonts w:ascii="Times New Roman" w:hAnsi="Times New Roman" w:cs="Times New Roman"/>
                <w:color w:val="000000" w:themeColor="text1"/>
                <w:lang w:val="it-IT"/>
              </w:rPr>
              <w:t>10 </w:t>
            </w:r>
            <w:r w:rsidR="009D7356" w:rsidRPr="00C011B2">
              <w:rPr>
                <w:rFonts w:ascii="Times New Roman" w:hAnsi="Times New Roman" w:cs="Times New Roman"/>
                <w:color w:val="000000" w:themeColor="text1"/>
                <w:lang w:val="it-IT"/>
              </w:rPr>
              <w:t>%.</w:t>
            </w:r>
            <w:bookmarkEnd w:id="472"/>
          </w:p>
        </w:tc>
        <w:tc>
          <w:tcPr>
            <w:tcW w:w="450" w:type="pct"/>
          </w:tcPr>
          <w:p w14:paraId="14A59CB3" w14:textId="484B7B2F"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Parțial </w:t>
            </w:r>
            <w:r w:rsidR="003C79CF" w:rsidRPr="00C011B2">
              <w:rPr>
                <w:rFonts w:ascii="Times New Roman" w:hAnsi="Times New Roman" w:cs="Times New Roman"/>
                <w:color w:val="000000" w:themeColor="text1"/>
                <w:lang w:val="ro-MD"/>
              </w:rPr>
              <w:t>compatibil</w:t>
            </w:r>
          </w:p>
        </w:tc>
        <w:tc>
          <w:tcPr>
            <w:tcW w:w="1261" w:type="pct"/>
          </w:tcPr>
          <w:p w14:paraId="3079477C" w14:textId="1CA69163"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Ponderea de risc de 8% se va aplica de la data intrării în vigoare a Tratatului de aderare a Republicii Moldova la Uniunea Europeană. Până la data respectivă se va aplica ponderea de risc de 8% astfel cum stabilesc prevederile Regulamentului </w:t>
            </w:r>
            <w:r w:rsidRPr="00C011B2">
              <w:rPr>
                <w:rFonts w:ascii="Times New Roman" w:hAnsi="Times New Roman" w:cs="Times New Roman"/>
                <w:color w:val="000000" w:themeColor="text1"/>
                <w:lang w:val="ro-MD"/>
              </w:rPr>
              <w:lastRenderedPageBreak/>
              <w:t>nr.109/2018 cu privire la fondurile proprii ale băncilor şi cerinţele de capital.</w:t>
            </w:r>
          </w:p>
        </w:tc>
      </w:tr>
      <w:tr w:rsidR="009D7356" w:rsidRPr="00C011B2" w14:paraId="725D13A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E612E54"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343</w:t>
            </w:r>
          </w:p>
          <w:p w14:paraId="7DEDA8D7" w14:textId="5688419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Riscul general al titlurilor de capital</w:t>
            </w:r>
          </w:p>
        </w:tc>
        <w:tc>
          <w:tcPr>
            <w:tcW w:w="1692" w:type="pct"/>
            <w:shd w:val="clear" w:color="auto" w:fill="auto"/>
          </w:tcPr>
          <w:p w14:paraId="21733C1D" w14:textId="0720FDC0" w:rsidR="009D7356" w:rsidRPr="00C011B2" w:rsidRDefault="00BA4038" w:rsidP="009D7356">
            <w:pPr>
              <w:spacing w:after="0" w:line="276" w:lineRule="auto"/>
              <w:jc w:val="both"/>
              <w:rPr>
                <w:rFonts w:ascii="Times New Roman" w:hAnsi="Times New Roman" w:cs="Times New Roman"/>
                <w:color w:val="000000" w:themeColor="text1"/>
                <w:lang w:val="ro-MD"/>
              </w:rPr>
            </w:pPr>
            <w:bookmarkStart w:id="473" w:name="_Hlk195099870"/>
            <w:r w:rsidRPr="00C011B2">
              <w:rPr>
                <w:rFonts w:ascii="Times New Roman" w:hAnsi="Times New Roman" w:cs="Times New Roman"/>
                <w:i/>
                <w:iCs/>
                <w:color w:val="000000" w:themeColor="text1"/>
                <w:lang w:val="ro-MD"/>
              </w:rPr>
              <w:t xml:space="preserve">Subsecțiunea 3. </w:t>
            </w:r>
            <w:r w:rsidR="009D7356" w:rsidRPr="00C011B2">
              <w:rPr>
                <w:rFonts w:ascii="Times New Roman" w:hAnsi="Times New Roman" w:cs="Times New Roman"/>
                <w:b/>
                <w:bCs/>
                <w:color w:val="000000" w:themeColor="text1"/>
                <w:lang w:val="ro-MD"/>
              </w:rPr>
              <w:t>Riscul general al titlurilor de capital</w:t>
            </w:r>
            <w:bookmarkEnd w:id="473"/>
          </w:p>
        </w:tc>
        <w:tc>
          <w:tcPr>
            <w:tcW w:w="450" w:type="pct"/>
          </w:tcPr>
          <w:p w14:paraId="5CD5EFB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165913E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4FB781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46901E" w14:textId="6C6FB6B9" w:rsidR="009D7356" w:rsidRPr="00C011B2" w:rsidRDefault="009D7356" w:rsidP="009D7356">
            <w:pPr>
              <w:tabs>
                <w:tab w:val="left" w:pos="490"/>
              </w:tabs>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color w:val="000000" w:themeColor="text1"/>
                <w:lang w:val="it-IT"/>
              </w:rPr>
              <w:t>Pentru a calcula cerința de fonduri proprii pentru acoperirea riscului general, instituția înmulțește poziția sa netă totală cu 8 %.</w:t>
            </w:r>
          </w:p>
        </w:tc>
        <w:tc>
          <w:tcPr>
            <w:tcW w:w="1692" w:type="pct"/>
            <w:shd w:val="clear" w:color="auto" w:fill="auto"/>
          </w:tcPr>
          <w:p w14:paraId="39138885" w14:textId="5CEFF3F6" w:rsidR="009D7356" w:rsidRPr="00C011B2" w:rsidRDefault="00BA4038" w:rsidP="009D7356">
            <w:pPr>
              <w:spacing w:after="0" w:line="276" w:lineRule="auto"/>
              <w:jc w:val="both"/>
              <w:rPr>
                <w:rFonts w:ascii="Times New Roman" w:hAnsi="Times New Roman" w:cs="Times New Roman"/>
                <w:color w:val="000000" w:themeColor="text1"/>
                <w:lang w:val="ro-MD"/>
              </w:rPr>
            </w:pPr>
            <w:bookmarkStart w:id="474" w:name="_Hlk224720787"/>
            <w:r w:rsidRPr="00C011B2">
              <w:rPr>
                <w:rFonts w:ascii="Times New Roman" w:hAnsi="Times New Roman" w:cs="Times New Roman"/>
                <w:color w:val="000000" w:themeColor="text1"/>
                <w:lang w:val="it-IT"/>
              </w:rPr>
              <w:t xml:space="preserve">471. </w:t>
            </w:r>
            <w:r w:rsidR="009D7356" w:rsidRPr="00C011B2">
              <w:rPr>
                <w:rFonts w:ascii="Times New Roman" w:hAnsi="Times New Roman" w:cs="Times New Roman"/>
                <w:color w:val="000000" w:themeColor="text1"/>
                <w:lang w:val="it-IT"/>
              </w:rPr>
              <w:t xml:space="preserve">Pentru a calcula cerința de fonduri proprii pentru acoperirea riscului general, </w:t>
            </w:r>
            <w:r w:rsidRPr="00C011B2">
              <w:rPr>
                <w:rFonts w:ascii="Times New Roman" w:hAnsi="Times New Roman" w:cs="Times New Roman"/>
                <w:color w:val="000000" w:themeColor="text1"/>
                <w:lang w:val="it-IT"/>
              </w:rPr>
              <w:t xml:space="preserve">banca </w:t>
            </w:r>
            <w:r w:rsidR="009D7356" w:rsidRPr="00C011B2">
              <w:rPr>
                <w:rFonts w:ascii="Times New Roman" w:hAnsi="Times New Roman" w:cs="Times New Roman"/>
                <w:color w:val="000000" w:themeColor="text1"/>
                <w:lang w:val="it-IT"/>
              </w:rPr>
              <w:t xml:space="preserve">înmulțește poziția sa netă totală cu </w:t>
            </w:r>
            <w:r w:rsidR="00E73876" w:rsidRPr="00C011B2">
              <w:rPr>
                <w:rFonts w:ascii="Times New Roman" w:hAnsi="Times New Roman" w:cs="Times New Roman"/>
                <w:color w:val="000000" w:themeColor="text1"/>
                <w:lang w:val="it-IT"/>
              </w:rPr>
              <w:t>10 </w:t>
            </w:r>
            <w:r w:rsidR="009D7356" w:rsidRPr="00C011B2">
              <w:rPr>
                <w:rFonts w:ascii="Times New Roman" w:hAnsi="Times New Roman" w:cs="Times New Roman"/>
                <w:color w:val="000000" w:themeColor="text1"/>
                <w:lang w:val="it-IT"/>
              </w:rPr>
              <w:t>%.</w:t>
            </w:r>
            <w:bookmarkEnd w:id="474"/>
          </w:p>
        </w:tc>
        <w:tc>
          <w:tcPr>
            <w:tcW w:w="450" w:type="pct"/>
          </w:tcPr>
          <w:p w14:paraId="3D6923F1" w14:textId="26359900"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594B549" w14:textId="3039248D"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Ponderea de risc de 8% se va aplica de la data intrării în vigoare a Tratatului de aderare a Republicii Moldova la Uniunea Europeană. Până la data respectivă se va aplica ponderea de risc de 8% astfel cum stabilesc prevederile Regulamentului nr.109/2018 cu privire la fondurile proprii ale băncilor şi cerinţele de capital.</w:t>
            </w:r>
          </w:p>
        </w:tc>
      </w:tr>
      <w:tr w:rsidR="009D7356" w:rsidRPr="00C011B2" w14:paraId="65FBBA6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E054DF4"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344</w:t>
            </w:r>
          </w:p>
          <w:p w14:paraId="0A725E3A" w14:textId="11CDEBAC" w:rsidR="009D7356" w:rsidRPr="00C011B2" w:rsidRDefault="009D7356" w:rsidP="009D7356">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b/>
                <w:bCs/>
                <w:color w:val="000000" w:themeColor="text1"/>
                <w:lang w:val="ro-MD"/>
              </w:rPr>
              <w:t>Indici bursieri</w:t>
            </w:r>
          </w:p>
        </w:tc>
        <w:tc>
          <w:tcPr>
            <w:tcW w:w="1692" w:type="pct"/>
            <w:shd w:val="clear" w:color="auto" w:fill="auto"/>
          </w:tcPr>
          <w:p w14:paraId="60957C88" w14:textId="486B7C12" w:rsidR="009D7356" w:rsidRPr="00C011B2" w:rsidRDefault="00BA15C0" w:rsidP="009D7356">
            <w:pPr>
              <w:spacing w:after="0" w:line="276" w:lineRule="auto"/>
              <w:jc w:val="both"/>
              <w:rPr>
                <w:rFonts w:ascii="Times New Roman" w:hAnsi="Times New Roman" w:cs="Times New Roman"/>
                <w:color w:val="000000" w:themeColor="text1"/>
                <w:lang w:val="ro-MD"/>
              </w:rPr>
            </w:pPr>
            <w:bookmarkStart w:id="475" w:name="_Hlk195099917"/>
            <w:r w:rsidRPr="00C011B2">
              <w:rPr>
                <w:rFonts w:ascii="Times New Roman" w:hAnsi="Times New Roman" w:cs="Times New Roman"/>
                <w:i/>
                <w:iCs/>
                <w:color w:val="000000" w:themeColor="text1"/>
                <w:lang w:val="ro-MD"/>
              </w:rPr>
              <w:t xml:space="preserve">Subsecțiunea 4. </w:t>
            </w:r>
            <w:r w:rsidR="009D7356" w:rsidRPr="00C011B2">
              <w:rPr>
                <w:rFonts w:ascii="Times New Roman" w:hAnsi="Times New Roman" w:cs="Times New Roman"/>
                <w:b/>
                <w:bCs/>
                <w:color w:val="000000" w:themeColor="text1"/>
                <w:lang w:val="ro-MD"/>
              </w:rPr>
              <w:t>Indici bursieri</w:t>
            </w:r>
            <w:bookmarkEnd w:id="475"/>
          </w:p>
        </w:tc>
        <w:tc>
          <w:tcPr>
            <w:tcW w:w="450" w:type="pct"/>
          </w:tcPr>
          <w:p w14:paraId="61D766B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1F8C573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98ACB8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AD3B1C5" w14:textId="37B535C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ABE elaborează proiecte de standarde tehnice de punere în aplicare în care se precizează indicii bursieri pentru care sunt disponibile tratamentele prevăzute la alineatul (4) a doua teză.</w:t>
            </w:r>
          </w:p>
          <w:p w14:paraId="465798A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transmite Comisiei proiectele respective de standarde tehnice de punere în aplicare până la 1 ianuarie 2014.</w:t>
            </w:r>
          </w:p>
          <w:p w14:paraId="2BD2EA05" w14:textId="6DCDB0C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Se conferă Comisiei competența de a adopta standardele tehnice de punere în aplicare menționate la </w:t>
            </w:r>
            <w:r w:rsidRPr="00C011B2">
              <w:rPr>
                <w:rFonts w:ascii="Times New Roman" w:hAnsi="Times New Roman" w:cs="Times New Roman"/>
                <w:color w:val="000000" w:themeColor="text1"/>
                <w:lang w:val="ro-MD"/>
              </w:rPr>
              <w:lastRenderedPageBreak/>
              <w:t>primul paragraf, în conformitate cu articolul 15 din Regulamentul (UE) nr. 1093/2010.</w:t>
            </w:r>
          </w:p>
        </w:tc>
        <w:tc>
          <w:tcPr>
            <w:tcW w:w="1692" w:type="pct"/>
            <w:shd w:val="clear" w:color="auto" w:fill="auto"/>
          </w:tcPr>
          <w:p w14:paraId="625CE916" w14:textId="5EFC48DE" w:rsidR="009D7356" w:rsidRPr="00C011B2" w:rsidRDefault="009D7356" w:rsidP="009D7356">
            <w:pPr>
              <w:spacing w:after="0" w:line="276" w:lineRule="auto"/>
              <w:jc w:val="both"/>
              <w:rPr>
                <w:rFonts w:ascii="Times New Roman" w:hAnsi="Times New Roman" w:cs="Times New Roman"/>
                <w:color w:val="000000" w:themeColor="text1"/>
                <w:lang w:val="ro-MD"/>
              </w:rPr>
            </w:pPr>
          </w:p>
          <w:p w14:paraId="639AD23D" w14:textId="14BEDB57" w:rsidR="00242877" w:rsidRPr="00C011B2" w:rsidRDefault="00242877" w:rsidP="00242877">
            <w:pPr>
              <w:spacing w:after="0" w:line="276" w:lineRule="auto"/>
              <w:jc w:val="both"/>
              <w:rPr>
                <w:rFonts w:ascii="Times New Roman" w:hAnsi="Times New Roman" w:cs="Times New Roman"/>
                <w:color w:val="000000" w:themeColor="text1"/>
                <w:lang w:val="ro-MD"/>
              </w:rPr>
            </w:pPr>
            <w:bookmarkStart w:id="476" w:name="_Hlk224722864"/>
            <w:r w:rsidRPr="00C011B2">
              <w:rPr>
                <w:rFonts w:ascii="Times New Roman" w:hAnsi="Times New Roman" w:cs="Times New Roman"/>
                <w:color w:val="000000" w:themeColor="text1"/>
                <w:lang w:val="ro-MD"/>
              </w:rPr>
              <w:t xml:space="preserve">472. Lista indicilor bursieri în scopul prezentei subsecțiuni sunt </w:t>
            </w:r>
            <w:r w:rsidR="00BA15C0" w:rsidRPr="00C011B2">
              <w:rPr>
                <w:rFonts w:ascii="Times New Roman" w:hAnsi="Times New Roman" w:cs="Times New Roman"/>
                <w:color w:val="000000" w:themeColor="text1"/>
                <w:lang w:val="ro-MD"/>
              </w:rPr>
              <w:t>stabiliți în anexa nr.6</w:t>
            </w:r>
            <w:r w:rsidRPr="00C011B2">
              <w:rPr>
                <w:rFonts w:ascii="Times New Roman" w:hAnsi="Times New Roman" w:cs="Times New Roman"/>
                <w:color w:val="000000" w:themeColor="text1"/>
                <w:lang w:val="ro-MD"/>
              </w:rPr>
              <w:t>.</w:t>
            </w:r>
          </w:p>
          <w:bookmarkEnd w:id="476"/>
          <w:p w14:paraId="556891EA" w14:textId="22A171EB" w:rsidR="00242877" w:rsidRPr="00C011B2" w:rsidRDefault="00242877" w:rsidP="009D7356">
            <w:pPr>
              <w:spacing w:after="0" w:line="276" w:lineRule="auto"/>
              <w:jc w:val="both"/>
              <w:rPr>
                <w:rFonts w:ascii="Times New Roman" w:hAnsi="Times New Roman" w:cs="Times New Roman"/>
                <w:color w:val="000000" w:themeColor="text1"/>
                <w:lang w:val="ro-MD"/>
              </w:rPr>
            </w:pPr>
          </w:p>
        </w:tc>
        <w:tc>
          <w:tcPr>
            <w:tcW w:w="450" w:type="pct"/>
          </w:tcPr>
          <w:p w14:paraId="27B29E84" w14:textId="526FB4A3" w:rsidR="009D7356" w:rsidRPr="00C011B2" w:rsidRDefault="00BA15C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Parțial compatibil</w:t>
            </w:r>
          </w:p>
        </w:tc>
        <w:tc>
          <w:tcPr>
            <w:tcW w:w="1261" w:type="pct"/>
          </w:tcPr>
          <w:p w14:paraId="0A7805FF" w14:textId="78FB39AA" w:rsidR="009D7356" w:rsidRPr="00C011B2" w:rsidRDefault="00BA15C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Nu au fost transpuse prevederile de la a</w:t>
            </w:r>
            <w:r w:rsidR="009D7356" w:rsidRPr="00C011B2">
              <w:rPr>
                <w:rFonts w:ascii="Times New Roman" w:hAnsi="Times New Roman" w:cs="Times New Roman"/>
                <w:bCs/>
                <w:color w:val="000000" w:themeColor="text1"/>
                <w:lang w:val="ro-MD"/>
              </w:rPr>
              <w:t xml:space="preserve">lin.(1) </w:t>
            </w:r>
            <w:r w:rsidRPr="00C011B2">
              <w:rPr>
                <w:rFonts w:ascii="Times New Roman" w:hAnsi="Times New Roman" w:cs="Times New Roman"/>
                <w:bCs/>
                <w:color w:val="000000" w:themeColor="text1"/>
                <w:lang w:val="ro-MD"/>
              </w:rPr>
              <w:t xml:space="preserve">care </w:t>
            </w:r>
            <w:r w:rsidR="009D7356" w:rsidRPr="00C011B2">
              <w:rPr>
                <w:rFonts w:ascii="Times New Roman" w:hAnsi="Times New Roman" w:cs="Times New Roman"/>
                <w:bCs/>
                <w:color w:val="000000" w:themeColor="text1"/>
                <w:lang w:val="ro-MD"/>
              </w:rPr>
              <w:t>stabile</w:t>
            </w:r>
            <w:r w:rsidRPr="00C011B2">
              <w:rPr>
                <w:rFonts w:ascii="Times New Roman" w:hAnsi="Times New Roman" w:cs="Times New Roman"/>
                <w:bCs/>
                <w:color w:val="000000" w:themeColor="text1"/>
                <w:lang w:val="ro-MD"/>
              </w:rPr>
              <w:t>sc</w:t>
            </w:r>
            <w:r w:rsidR="009D7356" w:rsidRPr="00C011B2">
              <w:rPr>
                <w:rFonts w:ascii="Times New Roman" w:hAnsi="Times New Roman" w:cs="Times New Roman"/>
                <w:bCs/>
                <w:color w:val="000000" w:themeColor="text1"/>
                <w:lang w:val="ro-MD"/>
              </w:rPr>
              <w:t xml:space="preserve"> obligații pentru autorități europene – Autoritatea Bancară Europeană.</w:t>
            </w:r>
          </w:p>
        </w:tc>
      </w:tr>
      <w:tr w:rsidR="009D7356" w:rsidRPr="00C011B2" w14:paraId="5EA882B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E68973B" w14:textId="1684556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Înainte de intrarea în vigoare a standardelor tehnice menționate la alineatul (1), instituțiile pot continua să aplice tratamentul prevăzut la alineatul (4) a doua teză, în cazul în care autoritățile competente au aplicat acest tratament înainte de 1 ianuarie 2014.</w:t>
            </w:r>
          </w:p>
        </w:tc>
        <w:tc>
          <w:tcPr>
            <w:tcW w:w="1692" w:type="pct"/>
            <w:shd w:val="clear" w:color="auto" w:fill="auto"/>
          </w:tcPr>
          <w:p w14:paraId="0D7EA9CC" w14:textId="0F844FC8"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4F44B839" w14:textId="47349A3A" w:rsidR="009D7356" w:rsidRPr="00C011B2" w:rsidRDefault="00DF6E4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1A5C36A1" w14:textId="5462C47B" w:rsidR="009D7356" w:rsidRPr="00C011B2" w:rsidRDefault="00DF6E4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Alin.(2) stabilește prevederi tranzitorii care se aplicau până la intrarea în vigoare a </w:t>
            </w:r>
            <w:r w:rsidR="00624A25" w:rsidRPr="00C011B2">
              <w:rPr>
                <w:rFonts w:ascii="Times New Roman" w:hAnsi="Times New Roman" w:cs="Times New Roman"/>
                <w:color w:val="000000" w:themeColor="text1"/>
                <w:lang w:val="ro-MD"/>
              </w:rPr>
              <w:t>Regulamentului 575/2014.</w:t>
            </w:r>
          </w:p>
        </w:tc>
      </w:tr>
      <w:tr w:rsidR="009D7356" w:rsidRPr="00C011B2" w14:paraId="7ADAC90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CCDDE03" w14:textId="20848238" w:rsidR="009D7356" w:rsidRPr="00C011B2" w:rsidRDefault="009D7356" w:rsidP="009D7356">
            <w:pPr>
              <w:spacing w:after="0" w:line="276" w:lineRule="auto"/>
              <w:jc w:val="both"/>
              <w:rPr>
                <w:rFonts w:ascii="Times New Roman" w:hAnsi="Times New Roman" w:cs="Times New Roman"/>
                <w:color w:val="000000" w:themeColor="text1"/>
                <w:lang w:val="it-IT"/>
              </w:rPr>
            </w:pPr>
            <w:r w:rsidRPr="00C011B2">
              <w:rPr>
                <w:rFonts w:ascii="Times New Roman" w:hAnsi="Times New Roman" w:cs="Times New Roman"/>
                <w:color w:val="000000" w:themeColor="text1"/>
                <w:lang w:val="ro-MD"/>
              </w:rPr>
              <w:t>(3)  Contractele futures pe indici bursieri, echivalentele delta ale opțiunilor pe contractele futures pe indici bursieri și ale opțiunilor pe indici bursieri, care sunt denumite în continuare, în mod colectiv, „contracte futures pe indici bursieri”, se pot descompune în poziții pe fiecare dintre titlurile de capital componente. Aceste poziții pot fi tratate ca poziții pe titlurile de capital-suport respective și pot fi compensate cu poziții de semn opus pe înseși titlurile de capital-suport. Instituțiile notifică autoritatea competentă cu privire la modul în care utilizează acest tratament.</w:t>
            </w:r>
          </w:p>
        </w:tc>
        <w:tc>
          <w:tcPr>
            <w:tcW w:w="1692" w:type="pct"/>
            <w:shd w:val="clear" w:color="auto" w:fill="auto"/>
          </w:tcPr>
          <w:p w14:paraId="40CAF866" w14:textId="08D21D30" w:rsidR="009D7356" w:rsidRPr="00C011B2" w:rsidRDefault="00242877" w:rsidP="009D7356">
            <w:pPr>
              <w:spacing w:after="0" w:line="276" w:lineRule="auto"/>
              <w:jc w:val="both"/>
              <w:rPr>
                <w:rFonts w:ascii="Times New Roman" w:hAnsi="Times New Roman" w:cs="Times New Roman"/>
                <w:color w:val="000000" w:themeColor="text1"/>
                <w:lang w:val="ro-MD"/>
              </w:rPr>
            </w:pPr>
            <w:bookmarkStart w:id="477" w:name="_Hlk224722953"/>
            <w:r w:rsidRPr="00C011B2">
              <w:rPr>
                <w:rFonts w:ascii="Times New Roman" w:hAnsi="Times New Roman" w:cs="Times New Roman"/>
                <w:color w:val="000000" w:themeColor="text1"/>
                <w:lang w:val="ro-MD"/>
              </w:rPr>
              <w:t>473.</w:t>
            </w:r>
            <w:r w:rsidR="009D7356" w:rsidRPr="00C011B2">
              <w:rPr>
                <w:rFonts w:ascii="Times New Roman" w:hAnsi="Times New Roman" w:cs="Times New Roman"/>
                <w:color w:val="000000" w:themeColor="text1"/>
                <w:lang w:val="ro-MD"/>
              </w:rPr>
              <w:t xml:space="preserve">  Contractele futures pe indici bursieri, echivalentele delta ale opțiunilor pe contractele futures pe indici bursieri și ale opțiunilor pe indici bursieri, care sunt denumite în continuare, în mod colectiv, „contracte futures pe indici bursieri”, se pot descompune în poziții pe fiecare dintre titlurile de capital componente. Aceste poziții pot fi tratate ca poziții pe titlurile de capital-suport respective și pot fi compensate cu poziții de semn opus pe înseși titlurile de capital-suport. </w:t>
            </w:r>
            <w:r w:rsidR="00BA15C0"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notifică </w:t>
            </w:r>
            <w:r w:rsidR="00BA15C0"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 xml:space="preserve"> cu privire la modul în care utilizează acest tratament.</w:t>
            </w:r>
            <w:bookmarkEnd w:id="477"/>
          </w:p>
        </w:tc>
        <w:tc>
          <w:tcPr>
            <w:tcW w:w="450" w:type="pct"/>
          </w:tcPr>
          <w:p w14:paraId="45A83CB1" w14:textId="751CB2B1" w:rsidR="009D7356" w:rsidRPr="00C011B2" w:rsidRDefault="00BA15C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2D31C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F7BA50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3E1E359" w14:textId="34F7C67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În cazul în care un contract futures pe indice bursier nu este descompus în poziții pe fiecare dintre titlurile de capital componente, acesta se tratează ca și un titlu de capital individual. Cu toate acestea, riscul specific al acestui titlu de capital individual poate fi ignorat dacă respectivul contract futures pe indice bursier este </w:t>
            </w:r>
            <w:r w:rsidRPr="00C011B2">
              <w:rPr>
                <w:rFonts w:ascii="Times New Roman" w:hAnsi="Times New Roman" w:cs="Times New Roman"/>
                <w:color w:val="000000" w:themeColor="text1"/>
                <w:lang w:val="ro-MD"/>
              </w:rPr>
              <w:lastRenderedPageBreak/>
              <w:t>tranzacționat pe o bursă și reprezintă un indice relevant cu o diversificare corespunzătoare.</w:t>
            </w:r>
          </w:p>
        </w:tc>
        <w:tc>
          <w:tcPr>
            <w:tcW w:w="1692" w:type="pct"/>
            <w:shd w:val="clear" w:color="auto" w:fill="auto"/>
          </w:tcPr>
          <w:p w14:paraId="2BDB9198" w14:textId="7FB67780" w:rsidR="009D7356" w:rsidRPr="00C011B2" w:rsidRDefault="00BA15C0" w:rsidP="009D7356">
            <w:pPr>
              <w:spacing w:after="0" w:line="276" w:lineRule="auto"/>
              <w:jc w:val="both"/>
              <w:rPr>
                <w:rFonts w:ascii="Times New Roman" w:hAnsi="Times New Roman" w:cs="Times New Roman"/>
                <w:color w:val="000000" w:themeColor="text1"/>
                <w:lang w:val="ro-MD"/>
              </w:rPr>
            </w:pPr>
            <w:bookmarkStart w:id="478" w:name="_Hlk224723032"/>
            <w:r w:rsidRPr="00C011B2">
              <w:rPr>
                <w:rFonts w:ascii="Times New Roman" w:hAnsi="Times New Roman" w:cs="Times New Roman"/>
                <w:color w:val="000000" w:themeColor="text1"/>
                <w:lang w:val="ro-MD"/>
              </w:rPr>
              <w:lastRenderedPageBreak/>
              <w:t>474.</w:t>
            </w:r>
            <w:r w:rsidR="009D7356" w:rsidRPr="00C011B2">
              <w:rPr>
                <w:rFonts w:ascii="Times New Roman" w:hAnsi="Times New Roman" w:cs="Times New Roman"/>
                <w:color w:val="000000" w:themeColor="text1"/>
                <w:lang w:val="ro-MD"/>
              </w:rPr>
              <w:t xml:space="preserve"> În cazul în care un contract futures pe indice bursier nu este descompus în poziții pe fiecare dintre titlurile de capital componente, acesta se tratează ca și un titlu de capital individual. Cu toate acestea, riscul specific al acestui titlu de capital individual poate fi ignorat dacă respectivul contract futures pe indice bursier este </w:t>
            </w:r>
            <w:r w:rsidR="009D7356" w:rsidRPr="00C011B2">
              <w:rPr>
                <w:rFonts w:ascii="Times New Roman" w:hAnsi="Times New Roman" w:cs="Times New Roman"/>
                <w:color w:val="000000" w:themeColor="text1"/>
                <w:lang w:val="ro-MD"/>
              </w:rPr>
              <w:lastRenderedPageBreak/>
              <w:t>tranzacționat pe o bursă și reprezintă un indice relevant cu o diversificare corespunzătoare.</w:t>
            </w:r>
            <w:bookmarkEnd w:id="478"/>
          </w:p>
        </w:tc>
        <w:tc>
          <w:tcPr>
            <w:tcW w:w="450" w:type="pct"/>
          </w:tcPr>
          <w:p w14:paraId="216D39E7" w14:textId="35FEDCA9" w:rsidR="009D7356" w:rsidRPr="00C011B2" w:rsidRDefault="00BA15C0"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65329E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DF2034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FAA460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4</w:t>
            </w:r>
          </w:p>
          <w:p w14:paraId="524D2C3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Angajamente de preluare fermă (underwriting)</w:t>
            </w:r>
          </w:p>
          <w:p w14:paraId="75A64A97"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345</w:t>
            </w:r>
          </w:p>
          <w:p w14:paraId="53983B6A" w14:textId="13E9DBEA" w:rsidR="009D7356" w:rsidRPr="00C011B2" w:rsidRDefault="009D7356" w:rsidP="009D7356">
            <w:pPr>
              <w:spacing w:after="0" w:line="276" w:lineRule="auto"/>
              <w:jc w:val="both"/>
              <w:rPr>
                <w:rFonts w:ascii="Times New Roman" w:hAnsi="Times New Roman" w:cs="Times New Roman"/>
                <w:color w:val="000000" w:themeColor="text1"/>
                <w:lang w:val="pt-BR"/>
              </w:rPr>
            </w:pPr>
            <w:r w:rsidRPr="00C011B2">
              <w:rPr>
                <w:rFonts w:ascii="Times New Roman" w:hAnsi="Times New Roman" w:cs="Times New Roman"/>
                <w:b/>
                <w:bCs/>
                <w:color w:val="000000" w:themeColor="text1"/>
                <w:lang w:val="ro-MD"/>
              </w:rPr>
              <w:t>Reducerea pozițiilor nete</w:t>
            </w:r>
          </w:p>
        </w:tc>
        <w:tc>
          <w:tcPr>
            <w:tcW w:w="1692" w:type="pct"/>
            <w:shd w:val="clear" w:color="auto" w:fill="auto"/>
          </w:tcPr>
          <w:p w14:paraId="289C3D9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79" w:name="_Hlk195099944"/>
            <w:r w:rsidRPr="00C011B2">
              <w:rPr>
                <w:rFonts w:ascii="Times New Roman" w:hAnsi="Times New Roman" w:cs="Times New Roman"/>
                <w:b/>
                <w:bCs/>
                <w:color w:val="000000" w:themeColor="text1"/>
                <w:lang w:val="ro-MD"/>
              </w:rPr>
              <w:t>Secțiunea 4</w:t>
            </w:r>
          </w:p>
          <w:p w14:paraId="0CF451FB"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Angajamente de preluare fermă (underwriting)</w:t>
            </w:r>
          </w:p>
          <w:p w14:paraId="122C33D1" w14:textId="02018DC2" w:rsidR="009D7356" w:rsidRPr="00C011B2" w:rsidRDefault="006208D8"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ș</w:t>
            </w:r>
            <w:r w:rsidR="00F146DB" w:rsidRPr="00C011B2">
              <w:rPr>
                <w:rFonts w:ascii="Times New Roman" w:hAnsi="Times New Roman" w:cs="Times New Roman"/>
                <w:b/>
                <w:bCs/>
                <w:color w:val="000000" w:themeColor="text1"/>
                <w:lang w:val="ro-MD"/>
              </w:rPr>
              <w:t>i r</w:t>
            </w:r>
            <w:r w:rsidR="009D7356" w:rsidRPr="00C011B2">
              <w:rPr>
                <w:rFonts w:ascii="Times New Roman" w:hAnsi="Times New Roman" w:cs="Times New Roman"/>
                <w:b/>
                <w:bCs/>
                <w:color w:val="000000" w:themeColor="text1"/>
                <w:lang w:val="ro-MD"/>
              </w:rPr>
              <w:t>educerea pozițiilor nete</w:t>
            </w:r>
            <w:bookmarkEnd w:id="479"/>
          </w:p>
        </w:tc>
        <w:tc>
          <w:tcPr>
            <w:tcW w:w="450" w:type="pct"/>
          </w:tcPr>
          <w:p w14:paraId="44CC986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77FF0865"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3260B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31940E1" w14:textId="2A8D18B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cazul angajamentelor de preluare fermă de titluri de datorie și de capital, o instituție poate utiliza procedura ce urmează la calcularea cerințelor de fonduri proprii. În primul rând, instituția calculează pozițiile nete prin deducerea pozițiilor aferente angajamentelor de preluare fermă care sunt subscrise sau subangajate de către terțe părți, pe baza unor înțelegeri formale. Instituția reduce apoi pozițiile nete cu factorii de reducere prevăzuți în tabelul 4 și calculează cerințele de fonduri proprii utilizând pozițiile reduse aferente angajamentelor de preluare fermă.</w:t>
            </w:r>
          </w:p>
          <w:p w14:paraId="3ADAD07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4</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98"/>
              <w:gridCol w:w="802"/>
            </w:tblGrid>
            <w:tr w:rsidR="009D7356" w:rsidRPr="00C011B2" w14:paraId="6BB24099" w14:textId="77777777" w:rsidTr="0059396C">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7BCE6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0:</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929B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9D7356" w:rsidRPr="00C011B2" w14:paraId="57C4DD87" w14:textId="77777777" w:rsidTr="0059396C">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6515B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1:</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F935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90 %</w:t>
                  </w:r>
                </w:p>
              </w:tc>
            </w:tr>
            <w:tr w:rsidR="009D7356" w:rsidRPr="00C011B2" w14:paraId="654CBDDB" w14:textId="77777777" w:rsidTr="0059396C">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736B3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zilele lucrătoare 2-3:</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521C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r>
            <w:tr w:rsidR="009D7356" w:rsidRPr="00C011B2" w14:paraId="07D25C95" w14:textId="77777777" w:rsidTr="0059396C">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C651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4:</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5FA1E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9D7356" w:rsidRPr="00C011B2" w14:paraId="75F94791" w14:textId="77777777" w:rsidTr="0059396C">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66ED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5:</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45DB4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9D7356" w:rsidRPr="00C011B2" w14:paraId="1D741591" w14:textId="77777777" w:rsidTr="0059396C">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B88A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după ziua lucrătoare 5:</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635A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bl>
          <w:p w14:paraId="40F865EC" w14:textId="01FA3CF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„Ziua lucrătoare zero” este ziua lucrătoare în care instituția devine necondiționat angajată în acceptarea unei cantități cunoscute de titluri la un preț convenit.</w:t>
            </w:r>
          </w:p>
        </w:tc>
        <w:tc>
          <w:tcPr>
            <w:tcW w:w="1692" w:type="pct"/>
            <w:shd w:val="clear" w:color="auto" w:fill="auto"/>
          </w:tcPr>
          <w:p w14:paraId="29E935B7" w14:textId="0B981EE8"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0" w:name="_Hlk224732487"/>
            <w:r w:rsidRPr="00C011B2">
              <w:rPr>
                <w:rFonts w:ascii="Times New Roman" w:hAnsi="Times New Roman" w:cs="Times New Roman"/>
                <w:color w:val="000000" w:themeColor="text1"/>
                <w:lang w:val="ro-MD"/>
              </w:rPr>
              <w:lastRenderedPageBreak/>
              <w:t>475.</w:t>
            </w:r>
            <w:r w:rsidR="009D7356" w:rsidRPr="00C011B2">
              <w:rPr>
                <w:rFonts w:ascii="Times New Roman" w:hAnsi="Times New Roman" w:cs="Times New Roman"/>
                <w:color w:val="000000" w:themeColor="text1"/>
                <w:lang w:val="ro-MD"/>
              </w:rPr>
              <w:t xml:space="preserve">   În cazul angajamentelor de preluare fermă de titluri de datorie și de capital, o </w:t>
            </w:r>
            <w:r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 xml:space="preserve">poate utiliza procedura ce urmează la calcularea cerințelor de fonduri proprii. În primul rând,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calculează pozițiile nete prin deducerea pozițiilor aferente angajamentelor de preluare fermă care sunt subscrise sau subangajate de către terțe părți, pe baza unor înțelegeri formale.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reduce apoi pozițiile nete cu factorii de reducere prevăzuți în tabelul 4 și calculează cerințele de fonduri proprii utilizând pozițiile reduse aferente angajamentelor de preluare fermă.</w:t>
            </w:r>
          </w:p>
          <w:p w14:paraId="72BE657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4</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798"/>
              <w:gridCol w:w="802"/>
            </w:tblGrid>
            <w:tr w:rsidR="009D7356" w:rsidRPr="00C011B2" w14:paraId="7B7C144A" w14:textId="77777777" w:rsidTr="001E785F">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6E0E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0:</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2F5FD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100 %</w:t>
                  </w:r>
                </w:p>
              </w:tc>
            </w:tr>
            <w:tr w:rsidR="009D7356" w:rsidRPr="00C011B2" w14:paraId="6D28FBD4" w14:textId="77777777" w:rsidTr="001E785F">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357C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1:</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BB26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90 %</w:t>
                  </w:r>
                </w:p>
              </w:tc>
            </w:tr>
            <w:tr w:rsidR="009D7356" w:rsidRPr="00C011B2" w14:paraId="44BA53D0" w14:textId="77777777" w:rsidTr="001E785F">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1D40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zilele lucrătoare 2-3:</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EDD3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75 %</w:t>
                  </w:r>
                </w:p>
              </w:tc>
            </w:tr>
            <w:tr w:rsidR="009D7356" w:rsidRPr="00C011B2" w14:paraId="6E423145" w14:textId="77777777" w:rsidTr="001E785F">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E268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4:</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8A072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50 %</w:t>
                  </w:r>
                </w:p>
              </w:tc>
            </w:tr>
            <w:tr w:rsidR="009D7356" w:rsidRPr="00C011B2" w14:paraId="43D99B7E" w14:textId="77777777" w:rsidTr="001E785F">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921D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ziua lucrătoare 5:</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4540F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25 %</w:t>
                  </w:r>
                </w:p>
              </w:tc>
            </w:tr>
            <w:tr w:rsidR="009D7356" w:rsidRPr="00C011B2" w14:paraId="6A5FFF72" w14:textId="77777777" w:rsidTr="001E785F">
              <w:trPr>
                <w:jc w:val="center"/>
              </w:trPr>
              <w:tc>
                <w:tcPr>
                  <w:tcW w:w="27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F1C3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după ziua lucrătoare 5:</w:t>
                  </w:r>
                </w:p>
              </w:tc>
              <w:tc>
                <w:tcPr>
                  <w:tcW w:w="80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A7C5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w:t>
                  </w:r>
                </w:p>
              </w:tc>
            </w:tr>
          </w:tbl>
          <w:p w14:paraId="146ADBC3" w14:textId="65E66001" w:rsidR="009D7356" w:rsidRPr="00C011B2" w:rsidRDefault="00F146DB"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476. </w:t>
            </w:r>
            <w:r w:rsidR="009D7356" w:rsidRPr="00C011B2">
              <w:rPr>
                <w:rFonts w:ascii="Times New Roman" w:hAnsi="Times New Roman" w:cs="Times New Roman"/>
                <w:color w:val="000000" w:themeColor="text1"/>
                <w:lang w:val="ro-MD"/>
              </w:rPr>
              <w:t xml:space="preserve">„Ziua lucrătoare zero” este ziua lucrătoare în care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devine necondiționat angajată în acceptarea unei cantități cunoscute de titluri la un preț convenit.</w:t>
            </w:r>
            <w:bookmarkEnd w:id="480"/>
          </w:p>
        </w:tc>
        <w:tc>
          <w:tcPr>
            <w:tcW w:w="450" w:type="pct"/>
          </w:tcPr>
          <w:p w14:paraId="627D9730" w14:textId="12EEE189"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71DF3F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A58C31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B909172" w14:textId="2BA6D7D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notifică autoritățile competente cu privire la modul în care aplică alineatul (1).</w:t>
            </w:r>
          </w:p>
        </w:tc>
        <w:tc>
          <w:tcPr>
            <w:tcW w:w="1692" w:type="pct"/>
            <w:shd w:val="clear" w:color="auto" w:fill="auto"/>
          </w:tcPr>
          <w:p w14:paraId="54289728" w14:textId="11392527"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1" w:name="_Hlk224732519"/>
            <w:r w:rsidRPr="00C011B2">
              <w:rPr>
                <w:rFonts w:ascii="Times New Roman" w:hAnsi="Times New Roman" w:cs="Times New Roman"/>
                <w:color w:val="000000" w:themeColor="text1"/>
                <w:lang w:val="ro-MD"/>
              </w:rPr>
              <w:t>477.</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notifică </w:t>
            </w:r>
            <w:r w:rsidRPr="00C011B2">
              <w:rPr>
                <w:rFonts w:ascii="Times New Roman" w:hAnsi="Times New Roman" w:cs="Times New Roman"/>
                <w:color w:val="000000" w:themeColor="text1"/>
                <w:lang w:val="ro-MD"/>
              </w:rPr>
              <w:t xml:space="preserve">BNM </w:t>
            </w:r>
            <w:r w:rsidR="009D7356" w:rsidRPr="00C011B2">
              <w:rPr>
                <w:rFonts w:ascii="Times New Roman" w:hAnsi="Times New Roman" w:cs="Times New Roman"/>
                <w:color w:val="000000" w:themeColor="text1"/>
                <w:lang w:val="ro-MD"/>
              </w:rPr>
              <w:t xml:space="preserve">cu privire la modul în care aplică </w:t>
            </w:r>
            <w:r w:rsidRPr="00C011B2">
              <w:rPr>
                <w:rFonts w:ascii="Times New Roman" w:hAnsi="Times New Roman" w:cs="Times New Roman"/>
                <w:color w:val="000000" w:themeColor="text1"/>
                <w:lang w:val="ro-MD"/>
              </w:rPr>
              <w:t>pct.475-476</w:t>
            </w:r>
            <w:r w:rsidR="009D7356" w:rsidRPr="00C011B2">
              <w:rPr>
                <w:rFonts w:ascii="Times New Roman" w:hAnsi="Times New Roman" w:cs="Times New Roman"/>
                <w:color w:val="000000" w:themeColor="text1"/>
                <w:lang w:val="ro-MD"/>
              </w:rPr>
              <w:t>.</w:t>
            </w:r>
            <w:bookmarkEnd w:id="481"/>
          </w:p>
        </w:tc>
        <w:tc>
          <w:tcPr>
            <w:tcW w:w="450" w:type="pct"/>
          </w:tcPr>
          <w:p w14:paraId="343BC415" w14:textId="2F200B83"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3DE185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64572D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A71181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5</w:t>
            </w:r>
          </w:p>
          <w:p w14:paraId="6FB57155"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specific aferent pozițiilor acoperite prin instrumente financiare derivate de credit</w:t>
            </w:r>
          </w:p>
          <w:p w14:paraId="1EC9C151"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346</w:t>
            </w:r>
          </w:p>
          <w:p w14:paraId="5857D70D" w14:textId="3629D03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Recunoașterea acoperirilor prin instrumente financiare derivate de credit</w:t>
            </w:r>
          </w:p>
        </w:tc>
        <w:tc>
          <w:tcPr>
            <w:tcW w:w="1692" w:type="pct"/>
            <w:shd w:val="clear" w:color="auto" w:fill="auto"/>
          </w:tcPr>
          <w:p w14:paraId="14497F85"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82" w:name="_Hlk195099980"/>
            <w:r w:rsidRPr="00C011B2">
              <w:rPr>
                <w:rFonts w:ascii="Times New Roman" w:hAnsi="Times New Roman" w:cs="Times New Roman"/>
                <w:b/>
                <w:bCs/>
                <w:color w:val="000000" w:themeColor="text1"/>
                <w:lang w:val="ro-MD"/>
              </w:rPr>
              <w:t>Secțiunea 5</w:t>
            </w:r>
          </w:p>
          <w:p w14:paraId="62ADC59D"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specific aferent pozițiilor acoperite prin instrumente financiare derivate de credit</w:t>
            </w:r>
          </w:p>
          <w:p w14:paraId="3CE1E816" w14:textId="05B854D4" w:rsidR="009D7356" w:rsidRPr="00C011B2" w:rsidRDefault="00F146DB"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Subsecțiunea 1.</w:t>
            </w:r>
            <w:r w:rsidR="006208D8" w:rsidRPr="00C011B2">
              <w:rPr>
                <w:rFonts w:ascii="Times New Roman" w:hAnsi="Times New Roman" w:cs="Times New Roman"/>
                <w:i/>
                <w:iCs/>
                <w:color w:val="000000" w:themeColor="text1"/>
                <w:lang w:val="ro-MD"/>
              </w:rPr>
              <w:t xml:space="preserve"> </w:t>
            </w:r>
            <w:r w:rsidR="009D7356" w:rsidRPr="00C011B2">
              <w:rPr>
                <w:rFonts w:ascii="Times New Roman" w:hAnsi="Times New Roman" w:cs="Times New Roman"/>
                <w:b/>
                <w:bCs/>
                <w:color w:val="000000" w:themeColor="text1"/>
                <w:lang w:val="ro-MD"/>
              </w:rPr>
              <w:t>Recunoașterea acoperirilor prin instrumente financiare derivate de credit</w:t>
            </w:r>
            <w:bookmarkEnd w:id="482"/>
          </w:p>
        </w:tc>
        <w:tc>
          <w:tcPr>
            <w:tcW w:w="450" w:type="pct"/>
          </w:tcPr>
          <w:p w14:paraId="4191701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0385922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7B1398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263E2D3" w14:textId="3F0C17B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Se recunosc acoperirile prin instrumente financiare derivate de credit, în conformitate cu principiile stabilite la alineatele (2)-(6).</w:t>
            </w:r>
          </w:p>
        </w:tc>
        <w:tc>
          <w:tcPr>
            <w:tcW w:w="1692" w:type="pct"/>
            <w:shd w:val="clear" w:color="auto" w:fill="auto"/>
          </w:tcPr>
          <w:p w14:paraId="5D019EDA" w14:textId="545C595E"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3" w:name="_Hlk224732578"/>
            <w:r w:rsidRPr="00C011B2">
              <w:rPr>
                <w:rFonts w:ascii="Times New Roman" w:hAnsi="Times New Roman" w:cs="Times New Roman"/>
                <w:color w:val="000000" w:themeColor="text1"/>
                <w:lang w:val="ro-MD"/>
              </w:rPr>
              <w:t>478.</w:t>
            </w:r>
            <w:r w:rsidR="009D7356" w:rsidRPr="00C011B2">
              <w:rPr>
                <w:rFonts w:ascii="Times New Roman" w:hAnsi="Times New Roman" w:cs="Times New Roman"/>
                <w:color w:val="000000" w:themeColor="text1"/>
                <w:lang w:val="ro-MD"/>
              </w:rPr>
              <w:t xml:space="preserve"> Se recunosc acoperirile prin instrumente financiare derivate de credit, în conformitate cu principiile stabilite la </w:t>
            </w:r>
            <w:r w:rsidR="00851DDD" w:rsidRPr="00C011B2">
              <w:rPr>
                <w:rFonts w:ascii="Times New Roman" w:hAnsi="Times New Roman" w:cs="Times New Roman"/>
                <w:color w:val="000000" w:themeColor="text1"/>
                <w:lang w:val="ro-MD"/>
              </w:rPr>
              <w:t>pct.479-485</w:t>
            </w:r>
            <w:r w:rsidR="009D7356" w:rsidRPr="00C011B2">
              <w:rPr>
                <w:rFonts w:ascii="Times New Roman" w:hAnsi="Times New Roman" w:cs="Times New Roman"/>
                <w:color w:val="000000" w:themeColor="text1"/>
                <w:lang w:val="ro-MD"/>
              </w:rPr>
              <w:t>.</w:t>
            </w:r>
            <w:bookmarkEnd w:id="483"/>
          </w:p>
        </w:tc>
        <w:tc>
          <w:tcPr>
            <w:tcW w:w="450" w:type="pct"/>
          </w:tcPr>
          <w:p w14:paraId="2238081C" w14:textId="20AD4B16"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A9BD7C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C8F102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168A2CC" w14:textId="6BBB6E8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tratează poziția pe instrumentul financiar derivat de credit ca fiind un „segment” și poziția acoperită care are același cuantum nominal sau, după caz, cuantumul noțional, ca celălalt „segment”.</w:t>
            </w:r>
          </w:p>
        </w:tc>
        <w:tc>
          <w:tcPr>
            <w:tcW w:w="1692" w:type="pct"/>
            <w:shd w:val="clear" w:color="auto" w:fill="auto"/>
          </w:tcPr>
          <w:p w14:paraId="063A5157" w14:textId="44535397"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4" w:name="_Hlk224732599"/>
            <w:r w:rsidRPr="00C011B2">
              <w:rPr>
                <w:rFonts w:ascii="Times New Roman" w:hAnsi="Times New Roman" w:cs="Times New Roman"/>
                <w:color w:val="000000" w:themeColor="text1"/>
                <w:lang w:val="ro-MD"/>
              </w:rPr>
              <w:t>479.</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tratează poziția pe instrumentul financiar derivat de credit ca fiind un „segment” și poziția acoperită care are același cuantum nominal sau, după caz, cuantumul noțional, ca celălalt „segment”.</w:t>
            </w:r>
            <w:bookmarkEnd w:id="484"/>
          </w:p>
        </w:tc>
        <w:tc>
          <w:tcPr>
            <w:tcW w:w="450" w:type="pct"/>
          </w:tcPr>
          <w:p w14:paraId="064F394C" w14:textId="6F82D3EB"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855BF0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36DBB3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D35D1B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Se realizează o recunoaștere integrală atunci când valoarea celor două segmente evoluează întotdeauna în direcții opuse și aproximativ în aceeași măsură. Acest lucru se întâmplă în următoarele situații:</w:t>
            </w:r>
          </w:p>
          <w:p w14:paraId="14BB06E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cele două segmente sunt constituite din instrumente complet identice;</w:t>
            </w:r>
          </w:p>
          <w:p w14:paraId="66040F4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o poziție lungă cash este acoperită printr-un instrument de tip „</w:t>
            </w:r>
            <w:r w:rsidRPr="00C011B2">
              <w:rPr>
                <w:rFonts w:ascii="Times New Roman" w:hAnsi="Times New Roman" w:cs="Times New Roman"/>
                <w:i/>
                <w:iCs/>
                <w:color w:val="000000" w:themeColor="text1"/>
                <w:lang w:val="ro-MD"/>
              </w:rPr>
              <w:t>total rate of return swap</w:t>
            </w:r>
            <w:r w:rsidRPr="00C011B2">
              <w:rPr>
                <w:rFonts w:ascii="Times New Roman" w:hAnsi="Times New Roman" w:cs="Times New Roman"/>
                <w:color w:val="000000" w:themeColor="text1"/>
                <w:lang w:val="ro-MD"/>
              </w:rPr>
              <w:t>” (sau invers) și există o corespondență perfectă între obligația de referință și expunerea-suport (respectiv poziția cash). Scadența swapului însuși poate fi diferită față de cea a expunerii-suport.</w:t>
            </w:r>
          </w:p>
          <w:p w14:paraId="4E2001A8" w14:textId="5B4A57B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aceste situații, niciunul dintre cele două segmente ale poziției nu este supus cerințelor de fonduri proprii pentru riscul specific.</w:t>
            </w:r>
          </w:p>
        </w:tc>
        <w:tc>
          <w:tcPr>
            <w:tcW w:w="1692" w:type="pct"/>
            <w:shd w:val="clear" w:color="auto" w:fill="auto"/>
          </w:tcPr>
          <w:p w14:paraId="3E1F18E9" w14:textId="4BBAADFB"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5" w:name="_Hlk224732626"/>
            <w:r w:rsidRPr="00C011B2">
              <w:rPr>
                <w:rFonts w:ascii="Times New Roman" w:hAnsi="Times New Roman" w:cs="Times New Roman"/>
                <w:color w:val="000000" w:themeColor="text1"/>
                <w:lang w:val="ro-MD"/>
              </w:rPr>
              <w:lastRenderedPageBreak/>
              <w:t>480.</w:t>
            </w:r>
            <w:r w:rsidR="009D7356" w:rsidRPr="00C011B2">
              <w:rPr>
                <w:rFonts w:ascii="Times New Roman" w:hAnsi="Times New Roman" w:cs="Times New Roman"/>
                <w:color w:val="000000" w:themeColor="text1"/>
                <w:lang w:val="ro-MD"/>
              </w:rPr>
              <w:t>   Se realizează o recunoaștere integrală atunci când valoarea celor două segmente evoluează întotdeauna în direcții opuse și aproximativ în aceeași măsură. Acest lucru se întâmplă în următoarele situații:</w:t>
            </w:r>
          </w:p>
          <w:p w14:paraId="4A0B71C5" w14:textId="53B16620" w:rsidR="009D7356" w:rsidRPr="00C011B2" w:rsidRDefault="00F146DB"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w:t>
            </w:r>
            <w:r w:rsidR="00851DDD" w:rsidRPr="00C011B2">
              <w:rPr>
                <w:rFonts w:ascii="Times New Roman" w:hAnsi="Times New Roman" w:cs="Times New Roman"/>
                <w:color w:val="000000" w:themeColor="text1"/>
                <w:lang w:val="ro-MD"/>
              </w:rPr>
              <w:t>0.1</w:t>
            </w:r>
            <w:r w:rsidRPr="00C011B2">
              <w:rPr>
                <w:rFonts w:ascii="Times New Roman" w:hAnsi="Times New Roman" w:cs="Times New Roman"/>
                <w:color w:val="000000" w:themeColor="text1"/>
                <w:lang w:val="ro-MD"/>
              </w:rPr>
              <w:t>.</w:t>
            </w:r>
            <w:r w:rsidR="009D7356" w:rsidRPr="00C011B2">
              <w:rPr>
                <w:rFonts w:ascii="Times New Roman" w:hAnsi="Times New Roman" w:cs="Times New Roman"/>
                <w:color w:val="000000" w:themeColor="text1"/>
                <w:lang w:val="ro-MD"/>
              </w:rPr>
              <w:t> cele două segmente sunt constituite din instrumente complet identice;</w:t>
            </w:r>
          </w:p>
          <w:p w14:paraId="34186537" w14:textId="57A7C1B3" w:rsidR="009D7356" w:rsidRPr="00C011B2" w:rsidRDefault="00F146DB"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48</w:t>
            </w:r>
            <w:r w:rsidR="00851DDD" w:rsidRPr="00C011B2">
              <w:rPr>
                <w:rFonts w:ascii="Times New Roman" w:hAnsi="Times New Roman" w:cs="Times New Roman"/>
                <w:color w:val="000000" w:themeColor="text1"/>
                <w:lang w:val="ro-MD"/>
              </w:rPr>
              <w:t>0.</w:t>
            </w:r>
            <w:r w:rsidRPr="00C011B2">
              <w:rPr>
                <w:rFonts w:ascii="Times New Roman" w:hAnsi="Times New Roman" w:cs="Times New Roman"/>
                <w:color w:val="000000" w:themeColor="text1"/>
                <w:lang w:val="ro-MD"/>
              </w:rPr>
              <w:t>2.</w:t>
            </w:r>
            <w:r w:rsidR="009D7356" w:rsidRPr="00C011B2">
              <w:rPr>
                <w:rFonts w:ascii="Times New Roman" w:hAnsi="Times New Roman" w:cs="Times New Roman"/>
                <w:color w:val="000000" w:themeColor="text1"/>
                <w:lang w:val="ro-MD"/>
              </w:rPr>
              <w:t> o poziție lungă cash este acoperită printr-un instrument de tip „</w:t>
            </w:r>
            <w:r w:rsidR="009D7356" w:rsidRPr="00C011B2">
              <w:rPr>
                <w:rFonts w:ascii="Times New Roman" w:hAnsi="Times New Roman" w:cs="Times New Roman"/>
                <w:i/>
                <w:iCs/>
                <w:color w:val="000000" w:themeColor="text1"/>
                <w:lang w:val="ro-MD"/>
              </w:rPr>
              <w:t>total rate of return swap</w:t>
            </w:r>
            <w:r w:rsidR="009D7356" w:rsidRPr="00C011B2">
              <w:rPr>
                <w:rFonts w:ascii="Times New Roman" w:hAnsi="Times New Roman" w:cs="Times New Roman"/>
                <w:color w:val="000000" w:themeColor="text1"/>
                <w:lang w:val="ro-MD"/>
              </w:rPr>
              <w:t>” (sau invers) și există o corespondență perfectă între obligația de referință și expunerea-suport (respectiv poziția cash). Scadența swapului însuși poate fi diferită față de cea a expunerii-suport.</w:t>
            </w:r>
          </w:p>
          <w:p w14:paraId="3CEC6B5D" w14:textId="613F566C" w:rsidR="009D7356" w:rsidRPr="00C011B2" w:rsidRDefault="00F146DB"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w:t>
            </w:r>
            <w:r w:rsidR="00851DDD" w:rsidRPr="00C011B2">
              <w:rPr>
                <w:rFonts w:ascii="Times New Roman" w:hAnsi="Times New Roman" w:cs="Times New Roman"/>
                <w:color w:val="000000" w:themeColor="text1"/>
                <w:lang w:val="ro-MD"/>
              </w:rPr>
              <w:t>1</w:t>
            </w:r>
            <w:r w:rsidRPr="00C011B2">
              <w:rPr>
                <w:rFonts w:ascii="Times New Roman" w:hAnsi="Times New Roman" w:cs="Times New Roman"/>
                <w:color w:val="000000" w:themeColor="text1"/>
                <w:lang w:val="ro-MD"/>
              </w:rPr>
              <w:t xml:space="preserve">. </w:t>
            </w:r>
            <w:r w:rsidR="009D7356" w:rsidRPr="00C011B2">
              <w:rPr>
                <w:rFonts w:ascii="Times New Roman" w:hAnsi="Times New Roman" w:cs="Times New Roman"/>
                <w:color w:val="000000" w:themeColor="text1"/>
                <w:lang w:val="ro-MD"/>
              </w:rPr>
              <w:t>În aceste situații, niciunul dintre cele două segmente ale poziției nu este supus cerințelor de fonduri proprii pentru riscul specific.</w:t>
            </w:r>
            <w:bookmarkEnd w:id="485"/>
          </w:p>
        </w:tc>
        <w:tc>
          <w:tcPr>
            <w:tcW w:w="450" w:type="pct"/>
          </w:tcPr>
          <w:p w14:paraId="54DFA6C0" w14:textId="1464CEB5"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30CF70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F10395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8446BA" w14:textId="4BEA367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Se aplică o compensare de 80 % atunci când valorile celor două segmente evoluează întotdeauna în direcții opuse și când există o corespondență perfectă în ceea ce privește obligația de referință, în ceea ce privește scadența obligației de referință și cea a instrumentului financiar derivat de credit, precum și în ceea ce privește moneda expunerii-suport. În plus, caracteristicile principale ale instrumentului financiar derivat de credit, prevăzute în contract, nu fac ca modificarea de preț a instrumentului financiar derivat de credit să devieze semnificativ de la modificările de preț ale poziției cash. În măsura în care prin intermediul tranzacției se transferă risc, se aplică o compensare de 80 % a riscului specific pentru segmentul din tranzacție cu cerința de fonduri proprii mai mare, în timp ce </w:t>
            </w:r>
            <w:r w:rsidRPr="00C011B2">
              <w:rPr>
                <w:rFonts w:ascii="Times New Roman" w:hAnsi="Times New Roman" w:cs="Times New Roman"/>
                <w:color w:val="000000" w:themeColor="text1"/>
                <w:lang w:val="ro-MD"/>
              </w:rPr>
              <w:lastRenderedPageBreak/>
              <w:t>cerințele pentru riscul specific aferente celuilalt segment sunt zero.</w:t>
            </w:r>
          </w:p>
        </w:tc>
        <w:tc>
          <w:tcPr>
            <w:tcW w:w="1692" w:type="pct"/>
            <w:shd w:val="clear" w:color="auto" w:fill="auto"/>
          </w:tcPr>
          <w:p w14:paraId="089A3965" w14:textId="59BED554"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6" w:name="_Hlk224732645"/>
            <w:r w:rsidRPr="00C011B2">
              <w:rPr>
                <w:rFonts w:ascii="Times New Roman" w:hAnsi="Times New Roman" w:cs="Times New Roman"/>
                <w:color w:val="000000" w:themeColor="text1"/>
                <w:lang w:val="ro-MD"/>
              </w:rPr>
              <w:lastRenderedPageBreak/>
              <w:t>48</w:t>
            </w:r>
            <w:r w:rsidR="00851DDD" w:rsidRPr="00C011B2">
              <w:rPr>
                <w:rFonts w:ascii="Times New Roman" w:hAnsi="Times New Roman" w:cs="Times New Roman"/>
                <w:color w:val="000000" w:themeColor="text1"/>
                <w:lang w:val="ro-MD"/>
              </w:rPr>
              <w:t>2</w:t>
            </w:r>
            <w:r w:rsidRPr="00C011B2">
              <w:rPr>
                <w:rFonts w:ascii="Times New Roman" w:hAnsi="Times New Roman" w:cs="Times New Roman"/>
                <w:color w:val="000000" w:themeColor="text1"/>
                <w:lang w:val="ro-MD"/>
              </w:rPr>
              <w:t>.</w:t>
            </w:r>
            <w:r w:rsidR="009D7356" w:rsidRPr="00C011B2">
              <w:rPr>
                <w:rFonts w:ascii="Times New Roman" w:hAnsi="Times New Roman" w:cs="Times New Roman"/>
                <w:color w:val="000000" w:themeColor="text1"/>
                <w:lang w:val="ro-MD"/>
              </w:rPr>
              <w:t>  Se aplică o compensare de 80 % atunci când valorile celor două segmente evoluează întotdeauna în direcții opuse și când există o corespondență perfectă în ceea ce privește obligația de referință, în ceea ce privește scadența obligației de referință și cea a instrumentului financiar derivat de credit, precum și în ceea ce privește moneda expunerii-suport. În plus, caracteristicile principale ale instrumentului financiar derivat de credit, prevăzute în contract, nu fac ca modificarea de preț a instrumentului financiar derivat de credit să devieze semnificativ de la modificările de preț ale poziției cash. În măsura în care prin intermediul tranzacției se transferă risc, se aplică o compensare de 80 % a riscului specific pentru segmentul din tranzacție cu cerința de fonduri proprii mai mare, în timp ce cerințele pentru riscul specific aferente celuilalt segment sunt zero.</w:t>
            </w:r>
            <w:bookmarkEnd w:id="486"/>
          </w:p>
        </w:tc>
        <w:tc>
          <w:tcPr>
            <w:tcW w:w="450" w:type="pct"/>
          </w:tcPr>
          <w:p w14:paraId="1F9899C8" w14:textId="6D77F882"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C50491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0B943F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986AE86" w14:textId="52E5D29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În alte situații în afară de cele menționate la alineatele (3) și (4), se realizează o recunoaștere parțială în următoarele situații:</w:t>
            </w:r>
          </w:p>
          <w:p w14:paraId="103BE68F" w14:textId="7DFC4B68"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poziția corespunde cazului descris la alineatul (3) litera (b), dar există neconcordanță între active, respectiv între obligația de referință și expunerea-suport. În această situație, pozițiile trebuie să îndeplinească și următoarele cerințe:</w:t>
            </w:r>
          </w:p>
          <w:p w14:paraId="19305AEB" w14:textId="7BF841A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obligația de referință are rang egal sau inferior obligației-suport;</w:t>
            </w:r>
          </w:p>
          <w:p w14:paraId="3ABF3FB7" w14:textId="73A0D42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obligația-suport și obligația de referință au același debitor și au clauze de tipul „</w:t>
            </w:r>
            <w:r w:rsidRPr="00C011B2">
              <w:rPr>
                <w:rFonts w:ascii="Times New Roman" w:hAnsi="Times New Roman" w:cs="Times New Roman"/>
                <w:i/>
                <w:iCs/>
                <w:color w:val="000000" w:themeColor="text1"/>
                <w:lang w:val="ro-MD"/>
              </w:rPr>
              <w:t>cross-default</w:t>
            </w:r>
            <w:r w:rsidRPr="00C011B2">
              <w:rPr>
                <w:rFonts w:ascii="Times New Roman" w:hAnsi="Times New Roman" w:cs="Times New Roman"/>
                <w:color w:val="000000" w:themeColor="text1"/>
                <w:lang w:val="ro-MD"/>
              </w:rPr>
              <w:t>” sau „</w:t>
            </w:r>
            <w:r w:rsidRPr="00C011B2">
              <w:rPr>
                <w:rFonts w:ascii="Times New Roman" w:hAnsi="Times New Roman" w:cs="Times New Roman"/>
                <w:i/>
                <w:iCs/>
                <w:color w:val="000000" w:themeColor="text1"/>
                <w:lang w:val="ro-MD"/>
              </w:rPr>
              <w:t>cross-acceleration</w:t>
            </w:r>
            <w:r w:rsidRPr="00C011B2">
              <w:rPr>
                <w:rFonts w:ascii="Times New Roman" w:hAnsi="Times New Roman" w:cs="Times New Roman"/>
                <w:color w:val="000000" w:themeColor="text1"/>
                <w:lang w:val="ro-MD"/>
              </w:rPr>
              <w:t>” cu caracter executoriu din punct de vedere legal;</w:t>
            </w:r>
          </w:p>
          <w:p w14:paraId="4653FA41" w14:textId="7743806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poziția corespunde cazului descris la alineatul (3) litera (a) sau alineatul (4), dar, în ceea ce privește moneda sau scadența, există neconcordanță între protecția de credit și activul-suport. Neconcordanțele în ceea ce privește moneda se includ în cerința de fonduri proprii pentru riscul valutar;</w:t>
            </w:r>
          </w:p>
          <w:p w14:paraId="094723F0" w14:textId="2E9DD00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poziția corespunde cazului descris la alineatul (4) dar, în ceea ce privește activele, există neconcordanță între poziția cash și instrumentul financiar derivat de </w:t>
            </w:r>
            <w:r w:rsidRPr="00C011B2">
              <w:rPr>
                <w:rFonts w:ascii="Times New Roman" w:hAnsi="Times New Roman" w:cs="Times New Roman"/>
                <w:color w:val="000000" w:themeColor="text1"/>
                <w:lang w:val="ro-MD"/>
              </w:rPr>
              <w:lastRenderedPageBreak/>
              <w:t>credit. Totuși, activul-suport este inclus în obligațiile (de livrare), în cadrul documentației instrumentului financiar derivat de credit.</w:t>
            </w:r>
          </w:p>
          <w:p w14:paraId="6F192E92" w14:textId="6334D8D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Pentru a realiza o recunoaștere parțială, în loc de a se însuma cerințele de fonduri proprii pentru riscul specific, aferente fiecărui segment al tranzacției, se aplică doar cea mai mare dintre cele două cerințe de fonduri proprii.</w:t>
            </w:r>
          </w:p>
        </w:tc>
        <w:tc>
          <w:tcPr>
            <w:tcW w:w="1692" w:type="pct"/>
            <w:shd w:val="clear" w:color="auto" w:fill="auto"/>
          </w:tcPr>
          <w:p w14:paraId="6C72862A" w14:textId="19302667" w:rsidR="009D7356" w:rsidRPr="00C011B2" w:rsidRDefault="00F146DB" w:rsidP="009D7356">
            <w:pPr>
              <w:spacing w:after="0" w:line="276" w:lineRule="auto"/>
              <w:jc w:val="both"/>
              <w:rPr>
                <w:rFonts w:ascii="Times New Roman" w:hAnsi="Times New Roman" w:cs="Times New Roman"/>
                <w:color w:val="000000" w:themeColor="text1"/>
                <w:lang w:val="ro-MD"/>
              </w:rPr>
            </w:pPr>
            <w:bookmarkStart w:id="487" w:name="_Hlk224732681"/>
            <w:r w:rsidRPr="00C011B2">
              <w:rPr>
                <w:rFonts w:ascii="Times New Roman" w:hAnsi="Times New Roman" w:cs="Times New Roman"/>
                <w:color w:val="000000" w:themeColor="text1"/>
                <w:lang w:val="ro-MD"/>
              </w:rPr>
              <w:lastRenderedPageBreak/>
              <w:t>48</w:t>
            </w:r>
            <w:r w:rsidR="00851DDD" w:rsidRPr="00C011B2">
              <w:rPr>
                <w:rFonts w:ascii="Times New Roman" w:hAnsi="Times New Roman" w:cs="Times New Roman"/>
                <w:color w:val="000000" w:themeColor="text1"/>
                <w:lang w:val="ro-MD"/>
              </w:rPr>
              <w:t>3</w:t>
            </w:r>
            <w:r w:rsidRPr="00C011B2">
              <w:rPr>
                <w:rFonts w:ascii="Times New Roman" w:hAnsi="Times New Roman" w:cs="Times New Roman"/>
                <w:color w:val="000000" w:themeColor="text1"/>
                <w:lang w:val="ro-MD"/>
              </w:rPr>
              <w:t>.</w:t>
            </w:r>
            <w:r w:rsidR="009D7356" w:rsidRPr="00C011B2">
              <w:rPr>
                <w:rFonts w:ascii="Times New Roman" w:hAnsi="Times New Roman" w:cs="Times New Roman"/>
                <w:color w:val="000000" w:themeColor="text1"/>
                <w:lang w:val="ro-MD"/>
              </w:rPr>
              <w:t xml:space="preserve">   În alte situații în afară de cele menționate la </w:t>
            </w:r>
            <w:r w:rsidRPr="00C011B2">
              <w:rPr>
                <w:rFonts w:ascii="Times New Roman" w:hAnsi="Times New Roman" w:cs="Times New Roman"/>
                <w:color w:val="000000" w:themeColor="text1"/>
                <w:lang w:val="ro-MD"/>
              </w:rPr>
              <w:t>pct.48</w:t>
            </w:r>
            <w:r w:rsidR="00851DDD" w:rsidRPr="00C011B2">
              <w:rPr>
                <w:rFonts w:ascii="Times New Roman" w:hAnsi="Times New Roman" w:cs="Times New Roman"/>
                <w:color w:val="000000" w:themeColor="text1"/>
                <w:lang w:val="ro-MD"/>
              </w:rPr>
              <w:t>0-482</w:t>
            </w:r>
            <w:r w:rsidR="009D7356" w:rsidRPr="00C011B2">
              <w:rPr>
                <w:rFonts w:ascii="Times New Roman" w:hAnsi="Times New Roman" w:cs="Times New Roman"/>
                <w:color w:val="000000" w:themeColor="text1"/>
                <w:lang w:val="ro-MD"/>
              </w:rPr>
              <w:t>, se realizează o recunoaștere parțială în următoarele situații:</w:t>
            </w:r>
          </w:p>
          <w:p w14:paraId="0091E42F" w14:textId="4EA86EDB" w:rsidR="009D7356" w:rsidRPr="00C011B2" w:rsidRDefault="00851DDD"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483.1.</w:t>
            </w:r>
            <w:r w:rsidR="009D7356" w:rsidRPr="00C011B2">
              <w:rPr>
                <w:rFonts w:ascii="Times New Roman" w:hAnsi="Times New Roman" w:cs="Times New Roman"/>
                <w:color w:val="000000" w:themeColor="text1"/>
                <w:lang w:val="ro-MD"/>
              </w:rPr>
              <w:t xml:space="preserve"> poziția corespunde cazului descris la </w:t>
            </w:r>
            <w:r w:rsidRPr="00C011B2">
              <w:rPr>
                <w:rFonts w:ascii="Times New Roman" w:hAnsi="Times New Roman" w:cs="Times New Roman"/>
                <w:color w:val="000000" w:themeColor="text1"/>
                <w:lang w:val="ro-MD"/>
              </w:rPr>
              <w:t>subpct.480.2</w:t>
            </w:r>
            <w:r w:rsidR="009D7356" w:rsidRPr="00C011B2">
              <w:rPr>
                <w:rFonts w:ascii="Times New Roman" w:hAnsi="Times New Roman" w:cs="Times New Roman"/>
                <w:color w:val="000000" w:themeColor="text1"/>
                <w:lang w:val="ro-MD"/>
              </w:rPr>
              <w:t>, dar există neconcordanță între active, respectiv între obligația de referință și expunerea-suport. În această situație, pozițiile trebuie să îndeplinească și următoarele cerințe:</w:t>
            </w:r>
          </w:p>
          <w:p w14:paraId="77EB9A57" w14:textId="2EB19449" w:rsidR="009D7356" w:rsidRPr="00C011B2" w:rsidRDefault="00851DDD"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483.1.1.</w:t>
            </w:r>
            <w:r w:rsidR="009D7356" w:rsidRPr="00C011B2">
              <w:rPr>
                <w:rFonts w:ascii="Times New Roman" w:hAnsi="Times New Roman" w:cs="Times New Roman"/>
                <w:color w:val="000000" w:themeColor="text1"/>
                <w:lang w:val="ro-MD"/>
              </w:rPr>
              <w:t> obligația de referință are rang egal sau inferior obligației-suport;</w:t>
            </w:r>
          </w:p>
          <w:p w14:paraId="248CEF73" w14:textId="6D928E5B" w:rsidR="009D7356" w:rsidRPr="00C011B2" w:rsidRDefault="00851DDD"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483.1.2.</w:t>
            </w:r>
            <w:r w:rsidR="009D7356" w:rsidRPr="00C011B2">
              <w:rPr>
                <w:rFonts w:ascii="Times New Roman" w:hAnsi="Times New Roman" w:cs="Times New Roman"/>
                <w:color w:val="000000" w:themeColor="text1"/>
                <w:lang w:val="ro-MD"/>
              </w:rPr>
              <w:t> obligația-suport și obligația de referință au același debitor și au clauze de tipul „</w:t>
            </w:r>
            <w:r w:rsidR="009D7356" w:rsidRPr="00C011B2">
              <w:rPr>
                <w:rFonts w:ascii="Times New Roman" w:hAnsi="Times New Roman" w:cs="Times New Roman"/>
                <w:i/>
                <w:iCs/>
                <w:color w:val="000000" w:themeColor="text1"/>
                <w:lang w:val="ro-MD"/>
              </w:rPr>
              <w:t>cross-default</w:t>
            </w:r>
            <w:r w:rsidR="009D7356" w:rsidRPr="00C011B2">
              <w:rPr>
                <w:rFonts w:ascii="Times New Roman" w:hAnsi="Times New Roman" w:cs="Times New Roman"/>
                <w:color w:val="000000" w:themeColor="text1"/>
                <w:lang w:val="ro-MD"/>
              </w:rPr>
              <w:t>” sau „</w:t>
            </w:r>
            <w:r w:rsidR="009D7356" w:rsidRPr="00C011B2">
              <w:rPr>
                <w:rFonts w:ascii="Times New Roman" w:hAnsi="Times New Roman" w:cs="Times New Roman"/>
                <w:i/>
                <w:iCs/>
                <w:color w:val="000000" w:themeColor="text1"/>
                <w:lang w:val="ro-MD"/>
              </w:rPr>
              <w:t>cross-acceleration</w:t>
            </w:r>
            <w:r w:rsidR="009D7356" w:rsidRPr="00C011B2">
              <w:rPr>
                <w:rFonts w:ascii="Times New Roman" w:hAnsi="Times New Roman" w:cs="Times New Roman"/>
                <w:color w:val="000000" w:themeColor="text1"/>
                <w:lang w:val="ro-MD"/>
              </w:rPr>
              <w:t>” cu caracter executoriu din punct de vedere legal;</w:t>
            </w:r>
          </w:p>
          <w:p w14:paraId="4DCAC6C0" w14:textId="1F1BA324" w:rsidR="009D7356" w:rsidRPr="00C011B2" w:rsidRDefault="00851DDD"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483.2.</w:t>
            </w:r>
            <w:r w:rsidR="009D7356" w:rsidRPr="00C011B2">
              <w:rPr>
                <w:rFonts w:ascii="Times New Roman" w:hAnsi="Times New Roman" w:cs="Times New Roman"/>
                <w:color w:val="000000" w:themeColor="text1"/>
                <w:lang w:val="ro-MD"/>
              </w:rPr>
              <w:t xml:space="preserve"> poziția corespunde cazului descris la </w:t>
            </w:r>
            <w:r w:rsidRPr="00C011B2">
              <w:rPr>
                <w:rFonts w:ascii="Times New Roman" w:hAnsi="Times New Roman" w:cs="Times New Roman"/>
                <w:color w:val="000000" w:themeColor="text1"/>
                <w:lang w:val="ro-MD"/>
              </w:rPr>
              <w:t>subpct.480.1</w:t>
            </w:r>
            <w:r w:rsidR="009D7356" w:rsidRPr="00C011B2">
              <w:rPr>
                <w:rFonts w:ascii="Times New Roman" w:hAnsi="Times New Roman" w:cs="Times New Roman"/>
                <w:color w:val="000000" w:themeColor="text1"/>
                <w:lang w:val="ro-MD"/>
              </w:rPr>
              <w:t xml:space="preserve"> sau </w:t>
            </w:r>
            <w:r w:rsidRPr="00C011B2">
              <w:rPr>
                <w:rFonts w:ascii="Times New Roman" w:hAnsi="Times New Roman" w:cs="Times New Roman"/>
                <w:color w:val="000000" w:themeColor="text1"/>
                <w:lang w:val="ro-MD"/>
              </w:rPr>
              <w:t>pct.482</w:t>
            </w:r>
            <w:r w:rsidR="009D7356" w:rsidRPr="00C011B2">
              <w:rPr>
                <w:rFonts w:ascii="Times New Roman" w:hAnsi="Times New Roman" w:cs="Times New Roman"/>
                <w:color w:val="000000" w:themeColor="text1"/>
                <w:lang w:val="ro-MD"/>
              </w:rPr>
              <w:t>, dar, în ceea ce privește moneda sau scadența, există neconcordanță între protecția de credit și activul-suport. Neconcordanțele în ceea ce privește moneda se includ în cerința de fonduri proprii pentru riscul valutar;</w:t>
            </w:r>
          </w:p>
          <w:p w14:paraId="77378186" w14:textId="13B5F096" w:rsidR="009D7356" w:rsidRPr="00C011B2" w:rsidRDefault="00851DDD"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483.3.</w:t>
            </w:r>
            <w:r w:rsidR="009D7356" w:rsidRPr="00C011B2">
              <w:rPr>
                <w:rFonts w:ascii="Times New Roman" w:hAnsi="Times New Roman" w:cs="Times New Roman"/>
                <w:color w:val="000000" w:themeColor="text1"/>
                <w:lang w:val="ro-MD"/>
              </w:rPr>
              <w:t xml:space="preserve"> poziția corespunde cazului descris la </w:t>
            </w:r>
            <w:r w:rsidRPr="00C011B2">
              <w:rPr>
                <w:rFonts w:ascii="Times New Roman" w:hAnsi="Times New Roman" w:cs="Times New Roman"/>
                <w:color w:val="000000" w:themeColor="text1"/>
                <w:lang w:val="ro-MD"/>
              </w:rPr>
              <w:t>pct.482</w:t>
            </w:r>
            <w:r w:rsidR="009D7356" w:rsidRPr="00C011B2">
              <w:rPr>
                <w:rFonts w:ascii="Times New Roman" w:hAnsi="Times New Roman" w:cs="Times New Roman"/>
                <w:color w:val="000000" w:themeColor="text1"/>
                <w:lang w:val="ro-MD"/>
              </w:rPr>
              <w:t xml:space="preserve"> dar, în ceea ce privește activele, există neconcordanță între poziția cash și instrumentul financiar derivat de credit. Totuși, activul-suport este inclus în obligațiile (de livrare), în </w:t>
            </w:r>
            <w:r w:rsidR="009D7356" w:rsidRPr="00C011B2">
              <w:rPr>
                <w:rFonts w:ascii="Times New Roman" w:hAnsi="Times New Roman" w:cs="Times New Roman"/>
                <w:color w:val="000000" w:themeColor="text1"/>
                <w:lang w:val="ro-MD"/>
              </w:rPr>
              <w:lastRenderedPageBreak/>
              <w:t>cadrul documentației instrumentului financiar derivat de credit.</w:t>
            </w:r>
          </w:p>
          <w:p w14:paraId="341C7D78" w14:textId="43B1A3A3" w:rsidR="009D7356" w:rsidRPr="00C011B2" w:rsidRDefault="00851DDD"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484. </w:t>
            </w:r>
            <w:r w:rsidR="009D7356" w:rsidRPr="00C011B2">
              <w:rPr>
                <w:rFonts w:ascii="Times New Roman" w:hAnsi="Times New Roman" w:cs="Times New Roman"/>
                <w:color w:val="000000" w:themeColor="text1"/>
                <w:lang w:val="ro-MD"/>
              </w:rPr>
              <w:t>Pentru a realiza o recunoaștere parțială, în loc de a se însuma cerințele de fonduri proprii pentru riscul specific, aferente fiecărui segment al tranzacției, se aplică doar cea mai mare dintre cele două cerințe de fonduri proprii.</w:t>
            </w:r>
            <w:bookmarkEnd w:id="487"/>
          </w:p>
        </w:tc>
        <w:tc>
          <w:tcPr>
            <w:tcW w:w="450" w:type="pct"/>
          </w:tcPr>
          <w:p w14:paraId="440623C2" w14:textId="201DE326"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A96A80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4737B7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6B14E2" w14:textId="7D6F6FC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În toate situațiile care nu intră sub incidența alineatelor (3)-(5), se calculează separat câte o cerință de fonduri proprii pentru riscul specific aferentă fiecărui segment al pozițiilor.</w:t>
            </w:r>
          </w:p>
        </w:tc>
        <w:tc>
          <w:tcPr>
            <w:tcW w:w="1692" w:type="pct"/>
            <w:shd w:val="clear" w:color="auto" w:fill="auto"/>
          </w:tcPr>
          <w:p w14:paraId="3F0D2035" w14:textId="0BB0DBC6" w:rsidR="009D7356" w:rsidRPr="00C011B2" w:rsidRDefault="00851DDD" w:rsidP="009D7356">
            <w:pPr>
              <w:spacing w:after="0" w:line="276" w:lineRule="auto"/>
              <w:jc w:val="both"/>
              <w:rPr>
                <w:rFonts w:ascii="Times New Roman" w:hAnsi="Times New Roman" w:cs="Times New Roman"/>
                <w:color w:val="000000" w:themeColor="text1"/>
                <w:lang w:val="ro-MD"/>
              </w:rPr>
            </w:pPr>
            <w:bookmarkStart w:id="488" w:name="_Hlk224732709"/>
            <w:r w:rsidRPr="00C011B2">
              <w:rPr>
                <w:rFonts w:ascii="Times New Roman" w:hAnsi="Times New Roman" w:cs="Times New Roman"/>
                <w:color w:val="000000" w:themeColor="text1"/>
                <w:lang w:val="ro-MD"/>
              </w:rPr>
              <w:t>485.</w:t>
            </w:r>
            <w:r w:rsidR="009D7356" w:rsidRPr="00C011B2">
              <w:rPr>
                <w:rFonts w:ascii="Times New Roman" w:hAnsi="Times New Roman" w:cs="Times New Roman"/>
                <w:color w:val="000000" w:themeColor="text1"/>
                <w:lang w:val="ro-MD"/>
              </w:rPr>
              <w:t>   În toate situațiile care nu intră sub incidența</w:t>
            </w:r>
            <w:r w:rsidRPr="00C011B2">
              <w:rPr>
                <w:rFonts w:ascii="Times New Roman" w:hAnsi="Times New Roman" w:cs="Times New Roman"/>
                <w:color w:val="000000" w:themeColor="text1"/>
                <w:lang w:val="ro-MD"/>
              </w:rPr>
              <w:t>pct.480-484</w:t>
            </w:r>
            <w:r w:rsidR="009D7356" w:rsidRPr="00C011B2">
              <w:rPr>
                <w:rFonts w:ascii="Times New Roman" w:hAnsi="Times New Roman" w:cs="Times New Roman"/>
                <w:color w:val="000000" w:themeColor="text1"/>
                <w:lang w:val="ro-MD"/>
              </w:rPr>
              <w:t>, se calculează separat câte o cerință de fonduri proprii pentru riscul specific aferentă fiecărui segment al pozițiilor.</w:t>
            </w:r>
            <w:bookmarkEnd w:id="488"/>
          </w:p>
        </w:tc>
        <w:tc>
          <w:tcPr>
            <w:tcW w:w="450" w:type="pct"/>
          </w:tcPr>
          <w:p w14:paraId="75995FB3" w14:textId="4D6D86D6"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7F95D0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93CE99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A198D7" w14:textId="77777777" w:rsidR="009D7356" w:rsidRPr="00C011B2" w:rsidRDefault="009D7356" w:rsidP="009D7356">
            <w:pPr>
              <w:tabs>
                <w:tab w:val="left" w:pos="1070"/>
              </w:tabs>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347</w:t>
            </w:r>
          </w:p>
          <w:p w14:paraId="295981A4" w14:textId="16861177" w:rsidR="009D7356" w:rsidRPr="00C011B2" w:rsidRDefault="009D7356" w:rsidP="009D7356">
            <w:pPr>
              <w:tabs>
                <w:tab w:val="left" w:pos="107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Recunoașterea acoperirilor prin instrumente financiare derivate de credit de tipul „first to default” și „n-th-to default”</w:t>
            </w:r>
          </w:p>
        </w:tc>
        <w:tc>
          <w:tcPr>
            <w:tcW w:w="1692" w:type="pct"/>
            <w:shd w:val="clear" w:color="auto" w:fill="auto"/>
          </w:tcPr>
          <w:p w14:paraId="69CF27A6" w14:textId="66B8CDE0" w:rsidR="009D7356" w:rsidRPr="00C011B2" w:rsidRDefault="000925CB" w:rsidP="009D7356">
            <w:pPr>
              <w:spacing w:after="0" w:line="276" w:lineRule="auto"/>
              <w:jc w:val="both"/>
              <w:rPr>
                <w:rFonts w:ascii="Times New Roman" w:hAnsi="Times New Roman" w:cs="Times New Roman"/>
                <w:color w:val="000000" w:themeColor="text1"/>
                <w:lang w:val="ro-MD"/>
              </w:rPr>
            </w:pPr>
            <w:bookmarkStart w:id="489" w:name="_Hlk195100017"/>
            <w:r w:rsidRPr="00C011B2">
              <w:rPr>
                <w:rFonts w:ascii="Times New Roman" w:hAnsi="Times New Roman" w:cs="Times New Roman"/>
                <w:i/>
                <w:iCs/>
                <w:color w:val="000000" w:themeColor="text1"/>
                <w:lang w:val="ro-MD"/>
              </w:rPr>
              <w:t>Subsecțiunea 2.</w:t>
            </w:r>
            <w:r w:rsidR="006208D8" w:rsidRPr="00C011B2">
              <w:rPr>
                <w:rFonts w:ascii="Times New Roman" w:hAnsi="Times New Roman" w:cs="Times New Roman"/>
                <w:i/>
                <w:iCs/>
                <w:color w:val="000000" w:themeColor="text1"/>
                <w:lang w:val="ro-MD"/>
              </w:rPr>
              <w:t xml:space="preserve"> </w:t>
            </w:r>
            <w:r w:rsidR="009D7356" w:rsidRPr="00C011B2">
              <w:rPr>
                <w:rFonts w:ascii="Times New Roman" w:hAnsi="Times New Roman" w:cs="Times New Roman"/>
                <w:b/>
                <w:bCs/>
                <w:color w:val="000000" w:themeColor="text1"/>
                <w:lang w:val="ro-MD"/>
              </w:rPr>
              <w:t>Recunoașterea acoperirilor prin instrumente financiare derivate de credit de tipul „first to default” și „n-th-to default”</w:t>
            </w:r>
            <w:bookmarkEnd w:id="489"/>
          </w:p>
        </w:tc>
        <w:tc>
          <w:tcPr>
            <w:tcW w:w="450" w:type="pct"/>
          </w:tcPr>
          <w:p w14:paraId="4B30F88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0BC0C9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C48E62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6684256" w14:textId="77777777"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În cazul instrumentelor financiare derivate de credit de tipul „ </w:t>
            </w:r>
            <w:r w:rsidRPr="00C011B2">
              <w:rPr>
                <w:rFonts w:ascii="Times New Roman" w:hAnsi="Times New Roman" w:cs="Times New Roman"/>
                <w:i/>
                <w:iCs/>
                <w:color w:val="000000" w:themeColor="text1"/>
                <w:lang w:val="ro-MD"/>
              </w:rPr>
              <w:t>first-to-default</w:t>
            </w:r>
            <w:r w:rsidRPr="00C011B2">
              <w:rPr>
                <w:rFonts w:ascii="Times New Roman" w:hAnsi="Times New Roman" w:cs="Times New Roman"/>
                <w:color w:val="000000" w:themeColor="text1"/>
                <w:lang w:val="ro-MD"/>
              </w:rPr>
              <w:t> ” și de tipul „ </w:t>
            </w:r>
            <w:r w:rsidRPr="00C011B2">
              <w:rPr>
                <w:rFonts w:ascii="Times New Roman" w:hAnsi="Times New Roman" w:cs="Times New Roman"/>
                <w:i/>
                <w:iCs/>
                <w:color w:val="000000" w:themeColor="text1"/>
                <w:lang w:val="ro-MD"/>
              </w:rPr>
              <w:t>nth-to-default</w:t>
            </w:r>
            <w:r w:rsidRPr="00C011B2">
              <w:rPr>
                <w:rFonts w:ascii="Times New Roman" w:hAnsi="Times New Roman" w:cs="Times New Roman"/>
                <w:color w:val="000000" w:themeColor="text1"/>
                <w:lang w:val="ro-MD"/>
              </w:rPr>
              <w:t> ”, pentru realizarea recunoașterii conform articolului 346 se aplică următorul tratament:</w:t>
            </w:r>
          </w:p>
          <w:p w14:paraId="2401F2D2" w14:textId="6DCFD316"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(a) atunci când o instituție obține o protecție a creditului pentru o serie de entități de referință-suport pentru un instrument financiar derivat de credit cu condiția ca prima nerambursare din cadrul activelor să declanșeze plata și ca acest eveniment de credit să </w:t>
            </w:r>
            <w:r w:rsidRPr="00C011B2">
              <w:rPr>
                <w:rFonts w:ascii="Times New Roman" w:hAnsi="Times New Roman" w:cs="Times New Roman"/>
                <w:color w:val="000000" w:themeColor="text1"/>
                <w:lang w:val="ro-MD"/>
              </w:rPr>
              <w:lastRenderedPageBreak/>
              <w:t>determine încetarea contractului, instituția poate compensa riscul specific pentru entitatea de referință căreia i se aplică cea mai scăzută cerință de fonduri proprii pentru riscul specific dintre entitățile de referință-suport, conform tabelului 1 de la articolul 336;</w:t>
            </w:r>
          </w:p>
          <w:p w14:paraId="68922B4E" w14:textId="38609F66"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atunci când al n-lea caz de nerambursare din cadrul expunerilor declanșează plata în baza protecției creditului, cumpărătorul protecției poate compensa riscul specific numai dacă protecția a fost obținută și pentru cazurile de nerambursare de la 1 la n-1 sau dacă s-au produs deja n-1 cazuri de nerambursare. În astfel de cazuri se urmează metodologia descrisă la litera (a) pentru instrumentele financiare derivate de credit de tipul „</w:t>
            </w:r>
            <w:r w:rsidRPr="00C011B2">
              <w:rPr>
                <w:rFonts w:ascii="Times New Roman" w:hAnsi="Times New Roman" w:cs="Times New Roman"/>
                <w:i/>
                <w:iCs/>
                <w:color w:val="000000" w:themeColor="text1"/>
                <w:lang w:val="ro-MD"/>
              </w:rPr>
              <w:t>first-to-default</w:t>
            </w:r>
            <w:r w:rsidRPr="00C011B2">
              <w:rPr>
                <w:rFonts w:ascii="Times New Roman" w:hAnsi="Times New Roman" w:cs="Times New Roman"/>
                <w:color w:val="000000" w:themeColor="text1"/>
                <w:lang w:val="ro-MD"/>
              </w:rPr>
              <w:t>”, adaptată corespunzător pentru produsele de tipul „</w:t>
            </w:r>
            <w:r w:rsidRPr="00C011B2">
              <w:rPr>
                <w:rFonts w:ascii="Times New Roman" w:hAnsi="Times New Roman" w:cs="Times New Roman"/>
                <w:i/>
                <w:iCs/>
                <w:color w:val="000000" w:themeColor="text1"/>
                <w:lang w:val="ro-MD"/>
              </w:rPr>
              <w:t>nth-to-default</w:t>
            </w:r>
            <w:r w:rsidRPr="00C011B2">
              <w:rPr>
                <w:rFonts w:ascii="Times New Roman" w:hAnsi="Times New Roman" w:cs="Times New Roman"/>
                <w:color w:val="000000" w:themeColor="text1"/>
                <w:lang w:val="ro-MD"/>
              </w:rPr>
              <w:t>”.</w:t>
            </w:r>
          </w:p>
        </w:tc>
        <w:tc>
          <w:tcPr>
            <w:tcW w:w="1692" w:type="pct"/>
            <w:shd w:val="clear" w:color="auto" w:fill="auto"/>
          </w:tcPr>
          <w:p w14:paraId="16632A11" w14:textId="5ABEFC6A" w:rsidR="009D7356" w:rsidRPr="00C011B2" w:rsidRDefault="000925CB" w:rsidP="009D7356">
            <w:pPr>
              <w:tabs>
                <w:tab w:val="left" w:pos="520"/>
              </w:tabs>
              <w:spacing w:after="0" w:line="276" w:lineRule="auto"/>
              <w:jc w:val="both"/>
              <w:rPr>
                <w:rFonts w:ascii="Times New Roman" w:hAnsi="Times New Roman" w:cs="Times New Roman"/>
                <w:color w:val="000000" w:themeColor="text1"/>
                <w:lang w:val="ro-MD"/>
              </w:rPr>
            </w:pPr>
            <w:bookmarkStart w:id="490" w:name="_Hlk224732784"/>
            <w:r w:rsidRPr="00C011B2">
              <w:rPr>
                <w:rFonts w:ascii="Times New Roman" w:hAnsi="Times New Roman" w:cs="Times New Roman"/>
                <w:color w:val="000000" w:themeColor="text1"/>
                <w:lang w:val="ro-MD"/>
              </w:rPr>
              <w:lastRenderedPageBreak/>
              <w:t xml:space="preserve">486. </w:t>
            </w:r>
            <w:r w:rsidR="009D7356" w:rsidRPr="00C011B2">
              <w:rPr>
                <w:rFonts w:ascii="Times New Roman" w:hAnsi="Times New Roman" w:cs="Times New Roman"/>
                <w:color w:val="000000" w:themeColor="text1"/>
                <w:lang w:val="ro-MD"/>
              </w:rPr>
              <w:t>În cazul instrumentelor financiare derivate de credit de tipul „ </w:t>
            </w:r>
            <w:r w:rsidR="009D7356" w:rsidRPr="00C011B2">
              <w:rPr>
                <w:rFonts w:ascii="Times New Roman" w:hAnsi="Times New Roman" w:cs="Times New Roman"/>
                <w:i/>
                <w:iCs/>
                <w:color w:val="000000" w:themeColor="text1"/>
                <w:lang w:val="ro-MD"/>
              </w:rPr>
              <w:t>first-to-default</w:t>
            </w:r>
            <w:r w:rsidR="009D7356" w:rsidRPr="00C011B2">
              <w:rPr>
                <w:rFonts w:ascii="Times New Roman" w:hAnsi="Times New Roman" w:cs="Times New Roman"/>
                <w:color w:val="000000" w:themeColor="text1"/>
                <w:lang w:val="ro-MD"/>
              </w:rPr>
              <w:t> ” și de tipul „ </w:t>
            </w:r>
            <w:r w:rsidR="009D7356" w:rsidRPr="00C011B2">
              <w:rPr>
                <w:rFonts w:ascii="Times New Roman" w:hAnsi="Times New Roman" w:cs="Times New Roman"/>
                <w:i/>
                <w:iCs/>
                <w:color w:val="000000" w:themeColor="text1"/>
                <w:lang w:val="ro-MD"/>
              </w:rPr>
              <w:t>nth-to-default</w:t>
            </w:r>
            <w:r w:rsidR="009D7356" w:rsidRPr="00C011B2">
              <w:rPr>
                <w:rFonts w:ascii="Times New Roman" w:hAnsi="Times New Roman" w:cs="Times New Roman"/>
                <w:color w:val="000000" w:themeColor="text1"/>
                <w:lang w:val="ro-MD"/>
              </w:rPr>
              <w:t xml:space="preserve"> ”, pentru realizarea recunoașterii conform </w:t>
            </w:r>
            <w:r w:rsidRPr="00C011B2">
              <w:rPr>
                <w:rFonts w:ascii="Times New Roman" w:hAnsi="Times New Roman" w:cs="Times New Roman"/>
                <w:color w:val="000000" w:themeColor="text1"/>
                <w:lang w:val="ro-MD"/>
              </w:rPr>
              <w:t>subsecțiunii 1</w:t>
            </w:r>
            <w:r w:rsidR="009D7356" w:rsidRPr="00C011B2">
              <w:rPr>
                <w:rFonts w:ascii="Times New Roman" w:hAnsi="Times New Roman" w:cs="Times New Roman"/>
                <w:color w:val="000000" w:themeColor="text1"/>
                <w:lang w:val="ro-MD"/>
              </w:rPr>
              <w:t xml:space="preserve"> se aplică următorul tratament:</w:t>
            </w:r>
          </w:p>
          <w:p w14:paraId="75518A7D" w14:textId="2B4E7CDD" w:rsidR="009D7356" w:rsidRPr="00C011B2" w:rsidRDefault="000925CB"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486.1.</w:t>
            </w:r>
            <w:r w:rsidR="009D7356" w:rsidRPr="00C011B2">
              <w:rPr>
                <w:rFonts w:ascii="Times New Roman" w:hAnsi="Times New Roman" w:cs="Times New Roman"/>
                <w:color w:val="000000" w:themeColor="text1"/>
                <w:lang w:val="ro-MD"/>
              </w:rPr>
              <w:t xml:space="preserve"> atunci când o </w:t>
            </w:r>
            <w:r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 xml:space="preserve">obține o protecție a creditului pentru o serie de entități de referință-suport pentru un instrument financiar derivat de credit cu condiția ca prima nerambursare din cadrul activelor să declanșeze plata și ca acest eveniment de credit să determine încetarea </w:t>
            </w:r>
            <w:r w:rsidR="009D7356" w:rsidRPr="00C011B2">
              <w:rPr>
                <w:rFonts w:ascii="Times New Roman" w:hAnsi="Times New Roman" w:cs="Times New Roman"/>
                <w:color w:val="000000" w:themeColor="text1"/>
                <w:lang w:val="ro-MD"/>
              </w:rPr>
              <w:lastRenderedPageBreak/>
              <w:t xml:space="preserve">contractului,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poate compensa riscul specific pentru entitatea de referință căreia i se aplică cea mai scăzută cerință de fonduri proprii pentru riscul specific dintre entitățile de referință-suport, conform tabelului 1 de la </w:t>
            </w:r>
            <w:r w:rsidRPr="00C011B2">
              <w:rPr>
                <w:rFonts w:ascii="Times New Roman" w:hAnsi="Times New Roman" w:cs="Times New Roman"/>
                <w:color w:val="000000" w:themeColor="text1"/>
                <w:lang w:val="ro-MD"/>
              </w:rPr>
              <w:t>pct.436</w:t>
            </w:r>
            <w:r w:rsidR="009D7356" w:rsidRPr="00C011B2">
              <w:rPr>
                <w:rFonts w:ascii="Times New Roman" w:hAnsi="Times New Roman" w:cs="Times New Roman"/>
                <w:color w:val="000000" w:themeColor="text1"/>
                <w:lang w:val="ro-MD"/>
              </w:rPr>
              <w:t>;</w:t>
            </w:r>
          </w:p>
          <w:p w14:paraId="4A9436BD" w14:textId="3FEBDD66" w:rsidR="009D7356" w:rsidRPr="00C011B2" w:rsidRDefault="000925CB"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486.2.</w:t>
            </w:r>
            <w:r w:rsidR="009D7356" w:rsidRPr="00C011B2">
              <w:rPr>
                <w:rFonts w:ascii="Times New Roman" w:hAnsi="Times New Roman" w:cs="Times New Roman"/>
                <w:color w:val="000000" w:themeColor="text1"/>
                <w:lang w:val="ro-MD"/>
              </w:rPr>
              <w:t> atunci când al n-lea caz de nerambursare din cadrul expunerilor declanșează plata în baza protecției creditului, cumpărătorul protecției poate compensa riscul specific numai dacă protecția a fost obținută și pentru cazurile de nerambursare de la 1 la n-1 sau dacă s-au produs deja n-1 cazuri de nerambursare. În astfel de cazuri se urmează metodologia descrisă la</w:t>
            </w:r>
            <w:r w:rsidRPr="00C011B2">
              <w:rPr>
                <w:rFonts w:ascii="Times New Roman" w:hAnsi="Times New Roman" w:cs="Times New Roman"/>
                <w:color w:val="000000" w:themeColor="text1"/>
                <w:lang w:val="ro-MD"/>
              </w:rPr>
              <w:t xml:space="preserve"> subpct.486.1</w:t>
            </w:r>
            <w:r w:rsidR="009D7356" w:rsidRPr="00C011B2">
              <w:rPr>
                <w:rFonts w:ascii="Times New Roman" w:hAnsi="Times New Roman" w:cs="Times New Roman"/>
                <w:color w:val="000000" w:themeColor="text1"/>
                <w:lang w:val="ro-MD"/>
              </w:rPr>
              <w:t xml:space="preserve"> pentru instrumentele financiare derivate de credit de tipul „</w:t>
            </w:r>
            <w:r w:rsidR="009D7356" w:rsidRPr="00C011B2">
              <w:rPr>
                <w:rFonts w:ascii="Times New Roman" w:hAnsi="Times New Roman" w:cs="Times New Roman"/>
                <w:i/>
                <w:iCs/>
                <w:color w:val="000000" w:themeColor="text1"/>
                <w:lang w:val="ro-MD"/>
              </w:rPr>
              <w:t>first-to-default</w:t>
            </w:r>
            <w:r w:rsidR="009D7356" w:rsidRPr="00C011B2">
              <w:rPr>
                <w:rFonts w:ascii="Times New Roman" w:hAnsi="Times New Roman" w:cs="Times New Roman"/>
                <w:color w:val="000000" w:themeColor="text1"/>
                <w:lang w:val="ro-MD"/>
              </w:rPr>
              <w:t>”, adaptată corespunzător pentru produsele de tipul „</w:t>
            </w:r>
            <w:r w:rsidR="009D7356" w:rsidRPr="00C011B2">
              <w:rPr>
                <w:rFonts w:ascii="Times New Roman" w:hAnsi="Times New Roman" w:cs="Times New Roman"/>
                <w:i/>
                <w:iCs/>
                <w:color w:val="000000" w:themeColor="text1"/>
                <w:lang w:val="ro-MD"/>
              </w:rPr>
              <w:t>nth-to-default</w:t>
            </w:r>
            <w:r w:rsidR="009D7356" w:rsidRPr="00C011B2">
              <w:rPr>
                <w:rFonts w:ascii="Times New Roman" w:hAnsi="Times New Roman" w:cs="Times New Roman"/>
                <w:color w:val="000000" w:themeColor="text1"/>
                <w:lang w:val="ro-MD"/>
              </w:rPr>
              <w:t>”.</w:t>
            </w:r>
            <w:bookmarkEnd w:id="490"/>
          </w:p>
        </w:tc>
        <w:tc>
          <w:tcPr>
            <w:tcW w:w="450" w:type="pct"/>
          </w:tcPr>
          <w:p w14:paraId="3304BD9D" w14:textId="7DDA9DD9"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7EAF86A"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5ADF55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D8FE2D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Secțiunea 6</w:t>
            </w:r>
          </w:p>
          <w:p w14:paraId="63FF27ED"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OPC-uri</w:t>
            </w:r>
          </w:p>
          <w:p w14:paraId="4EABA1AA"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348</w:t>
            </w:r>
          </w:p>
          <w:p w14:paraId="554A1B22" w14:textId="5FAA2BF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Cerințe de fonduri proprii pentru OPC-uri</w:t>
            </w:r>
          </w:p>
        </w:tc>
        <w:tc>
          <w:tcPr>
            <w:tcW w:w="1692" w:type="pct"/>
            <w:shd w:val="clear" w:color="auto" w:fill="auto"/>
          </w:tcPr>
          <w:p w14:paraId="72997317" w14:textId="61FE3A08"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491" w:name="_Hlk195100054"/>
            <w:r w:rsidRPr="00C011B2">
              <w:rPr>
                <w:rFonts w:ascii="Times New Roman" w:hAnsi="Times New Roman" w:cs="Times New Roman"/>
                <w:b/>
                <w:bCs/>
                <w:color w:val="000000" w:themeColor="text1"/>
                <w:lang w:val="ro-MD"/>
              </w:rPr>
              <w:t>Secțiunea 6</w:t>
            </w:r>
            <w:r w:rsidR="006208D8" w:rsidRPr="00C011B2">
              <w:rPr>
                <w:rFonts w:ascii="Times New Roman" w:hAnsi="Times New Roman" w:cs="Times New Roman"/>
                <w:b/>
                <w:bCs/>
                <w:color w:val="000000" w:themeColor="text1"/>
                <w:lang w:val="ro-MD"/>
              </w:rPr>
              <w:t xml:space="preserve">. </w:t>
            </w:r>
          </w:p>
          <w:p w14:paraId="03E133CB"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OPC-uri</w:t>
            </w:r>
          </w:p>
          <w:p w14:paraId="16FFB9B3" w14:textId="549F5AF4" w:rsidR="009D7356" w:rsidRPr="00C011B2" w:rsidRDefault="006208D8"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Subsecțiunea 1. </w:t>
            </w:r>
            <w:r w:rsidR="009D7356" w:rsidRPr="00C011B2">
              <w:rPr>
                <w:rFonts w:ascii="Times New Roman" w:hAnsi="Times New Roman" w:cs="Times New Roman"/>
                <w:b/>
                <w:bCs/>
                <w:color w:val="000000" w:themeColor="text1"/>
                <w:lang w:val="ro-MD"/>
              </w:rPr>
              <w:t>Cerințe de fonduri proprii pentru OPC-uri</w:t>
            </w:r>
            <w:bookmarkEnd w:id="491"/>
          </w:p>
        </w:tc>
        <w:tc>
          <w:tcPr>
            <w:tcW w:w="450" w:type="pct"/>
          </w:tcPr>
          <w:p w14:paraId="6B83D36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B520C4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65D50A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816EEF"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7" w:tooltip="32024R1623: REPLACED" w:history="1">
              <w:r w:rsidR="009D7356" w:rsidRPr="00C011B2">
                <w:rPr>
                  <w:rStyle w:val="Hyperlink"/>
                  <w:rFonts w:ascii="Times New Roman" w:hAnsi="Times New Roman" w:cs="Times New Roman"/>
                  <w:b/>
                  <w:bCs/>
                  <w:lang w:val="ro-MD"/>
                </w:rPr>
                <w:t>▼M17</w:t>
              </w:r>
            </w:hyperlink>
          </w:p>
          <w:p w14:paraId="0D0A1B5E" w14:textId="6B79C5E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Fără a aduce atingere altor dispoziții din prezenta secțiune, pozițiile pe OPC-uri sunt supuse unei cerințe de fonduri proprii pentru riscul de poziție (general și specific) de 32 %. Fără a aduce atingere dispozițiilor </w:t>
            </w:r>
            <w:r w:rsidRPr="00C011B2">
              <w:rPr>
                <w:rFonts w:ascii="Times New Roman" w:hAnsi="Times New Roman" w:cs="Times New Roman"/>
                <w:color w:val="000000" w:themeColor="text1"/>
                <w:lang w:val="ro-MD"/>
              </w:rPr>
              <w:lastRenderedPageBreak/>
              <w:t>articolului 353, corelate cu tratamentul modificat pentru aur prevăzut la articolul 352 alineatul (4), pozițiile pe OPC-uri sunt supuse unei cerințe de fonduri proprii pentru riscul de poziție (general și specific) și pentru riscul valutar de 40 %.</w:t>
            </w:r>
          </w:p>
        </w:tc>
        <w:tc>
          <w:tcPr>
            <w:tcW w:w="1692" w:type="pct"/>
            <w:shd w:val="clear" w:color="auto" w:fill="auto"/>
          </w:tcPr>
          <w:p w14:paraId="57C8A237" w14:textId="13D349EF" w:rsidR="009D7356" w:rsidRPr="00C011B2" w:rsidRDefault="006208D8"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487.</w:t>
            </w:r>
            <w:r w:rsidR="009D7356" w:rsidRPr="00C011B2">
              <w:rPr>
                <w:rFonts w:ascii="Times New Roman" w:hAnsi="Times New Roman" w:cs="Times New Roman"/>
                <w:color w:val="000000" w:themeColor="text1"/>
                <w:lang w:val="ro-MD"/>
              </w:rPr>
              <w:t xml:space="preserve">   Fără a aduce atingere altor dispoziții din prezenta secțiune, pozițiile pe OPC-uri sunt supuse unei cerințe de fonduri proprii pentru riscul de poziție (general și specific) de 32 %. Fără a aduce atingere dispozițiilor </w:t>
            </w:r>
            <w:r w:rsidR="00633D02" w:rsidRPr="00C011B2">
              <w:rPr>
                <w:rFonts w:ascii="Times New Roman" w:hAnsi="Times New Roman" w:cs="Times New Roman"/>
                <w:color w:val="000000" w:themeColor="text1"/>
                <w:lang w:val="ro-MD"/>
              </w:rPr>
              <w:t>secțiunii 3</w:t>
            </w:r>
            <w:r w:rsidR="009D7356" w:rsidRPr="00C011B2">
              <w:rPr>
                <w:rFonts w:ascii="Times New Roman" w:hAnsi="Times New Roman" w:cs="Times New Roman"/>
                <w:color w:val="000000" w:themeColor="text1"/>
                <w:lang w:val="ro-MD"/>
              </w:rPr>
              <w:t>, corelate cu tratamentul modificat pentru aur prevăzut la</w:t>
            </w:r>
            <w:r w:rsidR="00A34689" w:rsidRPr="00C011B2">
              <w:rPr>
                <w:rFonts w:ascii="Times New Roman" w:hAnsi="Times New Roman" w:cs="Times New Roman"/>
                <w:color w:val="000000" w:themeColor="text1"/>
                <w:lang w:val="ro-MD"/>
              </w:rPr>
              <w:t xml:space="preserve"> </w:t>
            </w:r>
            <w:r w:rsidR="00633D02" w:rsidRPr="00C011B2">
              <w:rPr>
                <w:rFonts w:ascii="Times New Roman" w:hAnsi="Times New Roman" w:cs="Times New Roman"/>
                <w:color w:val="000000" w:themeColor="text1"/>
                <w:lang w:val="ro-MD"/>
              </w:rPr>
              <w:lastRenderedPageBreak/>
              <w:t>pct.501</w:t>
            </w:r>
            <w:r w:rsidR="009D7356" w:rsidRPr="00C011B2">
              <w:rPr>
                <w:rFonts w:ascii="Times New Roman" w:hAnsi="Times New Roman" w:cs="Times New Roman"/>
                <w:color w:val="000000" w:themeColor="text1"/>
                <w:lang w:val="ro-MD"/>
              </w:rPr>
              <w:t>, pozițiile pe OPC-uri sunt supuse unei cerințe de fonduri proprii pentru riscul de poziție (general și specific) și pentru riscul valutar de 40 %.</w:t>
            </w:r>
          </w:p>
        </w:tc>
        <w:tc>
          <w:tcPr>
            <w:tcW w:w="450" w:type="pct"/>
          </w:tcPr>
          <w:p w14:paraId="4703F33E" w14:textId="46E6936E"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D97748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04564B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C9AF9AE"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8" w:tooltip="32013R0575R(02): REPLACED" w:history="1">
              <w:r w:rsidR="009D7356" w:rsidRPr="00C011B2">
                <w:rPr>
                  <w:rStyle w:val="Hyperlink"/>
                  <w:rFonts w:ascii="Times New Roman" w:hAnsi="Times New Roman" w:cs="Times New Roman"/>
                  <w:b/>
                  <w:bCs/>
                  <w:lang w:val="ro-MD"/>
                </w:rPr>
                <w:t>▼C2</w:t>
              </w:r>
            </w:hyperlink>
          </w:p>
          <w:p w14:paraId="020CBE2E" w14:textId="4A5DCEC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Cu excepția cazurilor în care se prevede altfel la articolul 350, nu este permisă compensarea între investițiile-suport ale unui OPC și alte poziții deținute de instituție.</w:t>
            </w:r>
          </w:p>
        </w:tc>
        <w:tc>
          <w:tcPr>
            <w:tcW w:w="1692" w:type="pct"/>
            <w:shd w:val="clear" w:color="auto" w:fill="auto"/>
          </w:tcPr>
          <w:p w14:paraId="3DE8901A" w14:textId="29355282"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488.</w:t>
            </w:r>
            <w:r w:rsidR="009D7356" w:rsidRPr="00C011B2">
              <w:rPr>
                <w:rFonts w:ascii="Times New Roman" w:hAnsi="Times New Roman" w:cs="Times New Roman"/>
                <w:color w:val="000000" w:themeColor="text1"/>
                <w:lang w:val="ro-MD"/>
              </w:rPr>
              <w:t xml:space="preserve">   Cu excepția cazurilor în care se prevede altfel la </w:t>
            </w:r>
            <w:r w:rsidRPr="00C011B2">
              <w:rPr>
                <w:rFonts w:ascii="Times New Roman" w:hAnsi="Times New Roman" w:cs="Times New Roman"/>
                <w:color w:val="000000" w:themeColor="text1"/>
                <w:lang w:val="ro-MD"/>
              </w:rPr>
              <w:t>subsecțiunea 3</w:t>
            </w:r>
            <w:r w:rsidR="009D7356" w:rsidRPr="00C011B2">
              <w:rPr>
                <w:rFonts w:ascii="Times New Roman" w:hAnsi="Times New Roman" w:cs="Times New Roman"/>
                <w:color w:val="000000" w:themeColor="text1"/>
                <w:lang w:val="ro-MD"/>
              </w:rPr>
              <w:t xml:space="preserve">, nu este permisă compensarea între investițiile-suport ale unui OPC și alte poziții deținute de </w:t>
            </w:r>
            <w:r w:rsidRPr="00C011B2">
              <w:rPr>
                <w:rFonts w:ascii="Times New Roman" w:hAnsi="Times New Roman" w:cs="Times New Roman"/>
                <w:color w:val="000000" w:themeColor="text1"/>
                <w:lang w:val="ro-MD"/>
              </w:rPr>
              <w:t>bancă</w:t>
            </w:r>
            <w:r w:rsidR="009D7356" w:rsidRPr="00C011B2">
              <w:rPr>
                <w:rFonts w:ascii="Times New Roman" w:hAnsi="Times New Roman" w:cs="Times New Roman"/>
                <w:color w:val="000000" w:themeColor="text1"/>
                <w:lang w:val="ro-MD"/>
              </w:rPr>
              <w:t>.</w:t>
            </w:r>
          </w:p>
        </w:tc>
        <w:tc>
          <w:tcPr>
            <w:tcW w:w="450" w:type="pct"/>
          </w:tcPr>
          <w:p w14:paraId="1DED016D" w14:textId="103DAD81"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85C841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537169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8CC1428"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349</w:t>
            </w:r>
          </w:p>
          <w:p w14:paraId="49097317" w14:textId="0B41107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Criterii generale pentru OPC-uri</w:t>
            </w:r>
          </w:p>
        </w:tc>
        <w:tc>
          <w:tcPr>
            <w:tcW w:w="1692" w:type="pct"/>
            <w:shd w:val="clear" w:color="auto" w:fill="auto"/>
          </w:tcPr>
          <w:p w14:paraId="0A910B68" w14:textId="24615410" w:rsidR="009D7356" w:rsidRPr="00C011B2" w:rsidRDefault="0007373E" w:rsidP="009D7356">
            <w:pPr>
              <w:spacing w:after="0" w:line="276" w:lineRule="auto"/>
              <w:jc w:val="both"/>
              <w:rPr>
                <w:rFonts w:ascii="Times New Roman" w:hAnsi="Times New Roman" w:cs="Times New Roman"/>
                <w:color w:val="000000" w:themeColor="text1"/>
                <w:lang w:val="ro-MD"/>
              </w:rPr>
            </w:pPr>
            <w:bookmarkStart w:id="492" w:name="_Hlk195100086"/>
            <w:r w:rsidRPr="00C011B2">
              <w:rPr>
                <w:rFonts w:ascii="Times New Roman" w:hAnsi="Times New Roman" w:cs="Times New Roman"/>
                <w:i/>
                <w:iCs/>
                <w:color w:val="000000" w:themeColor="text1"/>
                <w:lang w:val="ro-MD"/>
              </w:rPr>
              <w:t xml:space="preserve">Subsecțiunea 2. </w:t>
            </w:r>
            <w:r w:rsidR="009D7356" w:rsidRPr="00C011B2">
              <w:rPr>
                <w:rFonts w:ascii="Times New Roman" w:hAnsi="Times New Roman" w:cs="Times New Roman"/>
                <w:b/>
                <w:bCs/>
                <w:color w:val="000000" w:themeColor="text1"/>
                <w:lang w:val="ro-MD"/>
              </w:rPr>
              <w:t>Criterii generale pentru OPC-uri</w:t>
            </w:r>
            <w:bookmarkEnd w:id="492"/>
          </w:p>
        </w:tc>
        <w:tc>
          <w:tcPr>
            <w:tcW w:w="450" w:type="pct"/>
          </w:tcPr>
          <w:p w14:paraId="796F444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C9B848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F16477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2477A1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OPC-urile sunt eligibile pentru abordarea prevăzută la articolul 350 atunci când sunt îndeplinite toate condițiile următoare:</w:t>
            </w:r>
          </w:p>
          <w:p w14:paraId="47043B04" w14:textId="4FE1A8A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prospectul de emisiune al OPC-ului sau documentul echivalent include toate elementele următoare:</w:t>
            </w:r>
          </w:p>
          <w:p w14:paraId="57E226E7" w14:textId="6A04A95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 categoriile de active în care OPC-ul este autorizat să investească;</w:t>
            </w:r>
          </w:p>
          <w:p w14:paraId="5BEBA464" w14:textId="71AF380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 dacă se aplică limite în ceea ce privește investițiile, limitele relative și metodologiile de calcul al acestora;</w:t>
            </w:r>
          </w:p>
          <w:p w14:paraId="18DD44D6" w14:textId="30E238F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(iii) dacă este permis efectul de levier, nivelul maxim al efectului de levier;</w:t>
            </w:r>
          </w:p>
          <w:p w14:paraId="3CAD6935" w14:textId="39E5686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(iv) dacă sunt permise tranzacțiile cu instrumente financiare derivate extrabursiere sau tranzacțiile de </w:t>
            </w:r>
            <w:r w:rsidRPr="00C011B2">
              <w:rPr>
                <w:rFonts w:ascii="Times New Roman" w:hAnsi="Times New Roman" w:cs="Times New Roman"/>
                <w:color w:val="000000" w:themeColor="text1"/>
                <w:lang w:val="ro-MD"/>
              </w:rPr>
              <w:lastRenderedPageBreak/>
              <w:t>răscumpărare ori tranzacțiile de dare sau luare de titluri cu împrumut, o politică de limitare a riscului de contraparte ce rezultă din aceste tranzacții;</w:t>
            </w:r>
          </w:p>
          <w:p w14:paraId="0675BC89" w14:textId="5FC23E8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activitățile OPC-ului sunt raportate în cadrul raportărilor semestriale și anuale pentru a permite efectuarea unei evaluări a activelor și pasivelor, a rezultatului financiar și a operațiunilor aferente perioadei de raportare;</w:t>
            </w:r>
          </w:p>
          <w:p w14:paraId="2926F68A" w14:textId="4CA48D0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acțiunile sau unitățile OPC-ului sunt rambursabile în numerar, din activele organismului, pe bază zilnică, la cererea deținătorului unității;</w:t>
            </w:r>
          </w:p>
          <w:p w14:paraId="0CDBDBED" w14:textId="3B41213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investițiile în OPC sunt separate de activele administratorului OPC-ului;</w:t>
            </w:r>
          </w:p>
          <w:p w14:paraId="73CDF3AC" w14:textId="1AAB5DF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este efectuată o evaluare adecvată a riscului OPC-ului de către instituția investitoare.</w:t>
            </w:r>
          </w:p>
          <w:p w14:paraId="188AAE8C" w14:textId="1F0FE90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OPC-urile trebuie să fie administrate de persoane supuse unei supravegheri conform Directivei 2009/65/CE sau unei legislații echivalente.</w:t>
            </w:r>
          </w:p>
        </w:tc>
        <w:tc>
          <w:tcPr>
            <w:tcW w:w="1692" w:type="pct"/>
            <w:shd w:val="clear" w:color="auto" w:fill="auto"/>
          </w:tcPr>
          <w:p w14:paraId="267302AC" w14:textId="44E2B1AB"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489. </w:t>
            </w:r>
            <w:r w:rsidR="009D7356" w:rsidRPr="00C011B2">
              <w:rPr>
                <w:rFonts w:ascii="Times New Roman" w:hAnsi="Times New Roman" w:cs="Times New Roman"/>
                <w:color w:val="000000" w:themeColor="text1"/>
                <w:lang w:val="ro-MD"/>
              </w:rPr>
              <w:t xml:space="preserve">OPC-urile sunt eligibile pentru abordarea prevăzută la </w:t>
            </w:r>
            <w:r w:rsidRPr="00C011B2">
              <w:rPr>
                <w:rFonts w:ascii="Times New Roman" w:hAnsi="Times New Roman" w:cs="Times New Roman"/>
                <w:color w:val="000000" w:themeColor="text1"/>
                <w:lang w:val="ro-MD"/>
              </w:rPr>
              <w:t>subsecțiunea 3</w:t>
            </w:r>
            <w:r w:rsidR="009D7356" w:rsidRPr="00C011B2">
              <w:rPr>
                <w:rFonts w:ascii="Times New Roman" w:hAnsi="Times New Roman" w:cs="Times New Roman"/>
                <w:color w:val="000000" w:themeColor="text1"/>
                <w:lang w:val="ro-MD"/>
              </w:rPr>
              <w:t>atunci când sunt îndeplinite toate condițiile următoare:</w:t>
            </w:r>
          </w:p>
          <w:p w14:paraId="253A3AB5" w14:textId="47C6CE61"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489.1.</w:t>
            </w:r>
            <w:r w:rsidR="009D7356" w:rsidRPr="00C011B2">
              <w:rPr>
                <w:rFonts w:ascii="Times New Roman" w:hAnsi="Times New Roman" w:cs="Times New Roman"/>
                <w:color w:val="000000" w:themeColor="text1"/>
                <w:lang w:val="ro-MD"/>
              </w:rPr>
              <w:t> prospectul de emisiune al OPC-ului sau documentul echivalent include toate elementele următoare:</w:t>
            </w:r>
          </w:p>
          <w:p w14:paraId="45EAEA66" w14:textId="30E8303D"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489.1.1. </w:t>
            </w:r>
            <w:r w:rsidR="009D7356" w:rsidRPr="00C011B2">
              <w:rPr>
                <w:rFonts w:ascii="Times New Roman" w:hAnsi="Times New Roman" w:cs="Times New Roman"/>
                <w:color w:val="000000" w:themeColor="text1"/>
                <w:lang w:val="ro-MD"/>
              </w:rPr>
              <w:t> categoriile de active în care OPC-ul este autorizat să investească;</w:t>
            </w:r>
          </w:p>
          <w:p w14:paraId="602F312E" w14:textId="568F5532"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489.1.2. </w:t>
            </w:r>
            <w:r w:rsidR="009D7356" w:rsidRPr="00C011B2">
              <w:rPr>
                <w:rFonts w:ascii="Times New Roman" w:hAnsi="Times New Roman" w:cs="Times New Roman"/>
                <w:color w:val="000000" w:themeColor="text1"/>
                <w:lang w:val="ro-MD"/>
              </w:rPr>
              <w:t>dacă se aplică limite în ceea ce privește investițiile, limitele relative și metodologiile de calcul al acestora;</w:t>
            </w:r>
          </w:p>
          <w:p w14:paraId="0D7EA1A8" w14:textId="53C4527A"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489.1.3. </w:t>
            </w:r>
            <w:r w:rsidR="009D7356" w:rsidRPr="00C011B2">
              <w:rPr>
                <w:rFonts w:ascii="Times New Roman" w:hAnsi="Times New Roman" w:cs="Times New Roman"/>
                <w:color w:val="000000" w:themeColor="text1"/>
                <w:lang w:val="ro-MD"/>
              </w:rPr>
              <w:t> dacă este permis efectul de levier, nivelul maxim al efectului de levier;</w:t>
            </w:r>
          </w:p>
          <w:p w14:paraId="4E0C6BBE" w14:textId="2D9D0111"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489.1.4. </w:t>
            </w:r>
            <w:r w:rsidR="009D7356" w:rsidRPr="00C011B2">
              <w:rPr>
                <w:rFonts w:ascii="Times New Roman" w:hAnsi="Times New Roman" w:cs="Times New Roman"/>
                <w:color w:val="000000" w:themeColor="text1"/>
                <w:lang w:val="ro-MD"/>
              </w:rPr>
              <w:t> dacă sunt permise tranzacțiile cu instrumente financiare derivate extrabursiere sau tranzacțiile de răscumpărare ori tranzacțiile de dare sau luare de titluri cu împrumut, o politică de limitare a riscului de contraparte ce rezultă din aceste tranzacții;</w:t>
            </w:r>
          </w:p>
          <w:p w14:paraId="4D8E3D53" w14:textId="7B3EAE7B"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489.2.</w:t>
            </w:r>
            <w:r w:rsidR="009D7356" w:rsidRPr="00C011B2">
              <w:rPr>
                <w:rFonts w:ascii="Times New Roman" w:hAnsi="Times New Roman" w:cs="Times New Roman"/>
                <w:color w:val="000000" w:themeColor="text1"/>
                <w:lang w:val="ro-MD"/>
              </w:rPr>
              <w:t> activitățile OPC-ului sunt raportate în cadrul raportărilor semestriale și anuale pentru a permite efectuarea unei evaluări a activelor și pasivelor, a rezultatului financiar și a operațiunilor aferente perioadei de raportare;</w:t>
            </w:r>
          </w:p>
          <w:p w14:paraId="64D3892B" w14:textId="2EB8A590"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489.3.</w:t>
            </w:r>
            <w:r w:rsidR="009D7356" w:rsidRPr="00C011B2">
              <w:rPr>
                <w:rFonts w:ascii="Times New Roman" w:hAnsi="Times New Roman" w:cs="Times New Roman"/>
                <w:color w:val="000000" w:themeColor="text1"/>
                <w:lang w:val="ro-MD"/>
              </w:rPr>
              <w:t> acțiunile sau unitățile OPC-ului sunt rambursabile în numerar, din activele organismului, pe bază zilnică, la cererea deținătorului unității;</w:t>
            </w:r>
          </w:p>
          <w:p w14:paraId="224225AB" w14:textId="7CB448F8"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489.4.</w:t>
            </w:r>
            <w:r w:rsidR="009D7356" w:rsidRPr="00C011B2">
              <w:rPr>
                <w:rFonts w:ascii="Times New Roman" w:hAnsi="Times New Roman" w:cs="Times New Roman"/>
                <w:color w:val="000000" w:themeColor="text1"/>
                <w:lang w:val="ro-MD"/>
              </w:rPr>
              <w:t> investițiile în OPC sunt separate de activele administratorului OPC-ului;</w:t>
            </w:r>
          </w:p>
          <w:p w14:paraId="5EABCBF0" w14:textId="29619E03"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489.5.</w:t>
            </w:r>
            <w:r w:rsidR="009D7356" w:rsidRPr="00C011B2">
              <w:rPr>
                <w:rFonts w:ascii="Times New Roman" w:hAnsi="Times New Roman" w:cs="Times New Roman"/>
                <w:color w:val="000000" w:themeColor="text1"/>
                <w:lang w:val="ro-MD"/>
              </w:rPr>
              <w:t xml:space="preserve"> este efectuată o evaluare adecvată a riscului OPC-ului de către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investitoare.</w:t>
            </w:r>
          </w:p>
          <w:p w14:paraId="1B56E696" w14:textId="54D27D18"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489.6.</w:t>
            </w:r>
            <w:r w:rsidR="009D7356" w:rsidRPr="00C011B2">
              <w:rPr>
                <w:rFonts w:ascii="Times New Roman" w:hAnsi="Times New Roman" w:cs="Times New Roman"/>
                <w:color w:val="000000" w:themeColor="text1"/>
                <w:lang w:val="ro-MD"/>
              </w:rPr>
              <w:t xml:space="preserve"> OPC-urile trebuie să fie administrate de persoane supuse unei supravegheri conform </w:t>
            </w:r>
            <w:r w:rsidRPr="00C011B2">
              <w:rPr>
                <w:rFonts w:ascii="Times New Roman" w:hAnsi="Times New Roman" w:cs="Times New Roman"/>
                <w:color w:val="000000" w:themeColor="text1"/>
                <w:lang w:val="ro-MD"/>
              </w:rPr>
              <w:t>Legii nr.171/2012 privind piaţa de capital</w:t>
            </w:r>
            <w:r w:rsidR="009D7356" w:rsidRPr="00C011B2">
              <w:rPr>
                <w:rFonts w:ascii="Times New Roman" w:hAnsi="Times New Roman" w:cs="Times New Roman"/>
                <w:color w:val="000000" w:themeColor="text1"/>
                <w:lang w:val="ro-MD"/>
              </w:rPr>
              <w:t xml:space="preserve"> sau unei legislații echivalente.</w:t>
            </w:r>
          </w:p>
        </w:tc>
        <w:tc>
          <w:tcPr>
            <w:tcW w:w="450" w:type="pct"/>
          </w:tcPr>
          <w:p w14:paraId="6FD8C508" w14:textId="5A3F9034"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A0BBB1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28824D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E2A9E5F"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350</w:t>
            </w:r>
          </w:p>
          <w:p w14:paraId="4DD1691D" w14:textId="3900E09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Metode specifice pentru OPC-uri</w:t>
            </w:r>
          </w:p>
        </w:tc>
        <w:tc>
          <w:tcPr>
            <w:tcW w:w="1692" w:type="pct"/>
            <w:shd w:val="clear" w:color="auto" w:fill="auto"/>
          </w:tcPr>
          <w:p w14:paraId="75BA532D" w14:textId="27468413" w:rsidR="009D7356" w:rsidRPr="00C011B2" w:rsidRDefault="0007373E" w:rsidP="009D7356">
            <w:pPr>
              <w:spacing w:after="0" w:line="276" w:lineRule="auto"/>
              <w:jc w:val="both"/>
              <w:rPr>
                <w:rFonts w:ascii="Times New Roman" w:hAnsi="Times New Roman" w:cs="Times New Roman"/>
                <w:color w:val="000000" w:themeColor="text1"/>
                <w:lang w:val="ro-MD"/>
              </w:rPr>
            </w:pPr>
            <w:bookmarkStart w:id="493" w:name="_Hlk195100111"/>
            <w:r w:rsidRPr="00C011B2">
              <w:rPr>
                <w:rFonts w:ascii="Times New Roman" w:hAnsi="Times New Roman" w:cs="Times New Roman"/>
                <w:i/>
                <w:iCs/>
                <w:color w:val="000000" w:themeColor="text1"/>
                <w:lang w:val="ro-MD"/>
              </w:rPr>
              <w:t xml:space="preserve">Subsecțiunea 3. </w:t>
            </w:r>
            <w:r w:rsidR="009D7356" w:rsidRPr="00C011B2">
              <w:rPr>
                <w:rFonts w:ascii="Times New Roman" w:hAnsi="Times New Roman" w:cs="Times New Roman"/>
                <w:b/>
                <w:bCs/>
                <w:color w:val="000000" w:themeColor="text1"/>
                <w:lang w:val="ro-MD"/>
              </w:rPr>
              <w:t>Metode specifice pentru OPC-uri</w:t>
            </w:r>
            <w:bookmarkEnd w:id="493"/>
          </w:p>
        </w:tc>
        <w:tc>
          <w:tcPr>
            <w:tcW w:w="450" w:type="pct"/>
          </w:tcPr>
          <w:p w14:paraId="0815D6C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48DDDD85"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D53663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6AA645C" w14:textId="3D46E40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În cazul în care instituția are cunoștință de investițiile-suport ale OPC-ului pe bază zilnică, instituția poate ține cont de acestea pentru a calcula </w:t>
            </w:r>
            <w:r w:rsidRPr="00C011B2">
              <w:rPr>
                <w:rFonts w:ascii="Times New Roman" w:hAnsi="Times New Roman" w:cs="Times New Roman"/>
                <w:color w:val="000000" w:themeColor="text1"/>
                <w:lang w:val="ro-MD"/>
              </w:rPr>
              <w:lastRenderedPageBreak/>
              <w:t>cerințele de fonduri proprii pentru riscul de poziție (general și specific). În baza acestei abordări, pozițiile pentru OPC sunt tratate ca poziții pe investițiile-suport ale OPC. Este permisă compensarea între pozițiile pe investițiile-suport ale OPC-ului și alte poziții deținute de instituție, atât timp cât instituția deține un număr suficient de acțiuni sau unități pentru a permite răscumpărarea/crearea, pe seama acestor acțiuni/unități, a investițiilor-suport.</w:t>
            </w:r>
          </w:p>
        </w:tc>
        <w:tc>
          <w:tcPr>
            <w:tcW w:w="1692" w:type="pct"/>
            <w:shd w:val="clear" w:color="auto" w:fill="auto"/>
          </w:tcPr>
          <w:p w14:paraId="11D8EAD3" w14:textId="3D4F9C1A" w:rsidR="009D7356" w:rsidRPr="00C011B2" w:rsidRDefault="0007373E"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490.</w:t>
            </w:r>
            <w:r w:rsidR="009D7356" w:rsidRPr="00C011B2">
              <w:rPr>
                <w:rFonts w:ascii="Times New Roman" w:hAnsi="Times New Roman" w:cs="Times New Roman"/>
                <w:color w:val="000000" w:themeColor="text1"/>
                <w:lang w:val="ro-MD"/>
              </w:rPr>
              <w:t xml:space="preserve">   În cazul în care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are cunoștință de investițiile-suport ale OPC-ului pe bază zilnică, </w:t>
            </w:r>
            <w:r w:rsidR="00BF4071"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poate ține cont de acestea pentru a calcula cerințele de fonduri proprii </w:t>
            </w:r>
            <w:r w:rsidR="009D7356" w:rsidRPr="00C011B2">
              <w:rPr>
                <w:rFonts w:ascii="Times New Roman" w:hAnsi="Times New Roman" w:cs="Times New Roman"/>
                <w:color w:val="000000" w:themeColor="text1"/>
                <w:lang w:val="ro-MD"/>
              </w:rPr>
              <w:lastRenderedPageBreak/>
              <w:t xml:space="preserve">pentru riscul de poziție (general și specific). În baza acestei abordări, pozițiile pentru OPC sunt tratate ca poziții pe investițiile-suport ale OPC. Este permisă compensarea între pozițiile pe investițiile-suport ale OPC-ului și alte poziții deținute de </w:t>
            </w:r>
            <w:r w:rsidR="00BF4071" w:rsidRPr="00C011B2">
              <w:rPr>
                <w:rFonts w:ascii="Times New Roman" w:hAnsi="Times New Roman" w:cs="Times New Roman"/>
                <w:color w:val="000000" w:themeColor="text1"/>
                <w:lang w:val="ro-MD"/>
              </w:rPr>
              <w:t>bancă</w:t>
            </w:r>
            <w:r w:rsidR="009D7356" w:rsidRPr="00C011B2">
              <w:rPr>
                <w:rFonts w:ascii="Times New Roman" w:hAnsi="Times New Roman" w:cs="Times New Roman"/>
                <w:color w:val="000000" w:themeColor="text1"/>
                <w:lang w:val="ro-MD"/>
              </w:rPr>
              <w:t xml:space="preserve">, atât timp cât </w:t>
            </w:r>
            <w:r w:rsidR="00BF4071"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deține un număr suficient de acțiuni sau unități pentru a permite răscumpărarea/crearea, pe seama acestor acțiuni/unități, a investițiilor-suport.</w:t>
            </w:r>
          </w:p>
        </w:tc>
        <w:tc>
          <w:tcPr>
            <w:tcW w:w="450" w:type="pct"/>
          </w:tcPr>
          <w:p w14:paraId="49B56C7B" w14:textId="5B9CB6A6"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500F7DA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08041E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8C3101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pot calcula cerințele de fonduri proprii pentru riscul de poziție (general și specific) aferent pozițiilor pe OPC-uri, luând în considerare poziții care reprezintă pozițiile necesare pentru a reproduce componența și performanța indicelui sau coșului fix de titluri de capital sau titluri de datorie, generate extern, menționate la litera (a), sub rezerva îndeplinirii următoarelor condiții:</w:t>
            </w:r>
          </w:p>
          <w:p w14:paraId="3E4D227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scopul mandatului OPC-ului este de a reproduce componența și performanța indicelui sau coșului fix de titluri de capital sau titluri de datorie, generate extern;</w:t>
            </w:r>
          </w:p>
          <w:p w14:paraId="6A8292CA" w14:textId="609958F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(b) poate fi stabilit în mod clar, pe o perioadă minimă de șase luni, un coeficient de corelație minimă între randamentele zilnice ale OPC-ului și indicele sau coșul de titluri de capital sau titluri de datorie pe care OPC-ul îl reproduce de 0,9 între modificările zilnice de preț </w:t>
            </w:r>
            <w:r w:rsidRPr="00C011B2">
              <w:rPr>
                <w:rFonts w:ascii="Times New Roman" w:hAnsi="Times New Roman" w:cs="Times New Roman"/>
                <w:color w:val="000000" w:themeColor="text1"/>
                <w:lang w:val="ro-MD"/>
              </w:rPr>
              <w:lastRenderedPageBreak/>
              <w:t>ale OPC-ului și indicele sau coșul de titluri de capital sau titluri de datorie pe care OPC-ul îl reproduce.</w:t>
            </w:r>
          </w:p>
        </w:tc>
        <w:tc>
          <w:tcPr>
            <w:tcW w:w="1692" w:type="pct"/>
            <w:shd w:val="clear" w:color="auto" w:fill="auto"/>
          </w:tcPr>
          <w:p w14:paraId="452B595F" w14:textId="2D98F401"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491.</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pot calcula cerințele de fonduri proprii pentru riscul de poziție (general și specific) aferent pozițiilor pe OPC-uri, luând în considerare poziții care reprezintă pozițiile necesare pentru a reproduce componența și performanța indicelui sau coșului fix de titluri de capital sau titluri de datorie, generate extern, menționate la </w:t>
            </w:r>
            <w:r w:rsidRPr="00C011B2">
              <w:rPr>
                <w:rFonts w:ascii="Times New Roman" w:hAnsi="Times New Roman" w:cs="Times New Roman"/>
                <w:color w:val="000000" w:themeColor="text1"/>
                <w:lang w:val="ro-MD"/>
              </w:rPr>
              <w:t>subpct.491.1</w:t>
            </w:r>
            <w:r w:rsidR="009D7356" w:rsidRPr="00C011B2">
              <w:rPr>
                <w:rFonts w:ascii="Times New Roman" w:hAnsi="Times New Roman" w:cs="Times New Roman"/>
                <w:color w:val="000000" w:themeColor="text1"/>
                <w:lang w:val="ro-MD"/>
              </w:rPr>
              <w:t>, sub rezerva îndeplinirii următoarelor condiții:</w:t>
            </w:r>
          </w:p>
          <w:p w14:paraId="2B106A87" w14:textId="5FD5A014"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491.1.</w:t>
            </w:r>
            <w:r w:rsidR="009D7356" w:rsidRPr="00C011B2">
              <w:rPr>
                <w:rFonts w:ascii="Times New Roman" w:hAnsi="Times New Roman" w:cs="Times New Roman"/>
                <w:color w:val="000000" w:themeColor="text1"/>
                <w:lang w:val="ro-MD"/>
              </w:rPr>
              <w:t> scopul mandatului OPC-ului este de a reproduce componența și performanța indicelui sau coșului fix de titluri de capital sau titluri de datorie, generate extern;</w:t>
            </w:r>
          </w:p>
          <w:p w14:paraId="2E4631B1" w14:textId="216B17AD"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491.2.</w:t>
            </w:r>
            <w:r w:rsidR="009D7356" w:rsidRPr="00C011B2">
              <w:rPr>
                <w:rFonts w:ascii="Times New Roman" w:hAnsi="Times New Roman" w:cs="Times New Roman"/>
                <w:color w:val="000000" w:themeColor="text1"/>
                <w:lang w:val="ro-MD"/>
              </w:rPr>
              <w:t> poate fi stabilit în mod clar, pe o perioadă minimă de șase luni, un coeficient de corelație minimă între randamentele zilnice ale OPC-ului și indicele sau coșul de titluri de capital sau titluri de datorie pe care OPC-ul îl reproduce de 0,9 între modificările zilnice de preț ale OPC-</w:t>
            </w:r>
            <w:r w:rsidR="009D7356" w:rsidRPr="00C011B2">
              <w:rPr>
                <w:rFonts w:ascii="Times New Roman" w:hAnsi="Times New Roman" w:cs="Times New Roman"/>
                <w:color w:val="000000" w:themeColor="text1"/>
                <w:lang w:val="ro-MD"/>
              </w:rPr>
              <w:lastRenderedPageBreak/>
              <w:t>ului și indicele sau coșul de titluri de capital sau titluri de datorie pe care OPC-ul îl reproduce.</w:t>
            </w:r>
          </w:p>
        </w:tc>
        <w:tc>
          <w:tcPr>
            <w:tcW w:w="450" w:type="pct"/>
          </w:tcPr>
          <w:p w14:paraId="55ED1E3A" w14:textId="2617D453"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4AD897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827F5A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21359AB" w14:textId="283287D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În cazul în care instituția nu are cunoștință de investițiile-suport ale OPC-ului pe bază zilnică, instituția poate calcula cerințele de fonduri proprii pentru riscul de poziție (general și specific), sub rezerva îndeplinirii următoarelor condiții:</w:t>
            </w:r>
          </w:p>
          <w:p w14:paraId="40691522" w14:textId="34298EA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se presupune că OPC-ul investește, în primul rând, până la limita maximă permisă potrivit mandatului său în clasele de active care atrag cea mai mare cerință de fonduri proprii pentru riscul de poziție (general și specific, separat) și apoi continuă să facă investiții în ordine descrescătoare până când se atinge limita totală maximă până la care poate investi. Poziția pe OPC se tratează ca o deținere directă a poziției ipotetice;</w:t>
            </w:r>
          </w:p>
          <w:p w14:paraId="6B3FDF37" w14:textId="6E1B9B8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la calculul cerinței de fonduri proprii pentru riscul de poziție (specific și general, separat), instituțiile țin cont de expunerea indirectă maximă pe care ar putea să o înregistreze prin asumarea de poziții cu efect de levier prin intermediul OPC-ului, prin creșterea proporțională a poziției pe OPC până la nivelul maxim al expunerii față de investițiile-suport, care rezultă din mandat;</w:t>
            </w:r>
          </w:p>
          <w:p w14:paraId="129CEFDE" w14:textId="385146E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(c) în cazul în care cerința de fonduri proprii pentru riscul de poziție (general și specific, împreună), calculată conform prezentului alineat, o depășește pe </w:t>
            </w:r>
            <w:r w:rsidRPr="00C011B2">
              <w:rPr>
                <w:rFonts w:ascii="Times New Roman" w:hAnsi="Times New Roman" w:cs="Times New Roman"/>
                <w:color w:val="000000" w:themeColor="text1"/>
                <w:lang w:val="ro-MD"/>
              </w:rPr>
              <w:lastRenderedPageBreak/>
              <w:t>cea prevăzută la articolul 348 alineatul (1), cerința de fonduri proprii este plafonată la acel nivel.</w:t>
            </w:r>
          </w:p>
        </w:tc>
        <w:tc>
          <w:tcPr>
            <w:tcW w:w="1692" w:type="pct"/>
            <w:shd w:val="clear" w:color="auto" w:fill="auto"/>
          </w:tcPr>
          <w:p w14:paraId="6219BBBD" w14:textId="66C203DB"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492.</w:t>
            </w:r>
            <w:r w:rsidR="009D7356" w:rsidRPr="00C011B2">
              <w:rPr>
                <w:rFonts w:ascii="Times New Roman" w:hAnsi="Times New Roman" w:cs="Times New Roman"/>
                <w:color w:val="000000" w:themeColor="text1"/>
                <w:lang w:val="ro-MD"/>
              </w:rPr>
              <w:t xml:space="preserve"> În cazul în care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nu are cunoștință de investițiile-suport ale OPC-ului pe bază zilnică,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poate calcula cerințele de fonduri proprii pentru riscul de poziție (general și specific), sub rezerva îndeplinirii următoarelor condiții:</w:t>
            </w:r>
          </w:p>
          <w:p w14:paraId="10443221" w14:textId="3C1AC94B"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492.1.</w:t>
            </w:r>
            <w:r w:rsidR="009D7356" w:rsidRPr="00C011B2">
              <w:rPr>
                <w:rFonts w:ascii="Times New Roman" w:hAnsi="Times New Roman" w:cs="Times New Roman"/>
                <w:color w:val="000000" w:themeColor="text1"/>
                <w:lang w:val="ro-MD"/>
              </w:rPr>
              <w:t> se presupune că OPC-ul investește, în primul rând, până la limita maximă permisă potrivit mandatului său în clasele de active care atrag cea mai mare cerință de fonduri proprii pentru riscul de poziție (general și specific, separat) și apoi continuă să facă investiții în ordine descrescătoare până când se atinge limita totală maximă până la care poate investi. Poziția pe OPC se tratează ca o deținere directă a poziției ipotetice;</w:t>
            </w:r>
          </w:p>
          <w:p w14:paraId="2343E81E" w14:textId="71C48AE6"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492.2.</w:t>
            </w:r>
            <w:r w:rsidR="009D7356" w:rsidRPr="00C011B2">
              <w:rPr>
                <w:rFonts w:ascii="Times New Roman" w:hAnsi="Times New Roman" w:cs="Times New Roman"/>
                <w:color w:val="000000" w:themeColor="text1"/>
                <w:lang w:val="ro-MD"/>
              </w:rPr>
              <w:t xml:space="preserve"> la calculul cerinței de fonduri proprii pentru riscul de poziție (specific și general, separat),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țin cont de expunerea indirectă maximă pe care ar putea să o înregistreze prin asumarea de poziții cu efect de levier prin intermediul OPC-ului, prin creșterea proporțională a poziției pe OPC până la nivelul maxim al expunerii față de investițiile-suport, care rezultă din mandat;</w:t>
            </w:r>
          </w:p>
          <w:p w14:paraId="29AACC06" w14:textId="34F8E0D4"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492.3.</w:t>
            </w:r>
            <w:r w:rsidR="009D7356" w:rsidRPr="00C011B2">
              <w:rPr>
                <w:rFonts w:ascii="Times New Roman" w:hAnsi="Times New Roman" w:cs="Times New Roman"/>
                <w:color w:val="000000" w:themeColor="text1"/>
                <w:lang w:val="ro-MD"/>
              </w:rPr>
              <w:t xml:space="preserve"> în cazul în care cerința de fonduri proprii pentru riscul de poziție (general și specific, împreună), calculată conform prezentului </w:t>
            </w:r>
            <w:r w:rsidR="00C62C15" w:rsidRPr="00C011B2">
              <w:rPr>
                <w:rFonts w:ascii="Times New Roman" w:hAnsi="Times New Roman" w:cs="Times New Roman"/>
                <w:color w:val="000000" w:themeColor="text1"/>
                <w:lang w:val="ro-MD"/>
              </w:rPr>
              <w:t>punct</w:t>
            </w:r>
            <w:r w:rsidR="009D7356" w:rsidRPr="00C011B2">
              <w:rPr>
                <w:rFonts w:ascii="Times New Roman" w:hAnsi="Times New Roman" w:cs="Times New Roman"/>
                <w:color w:val="000000" w:themeColor="text1"/>
                <w:lang w:val="ro-MD"/>
              </w:rPr>
              <w:t xml:space="preserve">, o depășește pe cea prevăzută la </w:t>
            </w:r>
            <w:r w:rsidRPr="00C011B2">
              <w:rPr>
                <w:rFonts w:ascii="Times New Roman" w:hAnsi="Times New Roman" w:cs="Times New Roman"/>
                <w:color w:val="000000" w:themeColor="text1"/>
                <w:lang w:val="ro-MD"/>
              </w:rPr>
              <w:lastRenderedPageBreak/>
              <w:t>pct.487</w:t>
            </w:r>
            <w:r w:rsidR="009D7356" w:rsidRPr="00C011B2">
              <w:rPr>
                <w:rFonts w:ascii="Times New Roman" w:hAnsi="Times New Roman" w:cs="Times New Roman"/>
                <w:color w:val="000000" w:themeColor="text1"/>
                <w:lang w:val="ro-MD"/>
              </w:rPr>
              <w:t>, cerința de fonduri proprii este plafonată la acel nivel.</w:t>
            </w:r>
          </w:p>
        </w:tc>
        <w:tc>
          <w:tcPr>
            <w:tcW w:w="450" w:type="pct"/>
          </w:tcPr>
          <w:p w14:paraId="1861DABF" w14:textId="76EED892"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7D119FA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25D4B9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3508A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Instituțiile se pot baza pe următoarele părți terțe în ceea ce privește calcularea și raportarea cerințelor de fonduri proprii pentru riscul de poziție aferent pozițiilor pe OPC-uri care corespund cazurilor descrise la alineatele (1)-(4), în conformitate cu metodele prevăzute în prezentul capitol:</w:t>
            </w:r>
          </w:p>
          <w:p w14:paraId="439A801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depozitarul OPC-ului, cu condiția ca OPC-ul să investească exclusiv în titluri și să depoziteze toate titlurile la acest depozitar;</w:t>
            </w:r>
          </w:p>
          <w:p w14:paraId="1930780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pentru alte OPC-uri, societatea de administrare a OPC-ului, cu condiția ca societatea de administrare a OPC-ul să îndeplinească criteriile prevăzute la articolul 132 alineatul (3) litera (a).</w:t>
            </w:r>
          </w:p>
          <w:p w14:paraId="605528FE" w14:textId="737A5D1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Corectitudinea calculului trebuie confirmată de un auditor extern.</w:t>
            </w:r>
          </w:p>
        </w:tc>
        <w:tc>
          <w:tcPr>
            <w:tcW w:w="1692" w:type="pct"/>
            <w:shd w:val="clear" w:color="auto" w:fill="auto"/>
          </w:tcPr>
          <w:p w14:paraId="6B846255" w14:textId="7FBDABF8"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493.</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se pot baza pe următoarele părți terțe în ceea ce privește calcularea și raportarea cerințelor de fonduri proprii pentru riscul de poziție aferent pozițiilor pe OPC-uri care corespund cazurilor descrise la </w:t>
            </w:r>
            <w:r w:rsidR="00F92327" w:rsidRPr="00C011B2">
              <w:rPr>
                <w:rFonts w:ascii="Times New Roman" w:hAnsi="Times New Roman" w:cs="Times New Roman"/>
                <w:color w:val="000000" w:themeColor="text1"/>
                <w:lang w:val="ro-MD"/>
              </w:rPr>
              <w:t>pct.490-494</w:t>
            </w:r>
            <w:r w:rsidR="009D7356" w:rsidRPr="00C011B2">
              <w:rPr>
                <w:rFonts w:ascii="Times New Roman" w:hAnsi="Times New Roman" w:cs="Times New Roman"/>
                <w:color w:val="000000" w:themeColor="text1"/>
                <w:lang w:val="ro-MD"/>
              </w:rPr>
              <w:t>, în conformitate cu metodele prevăzute în prezentul capitol:</w:t>
            </w:r>
          </w:p>
          <w:p w14:paraId="50BD53C9" w14:textId="2A7B4C38"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493.1.</w:t>
            </w:r>
            <w:r w:rsidR="009D7356" w:rsidRPr="00C011B2">
              <w:rPr>
                <w:rFonts w:ascii="Times New Roman" w:hAnsi="Times New Roman" w:cs="Times New Roman"/>
                <w:color w:val="000000" w:themeColor="text1"/>
                <w:lang w:val="ro-MD"/>
              </w:rPr>
              <w:t> depozitarul OPC-ului, cu condiția ca OPC-ul să investească exclusiv în titluri și să depoziteze toate titlurile la acest depozitar;</w:t>
            </w:r>
          </w:p>
          <w:p w14:paraId="0A441812" w14:textId="52AA15C6"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493.2.</w:t>
            </w:r>
            <w:r w:rsidR="009D7356" w:rsidRPr="00C011B2">
              <w:rPr>
                <w:rFonts w:ascii="Times New Roman" w:hAnsi="Times New Roman" w:cs="Times New Roman"/>
                <w:color w:val="000000" w:themeColor="text1"/>
                <w:lang w:val="ro-MD"/>
              </w:rPr>
              <w:t xml:space="preserve"> pentru alte OPC-uri, societatea de administrare a OPC-ului, cu condiția ca societatea de administrare a OPC-ul să îndeplinească criteriile prevăzute la </w:t>
            </w:r>
            <w:r w:rsidR="00235780" w:rsidRPr="00C011B2">
              <w:rPr>
                <w:rFonts w:ascii="Times New Roman" w:hAnsi="Times New Roman" w:cs="Times New Roman"/>
                <w:color w:val="000000" w:themeColor="text1"/>
                <w:lang w:val="ro-MD"/>
              </w:rPr>
              <w:t>pct.82</w:t>
            </w:r>
            <w:r w:rsidR="00235780" w:rsidRPr="00C011B2">
              <w:rPr>
                <w:rFonts w:ascii="Times New Roman" w:hAnsi="Times New Roman" w:cs="Times New Roman"/>
                <w:color w:val="000000" w:themeColor="text1"/>
                <w:vertAlign w:val="superscript"/>
                <w:lang w:val="ro-MD"/>
              </w:rPr>
              <w:t>4</w:t>
            </w:r>
            <w:r w:rsidR="00235780" w:rsidRPr="00C011B2">
              <w:rPr>
                <w:rFonts w:ascii="Times New Roman" w:hAnsi="Times New Roman" w:cs="Times New Roman"/>
                <w:color w:val="000000" w:themeColor="text1"/>
                <w:lang w:val="ro-MD"/>
              </w:rPr>
              <w:t xml:space="preserve"> subpct.1) din Regulamentul nr.111/2018</w:t>
            </w:r>
            <w:r w:rsidR="009D7356" w:rsidRPr="00C011B2">
              <w:rPr>
                <w:rFonts w:ascii="Times New Roman" w:hAnsi="Times New Roman" w:cs="Times New Roman"/>
                <w:color w:val="000000" w:themeColor="text1"/>
                <w:lang w:val="ro-MD"/>
              </w:rPr>
              <w:t>.</w:t>
            </w:r>
          </w:p>
          <w:p w14:paraId="3E1282E6" w14:textId="6B274A59" w:rsidR="009D7356" w:rsidRPr="00C011B2" w:rsidRDefault="00BF4071"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494. </w:t>
            </w:r>
            <w:r w:rsidR="009D7356" w:rsidRPr="00C011B2">
              <w:rPr>
                <w:rFonts w:ascii="Times New Roman" w:hAnsi="Times New Roman" w:cs="Times New Roman"/>
                <w:color w:val="000000" w:themeColor="text1"/>
                <w:lang w:val="ro-MD"/>
              </w:rPr>
              <w:t>Corectitudinea calculului trebuie confirmată de un auditor extern.</w:t>
            </w:r>
          </w:p>
        </w:tc>
        <w:tc>
          <w:tcPr>
            <w:tcW w:w="450" w:type="pct"/>
          </w:tcPr>
          <w:p w14:paraId="6734773C" w14:textId="43F74430"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2CF362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D1D759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4396EC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CAPITOLUL 3</w:t>
            </w:r>
          </w:p>
          <w:p w14:paraId="3A5C56D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valutar</w:t>
            </w:r>
          </w:p>
          <w:p w14:paraId="037D0C18"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59" w:tooltip="32024R1623: REPLACED" w:history="1">
              <w:r w:rsidR="009D7356" w:rsidRPr="00C011B2">
                <w:rPr>
                  <w:rStyle w:val="Hyperlink"/>
                  <w:rFonts w:ascii="Times New Roman" w:hAnsi="Times New Roman" w:cs="Times New Roman"/>
                  <w:b/>
                  <w:bCs/>
                  <w:lang w:val="ro-MD"/>
                </w:rPr>
                <w:t>▼M17</w:t>
              </w:r>
            </w:hyperlink>
          </w:p>
          <w:p w14:paraId="6F45A3D9"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351</w:t>
            </w:r>
          </w:p>
          <w:p w14:paraId="084B1361" w14:textId="393FC15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i/>
                <w:iCs/>
                <w:color w:val="000000" w:themeColor="text1"/>
                <w:lang w:val="ro-MD"/>
              </w:rPr>
              <w:t>De minimis</w:t>
            </w:r>
            <w:r w:rsidRPr="00C011B2">
              <w:rPr>
                <w:rFonts w:ascii="Times New Roman" w:hAnsi="Times New Roman" w:cs="Times New Roman"/>
                <w:b/>
                <w:bCs/>
                <w:color w:val="000000" w:themeColor="text1"/>
                <w:lang w:val="ro-MD"/>
              </w:rPr>
              <w:t> și ponderarea pentru riscul valutar</w:t>
            </w:r>
          </w:p>
        </w:tc>
        <w:tc>
          <w:tcPr>
            <w:tcW w:w="1692" w:type="pct"/>
            <w:shd w:val="clear" w:color="auto" w:fill="auto"/>
          </w:tcPr>
          <w:p w14:paraId="755FF7FA" w14:textId="6212298A"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494" w:name="_Hlk195100199"/>
            <w:r w:rsidRPr="00C011B2">
              <w:rPr>
                <w:rFonts w:ascii="Times New Roman" w:hAnsi="Times New Roman" w:cs="Times New Roman"/>
                <w:color w:val="000000" w:themeColor="text1"/>
                <w:lang w:val="ro-MD"/>
              </w:rPr>
              <w:t xml:space="preserve">CAPITOLUL </w:t>
            </w:r>
            <w:r w:rsidR="00F92327" w:rsidRPr="00C011B2">
              <w:rPr>
                <w:rFonts w:ascii="Times New Roman" w:hAnsi="Times New Roman" w:cs="Times New Roman"/>
                <w:color w:val="000000" w:themeColor="text1"/>
                <w:lang w:val="ro-MD"/>
              </w:rPr>
              <w:t>V.</w:t>
            </w:r>
          </w:p>
          <w:p w14:paraId="7DB925E1"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valutar</w:t>
            </w:r>
          </w:p>
          <w:p w14:paraId="43332F54" w14:textId="19387D1A"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 xml:space="preserve">Secțiunea 1. </w:t>
            </w:r>
            <w:r w:rsidR="009D7356" w:rsidRPr="00C011B2">
              <w:rPr>
                <w:rFonts w:ascii="Times New Roman" w:hAnsi="Times New Roman" w:cs="Times New Roman"/>
                <w:b/>
                <w:bCs/>
                <w:i/>
                <w:iCs/>
                <w:color w:val="000000" w:themeColor="text1"/>
                <w:lang w:val="ro-MD"/>
              </w:rPr>
              <w:t>De minimis</w:t>
            </w:r>
            <w:r w:rsidR="009D7356" w:rsidRPr="00C011B2">
              <w:rPr>
                <w:rFonts w:ascii="Times New Roman" w:hAnsi="Times New Roman" w:cs="Times New Roman"/>
                <w:b/>
                <w:bCs/>
                <w:color w:val="000000" w:themeColor="text1"/>
                <w:lang w:val="ro-MD"/>
              </w:rPr>
              <w:t> și ponderarea pentru riscul valutar</w:t>
            </w:r>
            <w:bookmarkEnd w:id="494"/>
          </w:p>
        </w:tc>
        <w:tc>
          <w:tcPr>
            <w:tcW w:w="450" w:type="pct"/>
          </w:tcPr>
          <w:p w14:paraId="1DAB811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5784CF9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11DD8F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34C52E" w14:textId="4ABBF6D5" w:rsidR="009D7356" w:rsidRPr="00C011B2" w:rsidRDefault="009D7356" w:rsidP="009D7356">
            <w:pPr>
              <w:spacing w:after="0" w:line="276" w:lineRule="auto"/>
              <w:jc w:val="both"/>
              <w:rPr>
                <w:rFonts w:ascii="Times New Roman" w:hAnsi="Times New Roman" w:cs="Times New Roman"/>
                <w:color w:val="000000" w:themeColor="text1"/>
              </w:rPr>
            </w:pPr>
            <w:r w:rsidRPr="00C011B2">
              <w:rPr>
                <w:rFonts w:ascii="Times New Roman" w:hAnsi="Times New Roman" w:cs="Times New Roman"/>
                <w:color w:val="000000" w:themeColor="text1"/>
              </w:rPr>
              <w:t xml:space="preserve">Dacă valoarea poziției totale nete pe valută și pe aur a unei instituții, calculată conform procedurii prevăzute la articolul 352, depășește 2 % din totalul </w:t>
            </w:r>
            <w:r w:rsidRPr="00C011B2">
              <w:rPr>
                <w:rFonts w:ascii="Times New Roman" w:hAnsi="Times New Roman" w:cs="Times New Roman"/>
                <w:color w:val="000000" w:themeColor="text1"/>
              </w:rPr>
              <w:lastRenderedPageBreak/>
              <w:t>fondurilor sale proprii, instituția calculează o cerință de fonduri proprii pentru riscul valutar. Cerința de fonduri proprii pentru riscul valutar este egală cu suma dintre poziția totală netă pe valută și poziția totală netă pe aur în moneda de raportare, înmulțită cu 8 %.</w:t>
            </w:r>
          </w:p>
        </w:tc>
        <w:tc>
          <w:tcPr>
            <w:tcW w:w="1692" w:type="pct"/>
            <w:shd w:val="clear" w:color="auto" w:fill="auto"/>
          </w:tcPr>
          <w:p w14:paraId="227D3AB9" w14:textId="24C69346"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rPr>
              <w:lastRenderedPageBreak/>
              <w:t xml:space="preserve">495. </w:t>
            </w:r>
            <w:r w:rsidR="009D7356" w:rsidRPr="00C011B2">
              <w:rPr>
                <w:rFonts w:ascii="Times New Roman" w:hAnsi="Times New Roman" w:cs="Times New Roman"/>
                <w:color w:val="000000" w:themeColor="text1"/>
              </w:rPr>
              <w:t xml:space="preserve">Dacă valoarea poziției totale nete pe valută și pe aur a unei </w:t>
            </w:r>
            <w:r w:rsidRPr="00C011B2">
              <w:rPr>
                <w:rFonts w:ascii="Times New Roman" w:hAnsi="Times New Roman" w:cs="Times New Roman"/>
                <w:color w:val="000000" w:themeColor="text1"/>
              </w:rPr>
              <w:t>bănci</w:t>
            </w:r>
            <w:r w:rsidR="009D7356" w:rsidRPr="00C011B2">
              <w:rPr>
                <w:rFonts w:ascii="Times New Roman" w:hAnsi="Times New Roman" w:cs="Times New Roman"/>
                <w:color w:val="000000" w:themeColor="text1"/>
              </w:rPr>
              <w:t xml:space="preserve">, calculată conform procedurii prevăzute la </w:t>
            </w:r>
            <w:r w:rsidRPr="00C011B2">
              <w:rPr>
                <w:rFonts w:ascii="Times New Roman" w:hAnsi="Times New Roman" w:cs="Times New Roman"/>
                <w:color w:val="000000" w:themeColor="text1"/>
              </w:rPr>
              <w:t>secțiunea 2</w:t>
            </w:r>
            <w:r w:rsidR="009D7356" w:rsidRPr="00C011B2">
              <w:rPr>
                <w:rFonts w:ascii="Times New Roman" w:hAnsi="Times New Roman" w:cs="Times New Roman"/>
                <w:color w:val="000000" w:themeColor="text1"/>
              </w:rPr>
              <w:t xml:space="preserve">, depășește 2 % din totalul fondurilor sale </w:t>
            </w:r>
            <w:r w:rsidR="009D7356" w:rsidRPr="00C011B2">
              <w:rPr>
                <w:rFonts w:ascii="Times New Roman" w:hAnsi="Times New Roman" w:cs="Times New Roman"/>
                <w:color w:val="000000" w:themeColor="text1"/>
              </w:rPr>
              <w:lastRenderedPageBreak/>
              <w:t xml:space="preserve">proprii, </w:t>
            </w:r>
            <w:r w:rsidRPr="00C011B2">
              <w:rPr>
                <w:rFonts w:ascii="Times New Roman" w:hAnsi="Times New Roman" w:cs="Times New Roman"/>
                <w:color w:val="000000" w:themeColor="text1"/>
              </w:rPr>
              <w:t xml:space="preserve">banca </w:t>
            </w:r>
            <w:r w:rsidR="009D7356" w:rsidRPr="00C011B2">
              <w:rPr>
                <w:rFonts w:ascii="Times New Roman" w:hAnsi="Times New Roman" w:cs="Times New Roman"/>
                <w:color w:val="000000" w:themeColor="text1"/>
              </w:rPr>
              <w:t xml:space="preserve">calculează o cerință de fonduri proprii pentru riscul valutar. Cerința de fonduri proprii pentru riscul valutar este egală cu suma dintre poziția totală netă pe valută și poziția totală netă pe aur în moneda de raportare, înmulțită cu </w:t>
            </w:r>
            <w:r w:rsidR="00E73876" w:rsidRPr="00C011B2">
              <w:rPr>
                <w:rFonts w:ascii="Times New Roman" w:hAnsi="Times New Roman" w:cs="Times New Roman"/>
                <w:color w:val="000000" w:themeColor="text1"/>
              </w:rPr>
              <w:t>10 </w:t>
            </w:r>
            <w:r w:rsidR="009D7356" w:rsidRPr="00C011B2">
              <w:rPr>
                <w:rFonts w:ascii="Times New Roman" w:hAnsi="Times New Roman" w:cs="Times New Roman"/>
                <w:color w:val="000000" w:themeColor="text1"/>
              </w:rPr>
              <w:t>%.</w:t>
            </w:r>
          </w:p>
        </w:tc>
        <w:tc>
          <w:tcPr>
            <w:tcW w:w="450" w:type="pct"/>
          </w:tcPr>
          <w:p w14:paraId="394289D9" w14:textId="36A9B0CF"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 xml:space="preserve">Parțial </w:t>
            </w:r>
            <w:r w:rsidR="003C79CF" w:rsidRPr="00C011B2">
              <w:rPr>
                <w:rFonts w:ascii="Times New Roman" w:hAnsi="Times New Roman" w:cs="Times New Roman"/>
                <w:color w:val="000000" w:themeColor="text1"/>
                <w:lang w:val="ro-MD"/>
              </w:rPr>
              <w:t>compatibil</w:t>
            </w:r>
          </w:p>
        </w:tc>
        <w:tc>
          <w:tcPr>
            <w:tcW w:w="1261" w:type="pct"/>
          </w:tcPr>
          <w:p w14:paraId="48AF1DFA" w14:textId="4A39ECC2" w:rsidR="009D7356" w:rsidRPr="00C011B2" w:rsidRDefault="00E7387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Ponderea de risc de 8% se va aplica de la data intrării în vigoare a Tratatului de aderare a Republicii Moldova la Uniunea </w:t>
            </w:r>
            <w:r w:rsidRPr="00C011B2">
              <w:rPr>
                <w:rFonts w:ascii="Times New Roman" w:hAnsi="Times New Roman" w:cs="Times New Roman"/>
                <w:color w:val="000000" w:themeColor="text1"/>
                <w:lang w:val="ro-MD"/>
              </w:rPr>
              <w:lastRenderedPageBreak/>
              <w:t>Europeană. Până la data respectivă se va aplica ponderea de risc de 8% astfel cum stabilesc prevederile Regulamentului nr.109/2018 cu privire la fondurile proprii ale băncilor şi cerinţele de capital.</w:t>
            </w:r>
          </w:p>
        </w:tc>
      </w:tr>
      <w:tr w:rsidR="009D7356" w:rsidRPr="00C011B2" w14:paraId="51420F5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BB3AA2A"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0" w:tooltip="32013R0575R(02): REPLACED" w:history="1">
              <w:r w:rsidR="009D7356" w:rsidRPr="00C011B2">
                <w:rPr>
                  <w:rStyle w:val="Hyperlink"/>
                  <w:rFonts w:ascii="Times New Roman" w:hAnsi="Times New Roman" w:cs="Times New Roman"/>
                  <w:b/>
                  <w:bCs/>
                  <w:lang w:val="ro-MD"/>
                </w:rPr>
                <w:t>▼C2</w:t>
              </w:r>
            </w:hyperlink>
          </w:p>
          <w:p w14:paraId="4693EA3E"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352</w:t>
            </w:r>
          </w:p>
          <w:p w14:paraId="7677EB76" w14:textId="24E5E97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Calculul poziției totale nete pe valute</w:t>
            </w:r>
          </w:p>
        </w:tc>
        <w:tc>
          <w:tcPr>
            <w:tcW w:w="1692" w:type="pct"/>
            <w:shd w:val="clear" w:color="auto" w:fill="auto"/>
          </w:tcPr>
          <w:p w14:paraId="71911795" w14:textId="608B8BAC" w:rsidR="009D7356" w:rsidRPr="00C011B2" w:rsidRDefault="00F92327" w:rsidP="009D7356">
            <w:pPr>
              <w:spacing w:after="0" w:line="276" w:lineRule="auto"/>
              <w:jc w:val="both"/>
              <w:rPr>
                <w:rFonts w:ascii="Times New Roman" w:hAnsi="Times New Roman" w:cs="Times New Roman"/>
                <w:color w:val="000000" w:themeColor="text1"/>
                <w:lang w:val="ro-MD"/>
              </w:rPr>
            </w:pPr>
            <w:bookmarkStart w:id="495" w:name="_Hlk195100230"/>
            <w:r w:rsidRPr="00C011B2">
              <w:rPr>
                <w:rFonts w:ascii="Times New Roman" w:hAnsi="Times New Roman" w:cs="Times New Roman"/>
                <w:i/>
                <w:iCs/>
                <w:color w:val="000000" w:themeColor="text1"/>
                <w:lang w:val="ro-MD"/>
              </w:rPr>
              <w:t xml:space="preserve">Secțiunea 2. </w:t>
            </w:r>
            <w:r w:rsidR="009D7356" w:rsidRPr="00C011B2">
              <w:rPr>
                <w:rFonts w:ascii="Times New Roman" w:hAnsi="Times New Roman" w:cs="Times New Roman"/>
                <w:b/>
                <w:bCs/>
                <w:color w:val="000000" w:themeColor="text1"/>
                <w:lang w:val="ro-MD"/>
              </w:rPr>
              <w:t>Calculul poziției totale nete pe valute</w:t>
            </w:r>
            <w:bookmarkEnd w:id="495"/>
          </w:p>
        </w:tc>
        <w:tc>
          <w:tcPr>
            <w:tcW w:w="450" w:type="pct"/>
          </w:tcPr>
          <w:p w14:paraId="6642A9E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267E2AF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8F7265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7A4F89B" w14:textId="5DDABF1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Poziția deschisă netă a instituției pe fiecare valută (inclusiv moneda de raportare) și pe aur se calculează ca sumă a următoarelor elemente (pozitive sau negative):</w:t>
            </w:r>
          </w:p>
          <w:p w14:paraId="445D2FA4" w14:textId="627C83D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poziția spot netă (respectiv toate elementele de activ mai puțin elementele reprezentând datorii, inclusiv dobânda calculată și neajunsă la scadență, pe valuta în cauză sau, pentru aur, poziția netă spot pe aur);</w:t>
            </w:r>
          </w:p>
          <w:p w14:paraId="12277EDF" w14:textId="687EB8E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poziția forward netă, reprezentând toate sumele de primit mai puțin toate sumele de plătit în cadrul tranzacțiilor forward pe valută și pe aur, inclusiv futures pe valută și pe aur și principalul aferent swapurilor pe valută care nu se reflectă în poziția spot;</w:t>
            </w:r>
          </w:p>
          <w:p w14:paraId="3E5C6115" w14:textId="03622DA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garanții irevocabile și instrumente similare care urmează a fi, cu siguranță, executate și, probabil, nu vor fi recuperate;</w:t>
            </w:r>
          </w:p>
          <w:p w14:paraId="58DC5A0A" w14:textId="18334EC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(d) echivalentul delta net sau calculat în funcție de delta al portofoliului total de opțiuni pe valută și pe aur,</w:t>
            </w:r>
          </w:p>
          <w:p w14:paraId="2DA348BB" w14:textId="56BC7DC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valoarea de piață a altor opțiuni.</w:t>
            </w:r>
          </w:p>
          <w:p w14:paraId="6C29E87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Valoarea delta utilizată în scopurile literei (d) este cea a bursei în cauză. În cazul opțiunilor extrabursiere sau în cazul în care valoarea delta nu este disponibilă la bursa în cauză, instituția poate calcula ea însăși valoarea delta cu ajutorul unui model adecvat, cu aprobarea autorităților competente. Aprobarea se acordă dacă modelul estimează în mod adecvat rata de modificare a valorii opțiunii sau warrantului în raport cu modificările minore ale prețului de piață al suportului.</w:t>
            </w:r>
          </w:p>
          <w:p w14:paraId="1EC77EA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Instituția poate include venituri/cheltuieli viitoare nete care nu sunt încă înregistrate dar sunt deja acoperite în întregime, dacă procedează astfel în mod consecvent.</w:t>
            </w:r>
          </w:p>
          <w:p w14:paraId="6652EF0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Instituția poate descompune pozițiile nete pe valute compozite pe valutele componente în funcție de cotele în vigoare.</w:t>
            </w:r>
          </w:p>
          <w:p w14:paraId="16A91DB7"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1" w:tooltip="32024R1623: DELETED" w:history="1">
              <w:r w:rsidR="009D7356" w:rsidRPr="00C011B2">
                <w:rPr>
                  <w:rStyle w:val="Hyperlink"/>
                  <w:rFonts w:ascii="Times New Roman" w:hAnsi="Times New Roman" w:cs="Times New Roman"/>
                  <w:b/>
                  <w:bCs/>
                  <w:lang w:val="ro-MD"/>
                </w:rPr>
                <w:t>▼M17</w:t>
              </w:r>
            </w:hyperlink>
            <w:r w:rsidR="009D7356" w:rsidRPr="00C011B2">
              <w:rPr>
                <w:rFonts w:ascii="Times New Roman" w:hAnsi="Times New Roman" w:cs="Times New Roman"/>
                <w:b/>
                <w:bCs/>
                <w:color w:val="000000" w:themeColor="text1"/>
                <w:lang w:val="ro-MD"/>
              </w:rPr>
              <w:t> —————</w:t>
            </w:r>
          </w:p>
          <w:p w14:paraId="77AFE837" w14:textId="2BE2F74F" w:rsidR="009D7356" w:rsidRPr="00C011B2" w:rsidRDefault="00FA7D23" w:rsidP="009D7356">
            <w:pPr>
              <w:spacing w:after="0" w:line="276" w:lineRule="auto"/>
              <w:jc w:val="both"/>
              <w:rPr>
                <w:rFonts w:ascii="Times New Roman" w:hAnsi="Times New Roman" w:cs="Times New Roman"/>
                <w:color w:val="000000" w:themeColor="text1"/>
                <w:lang w:val="ro-MD"/>
              </w:rPr>
            </w:pPr>
            <w:hyperlink r:id="rId262" w:tooltip="32013R0575R(02): REPLACED" w:history="1">
              <w:r w:rsidR="009D7356" w:rsidRPr="00C011B2">
                <w:rPr>
                  <w:rStyle w:val="Hyperlink"/>
                  <w:rFonts w:ascii="Times New Roman" w:hAnsi="Times New Roman" w:cs="Times New Roman"/>
                  <w:b/>
                  <w:bCs/>
                  <w:lang w:val="ro-MD"/>
                </w:rPr>
                <w:t>▼C2</w:t>
              </w:r>
            </w:hyperlink>
          </w:p>
        </w:tc>
        <w:tc>
          <w:tcPr>
            <w:tcW w:w="1692" w:type="pct"/>
            <w:shd w:val="clear" w:color="auto" w:fill="auto"/>
          </w:tcPr>
          <w:p w14:paraId="3B296308" w14:textId="3D583615" w:rsidR="009D7356" w:rsidRPr="00C011B2" w:rsidRDefault="00F92327" w:rsidP="009D7356">
            <w:pPr>
              <w:spacing w:after="0" w:line="276" w:lineRule="auto"/>
              <w:jc w:val="both"/>
              <w:rPr>
                <w:rFonts w:ascii="Times New Roman" w:hAnsi="Times New Roman" w:cs="Times New Roman"/>
                <w:color w:val="000000" w:themeColor="text1"/>
                <w:lang w:val="ro-MD"/>
              </w:rPr>
            </w:pPr>
            <w:bookmarkStart w:id="496" w:name="_Hlk228347611"/>
            <w:r w:rsidRPr="00C011B2">
              <w:rPr>
                <w:rFonts w:ascii="Times New Roman" w:hAnsi="Times New Roman" w:cs="Times New Roman"/>
                <w:color w:val="000000" w:themeColor="text1"/>
                <w:lang w:val="ro-MD"/>
              </w:rPr>
              <w:lastRenderedPageBreak/>
              <w:t>496.</w:t>
            </w:r>
            <w:r w:rsidR="009D7356" w:rsidRPr="00C011B2">
              <w:rPr>
                <w:rFonts w:ascii="Times New Roman" w:hAnsi="Times New Roman" w:cs="Times New Roman"/>
                <w:color w:val="000000" w:themeColor="text1"/>
                <w:lang w:val="ro-MD"/>
              </w:rPr>
              <w:t xml:space="preserve">   Poziția deschisă netă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pe fiecare valută (inclusiv moneda de raportare) și pe aur se calculează ca sumă a următoarelor elemente (pozitive sau negative):</w:t>
            </w:r>
          </w:p>
          <w:p w14:paraId="3DC8F79B" w14:textId="7C1F9393"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496.1.</w:t>
            </w:r>
            <w:r w:rsidR="009D7356" w:rsidRPr="00C011B2">
              <w:rPr>
                <w:rFonts w:ascii="Times New Roman" w:hAnsi="Times New Roman" w:cs="Times New Roman"/>
                <w:color w:val="000000" w:themeColor="text1"/>
                <w:lang w:val="ro-MD"/>
              </w:rPr>
              <w:t xml:space="preserve"> poziția spot netă (respectiv toate elementele de activ mai puțin elementele reprezentând datorii, inclusiv dobânda calculată și neajunsă la scadență, pe valuta în cauză sau, pentru aur, poziția netă spot pe aur);</w:t>
            </w:r>
          </w:p>
          <w:p w14:paraId="61CFDD02" w14:textId="626D6756"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496.2.</w:t>
            </w:r>
            <w:r w:rsidR="009D7356" w:rsidRPr="00C011B2">
              <w:rPr>
                <w:rFonts w:ascii="Times New Roman" w:hAnsi="Times New Roman" w:cs="Times New Roman"/>
                <w:color w:val="000000" w:themeColor="text1"/>
                <w:lang w:val="ro-MD"/>
              </w:rPr>
              <w:t> poziția forward netă, reprezentând toate sumele de primit mai puțin toate sumele de plătit în cadrul tranzacțiilor forward pe valută și pe aur, inclusiv futures pe valută și pe aur și principalul aferent swapurilor pe valută care nu se reflectă în poziția spot;</w:t>
            </w:r>
          </w:p>
          <w:p w14:paraId="7E5E7E8C" w14:textId="710CBCEB" w:rsidR="009D7356" w:rsidRPr="00C011B2" w:rsidRDefault="00F52B1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496</w:t>
            </w:r>
            <w:r w:rsidR="00F92327" w:rsidRPr="00C011B2">
              <w:rPr>
                <w:rFonts w:ascii="Times New Roman" w:hAnsi="Times New Roman" w:cs="Times New Roman"/>
                <w:color w:val="000000" w:themeColor="text1"/>
                <w:lang w:val="ro-MD"/>
              </w:rPr>
              <w:t>.3.</w:t>
            </w:r>
            <w:r w:rsidR="009D7356" w:rsidRPr="00C011B2">
              <w:rPr>
                <w:rFonts w:ascii="Times New Roman" w:hAnsi="Times New Roman" w:cs="Times New Roman"/>
                <w:color w:val="000000" w:themeColor="text1"/>
                <w:lang w:val="ro-MD"/>
              </w:rPr>
              <w:t> garanții irevocabile și instrumente similare care urmează a fi, cu siguranță, executate și, probabil, nu vor fi recuperate;</w:t>
            </w:r>
          </w:p>
          <w:p w14:paraId="0A29C57C" w14:textId="10B87112" w:rsidR="009D7356" w:rsidRPr="00C011B2" w:rsidRDefault="00F52B1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496</w:t>
            </w:r>
            <w:r w:rsidR="00F92327" w:rsidRPr="00C011B2">
              <w:rPr>
                <w:rFonts w:ascii="Times New Roman" w:hAnsi="Times New Roman" w:cs="Times New Roman"/>
                <w:color w:val="000000" w:themeColor="text1"/>
                <w:lang w:val="ro-MD"/>
              </w:rPr>
              <w:t>.4.</w:t>
            </w:r>
            <w:r w:rsidR="009D7356" w:rsidRPr="00C011B2">
              <w:rPr>
                <w:rFonts w:ascii="Times New Roman" w:hAnsi="Times New Roman" w:cs="Times New Roman"/>
                <w:color w:val="000000" w:themeColor="text1"/>
                <w:lang w:val="ro-MD"/>
              </w:rPr>
              <w:t> echivalentul delta net sau calculat în funcție de delta al portofoliului total de opțiuni pe valută și pe aur,</w:t>
            </w:r>
          </w:p>
          <w:p w14:paraId="7F89ED00" w14:textId="0ED67005" w:rsidR="009D7356" w:rsidRPr="00C011B2" w:rsidRDefault="00F52B1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496</w:t>
            </w:r>
            <w:r w:rsidR="00F92327" w:rsidRPr="00C011B2">
              <w:rPr>
                <w:rFonts w:ascii="Times New Roman" w:hAnsi="Times New Roman" w:cs="Times New Roman"/>
                <w:color w:val="000000" w:themeColor="text1"/>
                <w:lang w:val="ro-MD"/>
              </w:rPr>
              <w:t>.5.</w:t>
            </w:r>
            <w:r w:rsidR="009D7356" w:rsidRPr="00C011B2">
              <w:rPr>
                <w:rFonts w:ascii="Times New Roman" w:hAnsi="Times New Roman" w:cs="Times New Roman"/>
                <w:color w:val="000000" w:themeColor="text1"/>
                <w:lang w:val="ro-MD"/>
              </w:rPr>
              <w:t> valoarea de piață a altor opțiuni.</w:t>
            </w:r>
          </w:p>
          <w:bookmarkEnd w:id="496"/>
          <w:p w14:paraId="695619BA" w14:textId="3F0D2A34"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r w:rsidR="002844B8" w:rsidRPr="00C011B2">
              <w:rPr>
                <w:rFonts w:ascii="Times New Roman" w:hAnsi="Times New Roman" w:cs="Times New Roman"/>
                <w:color w:val="000000" w:themeColor="text1"/>
                <w:lang w:val="ro-MD"/>
              </w:rPr>
              <w:t>97</w:t>
            </w:r>
            <w:r w:rsidRPr="00C011B2">
              <w:rPr>
                <w:rFonts w:ascii="Times New Roman" w:hAnsi="Times New Roman" w:cs="Times New Roman"/>
                <w:color w:val="000000" w:themeColor="text1"/>
                <w:lang w:val="ro-MD"/>
              </w:rPr>
              <w:t xml:space="preserve">. </w:t>
            </w:r>
            <w:r w:rsidR="009D7356" w:rsidRPr="00C011B2">
              <w:rPr>
                <w:rFonts w:ascii="Times New Roman" w:hAnsi="Times New Roman" w:cs="Times New Roman"/>
                <w:color w:val="000000" w:themeColor="text1"/>
                <w:lang w:val="ro-MD"/>
              </w:rPr>
              <w:t xml:space="preserve">Valoarea delta utilizată în scopurile </w:t>
            </w:r>
            <w:r w:rsidRPr="00C011B2">
              <w:rPr>
                <w:rFonts w:ascii="Times New Roman" w:hAnsi="Times New Roman" w:cs="Times New Roman"/>
                <w:color w:val="000000" w:themeColor="text1"/>
                <w:lang w:val="ro-MD"/>
              </w:rPr>
              <w:t>subpct.</w:t>
            </w:r>
            <w:r w:rsidR="00F52B1C" w:rsidRPr="00C011B2">
              <w:rPr>
                <w:rFonts w:ascii="Times New Roman" w:hAnsi="Times New Roman" w:cs="Times New Roman"/>
                <w:color w:val="000000" w:themeColor="text1"/>
                <w:lang w:val="ro-MD"/>
              </w:rPr>
              <w:t>496</w:t>
            </w:r>
            <w:r w:rsidRPr="00C011B2">
              <w:rPr>
                <w:rFonts w:ascii="Times New Roman" w:hAnsi="Times New Roman" w:cs="Times New Roman"/>
                <w:color w:val="000000" w:themeColor="text1"/>
                <w:lang w:val="ro-MD"/>
              </w:rPr>
              <w:t>.4</w:t>
            </w:r>
            <w:r w:rsidR="009D7356" w:rsidRPr="00C011B2">
              <w:rPr>
                <w:rFonts w:ascii="Times New Roman" w:hAnsi="Times New Roman" w:cs="Times New Roman"/>
                <w:color w:val="000000" w:themeColor="text1"/>
                <w:lang w:val="ro-MD"/>
              </w:rPr>
              <w:t xml:space="preserve"> este cea a bursei în cauză. În cazul opțiunilor extrabursiere sau în cazul în care valoarea delta nu este disponibilă la bursa în cauză,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poate calcula ea însăși valoarea delta cu ajutorul unui model adecvat, cu aprobarea </w:t>
            </w:r>
            <w:r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 Aprobarea se acordă dacă modelul estimează în mod adecvat rata de modificare a valorii opțiunii sau warrantului în raport cu modificările minore ale prețului de piață al suportului.</w:t>
            </w:r>
          </w:p>
          <w:p w14:paraId="2725D0CF" w14:textId="57C50FE3"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r w:rsidR="002844B8" w:rsidRPr="00C011B2">
              <w:rPr>
                <w:rFonts w:ascii="Times New Roman" w:hAnsi="Times New Roman" w:cs="Times New Roman"/>
                <w:color w:val="000000" w:themeColor="text1"/>
                <w:lang w:val="ro-MD"/>
              </w:rPr>
              <w:t>98</w:t>
            </w:r>
            <w:r w:rsidRPr="00C011B2">
              <w:rPr>
                <w:rFonts w:ascii="Times New Roman" w:hAnsi="Times New Roman" w:cs="Times New Roman"/>
                <w:color w:val="000000" w:themeColor="text1"/>
                <w:lang w:val="ro-MD"/>
              </w:rPr>
              <w:t xml:space="preserve">. Banca </w:t>
            </w:r>
            <w:r w:rsidR="009D7356" w:rsidRPr="00C011B2">
              <w:rPr>
                <w:rFonts w:ascii="Times New Roman" w:hAnsi="Times New Roman" w:cs="Times New Roman"/>
                <w:color w:val="000000" w:themeColor="text1"/>
                <w:lang w:val="ro-MD"/>
              </w:rPr>
              <w:t>poate include venituri/cheltuieli viitoare nete care nu sunt încă înregistrate dar sunt deja acoperite în întregime, dacă procedează astfel în mod consecvent.</w:t>
            </w:r>
          </w:p>
          <w:p w14:paraId="70C85FAD" w14:textId="3DFF6EDD" w:rsidR="009D7356" w:rsidRPr="00C011B2" w:rsidRDefault="00F9232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w:t>
            </w:r>
            <w:r w:rsidR="002844B8" w:rsidRPr="00C011B2">
              <w:rPr>
                <w:rFonts w:ascii="Times New Roman" w:hAnsi="Times New Roman" w:cs="Times New Roman"/>
                <w:color w:val="000000" w:themeColor="text1"/>
                <w:lang w:val="ro-MD"/>
              </w:rPr>
              <w:t>99</w:t>
            </w:r>
            <w:r w:rsidRPr="00C011B2">
              <w:rPr>
                <w:rFonts w:ascii="Times New Roman" w:hAnsi="Times New Roman" w:cs="Times New Roman"/>
                <w:color w:val="000000" w:themeColor="text1"/>
                <w:lang w:val="ro-MD"/>
              </w:rPr>
              <w:t xml:space="preserve">. Banca </w:t>
            </w:r>
            <w:r w:rsidR="009D7356" w:rsidRPr="00C011B2">
              <w:rPr>
                <w:rFonts w:ascii="Times New Roman" w:hAnsi="Times New Roman" w:cs="Times New Roman"/>
                <w:color w:val="000000" w:themeColor="text1"/>
                <w:lang w:val="ro-MD"/>
              </w:rPr>
              <w:t>poate descompune pozițiile nete pe valute compozite pe valutele componente în funcție de cotele în vigoare.</w:t>
            </w:r>
          </w:p>
          <w:p w14:paraId="326C8C1A" w14:textId="4CEF252B"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0947A0AF" w14:textId="0FE9E906"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BEC07E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F59C30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FCB59D" w14:textId="090AA3A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O instituție poate utiliza valoarea prezentă netă la calculul poziției deschise nete pe fiecare valută și pe aur, cu condiția ca instituția să aplice această abordare în mod consecvent.</w:t>
            </w:r>
          </w:p>
        </w:tc>
        <w:tc>
          <w:tcPr>
            <w:tcW w:w="1692" w:type="pct"/>
            <w:shd w:val="clear" w:color="auto" w:fill="auto"/>
          </w:tcPr>
          <w:p w14:paraId="70D0211F" w14:textId="189E5458" w:rsidR="009D7356" w:rsidRPr="00C011B2" w:rsidRDefault="002844B8"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500.</w:t>
            </w:r>
            <w:r w:rsidR="009D7356" w:rsidRPr="00C011B2">
              <w:rPr>
                <w:rFonts w:ascii="Times New Roman" w:hAnsi="Times New Roman" w:cs="Times New Roman"/>
                <w:color w:val="000000" w:themeColor="text1"/>
                <w:lang w:val="ro-MD"/>
              </w:rPr>
              <w:t xml:space="preserve">   O </w:t>
            </w:r>
            <w:r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 xml:space="preserve">poate utiliza valoarea prezentă netă la calculul poziției deschise nete pe fiecare valută și pe aur, cu condiția ca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să aplice această abordare în mod consecvent.</w:t>
            </w:r>
          </w:p>
        </w:tc>
        <w:tc>
          <w:tcPr>
            <w:tcW w:w="450" w:type="pct"/>
          </w:tcPr>
          <w:p w14:paraId="7B93A156" w14:textId="1B9D34C4"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9A162D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F6E2B4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9CC0F0B" w14:textId="599DD01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(4)   Pozițiile lungi și scurte nete pe fiecare valută, alta decât moneda de raportare, precum și poziția lungă sau scurtă netă pe aur, se transformă în moneda de raportare la cursul spot. Aceste poziții sunt apoi adunate separat pentru a forma totalul pozițiilor nete scurte și respectiv totalul pozițiilor nete lungi. Cel mai mare dintre aceste două totaluri reprezintă poziția totală netă pe valută a instituției.</w:t>
            </w:r>
          </w:p>
        </w:tc>
        <w:tc>
          <w:tcPr>
            <w:tcW w:w="1692" w:type="pct"/>
            <w:shd w:val="clear" w:color="auto" w:fill="auto"/>
          </w:tcPr>
          <w:p w14:paraId="1469CFEC" w14:textId="33F4FF43" w:rsidR="009D7356" w:rsidRPr="00C011B2" w:rsidRDefault="002844B8"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501.</w:t>
            </w:r>
            <w:r w:rsidR="009D7356" w:rsidRPr="00C011B2">
              <w:rPr>
                <w:rFonts w:ascii="Times New Roman" w:hAnsi="Times New Roman" w:cs="Times New Roman"/>
                <w:color w:val="000000" w:themeColor="text1"/>
                <w:lang w:val="ro-MD"/>
              </w:rPr>
              <w:t xml:space="preserve">   Pozițiile lungi și scurte nete pe fiecare valută, alta decât moneda de raportare, precum și poziția lungă sau scurtă netă pe aur, se transformă în moneda de raportare la cursul spot. Aceste poziții sunt apoi adunate separat pentru a forma totalul pozițiilor nete scurte și respectiv totalul pozițiilor nete lungi. Cel mai mare dintre aceste două totaluri reprezintă poziția totală netă pe valută a </w:t>
            </w:r>
            <w:r w:rsidRPr="00C011B2">
              <w:rPr>
                <w:rFonts w:ascii="Times New Roman" w:hAnsi="Times New Roman" w:cs="Times New Roman"/>
                <w:color w:val="000000" w:themeColor="text1"/>
                <w:lang w:val="ro-MD"/>
              </w:rPr>
              <w:t>băncii</w:t>
            </w:r>
            <w:r w:rsidR="009D7356" w:rsidRPr="00C011B2">
              <w:rPr>
                <w:rFonts w:ascii="Times New Roman" w:hAnsi="Times New Roman" w:cs="Times New Roman"/>
                <w:color w:val="000000" w:themeColor="text1"/>
                <w:lang w:val="ro-MD"/>
              </w:rPr>
              <w:t>.</w:t>
            </w:r>
          </w:p>
        </w:tc>
        <w:tc>
          <w:tcPr>
            <w:tcW w:w="450" w:type="pct"/>
          </w:tcPr>
          <w:p w14:paraId="3A5A49AE" w14:textId="54451475"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4C973D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59978C8" w14:textId="77777777" w:rsidTr="00BF4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F12A70" w14:textId="52E95B9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Instituțiile reflectă în mod adecvat riscurile asociate cu opțiunile, altele decât riscul delta, în cerințele de fonduri proprii.</w:t>
            </w:r>
          </w:p>
        </w:tc>
        <w:tc>
          <w:tcPr>
            <w:tcW w:w="1692" w:type="pct"/>
            <w:shd w:val="clear" w:color="auto" w:fill="auto"/>
          </w:tcPr>
          <w:p w14:paraId="5DF5D829" w14:textId="576840C8" w:rsidR="009D7356" w:rsidRPr="00C011B2" w:rsidRDefault="002844B8" w:rsidP="009D7356">
            <w:pPr>
              <w:spacing w:after="0" w:line="276" w:lineRule="auto"/>
              <w:jc w:val="both"/>
              <w:rPr>
                <w:rFonts w:ascii="Times New Roman" w:hAnsi="Times New Roman" w:cs="Times New Roman"/>
                <w:color w:val="000000" w:themeColor="text1"/>
                <w:lang w:val="ro-MD"/>
              </w:rPr>
            </w:pPr>
            <w:bookmarkStart w:id="497" w:name="_Hlk224811871"/>
            <w:r w:rsidRPr="00C011B2">
              <w:rPr>
                <w:rFonts w:ascii="Times New Roman" w:hAnsi="Times New Roman" w:cs="Times New Roman"/>
                <w:color w:val="000000" w:themeColor="text1"/>
                <w:lang w:val="ro-MD"/>
              </w:rPr>
              <w:t>502.</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reflectă în mod adecvat riscurile asociate cu opțiunile, altele decât riscul delta, în cerințele de fonduri proprii</w:t>
            </w:r>
            <w:r w:rsidR="009B3E04" w:rsidRPr="00C011B2">
              <w:rPr>
                <w:lang w:val="ro-MD"/>
              </w:rPr>
              <w:t xml:space="preserve"> </w:t>
            </w:r>
            <w:r w:rsidR="009B3E04" w:rsidRPr="00C011B2">
              <w:rPr>
                <w:rFonts w:ascii="Times New Roman" w:hAnsi="Times New Roman" w:cs="Times New Roman"/>
                <w:color w:val="000000" w:themeColor="text1"/>
                <w:lang w:val="ro-MD"/>
              </w:rPr>
              <w:t>în conformitate cu metodele prevăzute în anexa nr.5</w:t>
            </w:r>
            <w:r w:rsidR="005A5F18" w:rsidRPr="00C011B2">
              <w:rPr>
                <w:rFonts w:ascii="Times New Roman" w:hAnsi="Times New Roman" w:cs="Times New Roman"/>
                <w:color w:val="000000" w:themeColor="text1"/>
                <w:lang w:val="ro-MD"/>
              </w:rPr>
              <w:t>.</w:t>
            </w:r>
            <w:bookmarkEnd w:id="497"/>
          </w:p>
        </w:tc>
        <w:tc>
          <w:tcPr>
            <w:tcW w:w="450" w:type="pct"/>
          </w:tcPr>
          <w:p w14:paraId="3B72960E" w14:textId="187F7DA1" w:rsidR="009D7356" w:rsidRPr="00C011B2" w:rsidRDefault="003C79CF" w:rsidP="009D7356">
            <w:pPr>
              <w:spacing w:line="276" w:lineRule="auto"/>
              <w:jc w:val="both"/>
              <w:rPr>
                <w:rFonts w:ascii="Times New Roman" w:hAnsi="Times New Roman" w:cs="Times New Roman"/>
                <w:bCs/>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5F365E9" w14:textId="77777777" w:rsidR="009D7356" w:rsidRPr="00C011B2" w:rsidRDefault="009D7356" w:rsidP="009D7356">
            <w:pPr>
              <w:spacing w:line="276" w:lineRule="auto"/>
              <w:jc w:val="both"/>
              <w:rPr>
                <w:rFonts w:ascii="Times New Roman" w:hAnsi="Times New Roman" w:cs="Times New Roman"/>
                <w:bCs/>
                <w:color w:val="000000" w:themeColor="text1"/>
                <w:lang w:val="ro-MD"/>
              </w:rPr>
            </w:pPr>
          </w:p>
        </w:tc>
      </w:tr>
      <w:tr w:rsidR="009D7356" w:rsidRPr="00C011B2" w14:paraId="6159D61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6B8DFEB" w14:textId="7E1E05B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ABE elaborează proiecte de standarde tehnice de reglementare care definesc o serie de metode pentru reflectarea în cerințele de fonduri proprii a riscurilor, altele decât riscul delta, într-o manieră proporțională cu amploarea și complexitatea activităților instituțiilor în ceea ce privește opțiunile.</w:t>
            </w:r>
          </w:p>
          <w:p w14:paraId="0D7322D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transmite Comisiei aceste proiecte de standarde tehnice de reglementare până la 31 decembrie 2013.</w:t>
            </w:r>
          </w:p>
          <w:p w14:paraId="150BB41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adopta standardele tehnice de reglementare menționate la primul paragraf, în conformitate cu articolele 10-14 din Regulamentul (UE) nr. 1093/2010.</w:t>
            </w:r>
          </w:p>
          <w:p w14:paraId="27A413EF" w14:textId="1644A5E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Înainte de intrarea în vigoare a standardelor tehnice menționate la primul paragraf, autoritățile competente pot continua să aplice tratamentele naționale existente în cazul în care au aplicat aceste tratamente înainte de 31 decembrie 2013.</w:t>
            </w:r>
          </w:p>
        </w:tc>
        <w:tc>
          <w:tcPr>
            <w:tcW w:w="1692" w:type="pct"/>
            <w:shd w:val="clear" w:color="auto" w:fill="auto"/>
          </w:tcPr>
          <w:p w14:paraId="28D5D7CD" w14:textId="3BA8C9A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w:t>
            </w:r>
          </w:p>
          <w:p w14:paraId="5C9D86A6" w14:textId="10563284"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22436B71" w14:textId="73A6D01D"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0F7D9F6D" w14:textId="417C6DD1"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Alin.(6) stabilește obligații pentru autorități europene – Autoritatea Bancară Europeană.</w:t>
            </w:r>
          </w:p>
        </w:tc>
      </w:tr>
      <w:tr w:rsidR="009D7356" w:rsidRPr="00C011B2" w14:paraId="6C0CCF8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A55A6E"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353</w:t>
            </w:r>
          </w:p>
          <w:p w14:paraId="5CD29BCC" w14:textId="0F01753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Riscul valutar al OPC-urilor</w:t>
            </w:r>
          </w:p>
        </w:tc>
        <w:tc>
          <w:tcPr>
            <w:tcW w:w="1692" w:type="pct"/>
            <w:shd w:val="clear" w:color="auto" w:fill="auto"/>
          </w:tcPr>
          <w:p w14:paraId="16AFCE95" w14:textId="0FB17CE2" w:rsidR="009D7356" w:rsidRPr="00C011B2" w:rsidRDefault="007608B7" w:rsidP="009D7356">
            <w:pPr>
              <w:spacing w:after="0" w:line="276" w:lineRule="auto"/>
              <w:jc w:val="both"/>
              <w:rPr>
                <w:rFonts w:ascii="Times New Roman" w:hAnsi="Times New Roman" w:cs="Times New Roman"/>
                <w:color w:val="000000" w:themeColor="text1"/>
                <w:lang w:val="ro-MD"/>
              </w:rPr>
            </w:pPr>
            <w:bookmarkStart w:id="498" w:name="_Hlk195100258"/>
            <w:r w:rsidRPr="00C011B2">
              <w:rPr>
                <w:rFonts w:ascii="Times New Roman" w:hAnsi="Times New Roman" w:cs="Times New Roman"/>
                <w:i/>
                <w:iCs/>
                <w:color w:val="000000" w:themeColor="text1"/>
                <w:lang w:val="ro-MD"/>
              </w:rPr>
              <w:t xml:space="preserve">Secțiunea 3. </w:t>
            </w:r>
            <w:r w:rsidR="009D7356" w:rsidRPr="00C011B2">
              <w:rPr>
                <w:rFonts w:ascii="Times New Roman" w:hAnsi="Times New Roman" w:cs="Times New Roman"/>
                <w:b/>
                <w:bCs/>
                <w:color w:val="000000" w:themeColor="text1"/>
                <w:lang w:val="ro-MD"/>
              </w:rPr>
              <w:t>Riscul valutar al OPC-urilor</w:t>
            </w:r>
            <w:bookmarkEnd w:id="498"/>
          </w:p>
        </w:tc>
        <w:tc>
          <w:tcPr>
            <w:tcW w:w="450" w:type="pct"/>
          </w:tcPr>
          <w:p w14:paraId="7194EC1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79311C0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CED5B1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D93D5A7" w14:textId="6684968D"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În sensul articolului 352, în ceea ce privește OPC-urile, se iau în considerare pozițiile pe valută efective ale OPC-ului.</w:t>
            </w:r>
          </w:p>
        </w:tc>
        <w:tc>
          <w:tcPr>
            <w:tcW w:w="1692" w:type="pct"/>
            <w:shd w:val="clear" w:color="auto" w:fill="auto"/>
          </w:tcPr>
          <w:p w14:paraId="4B781B12" w14:textId="43322BAC" w:rsidR="009D7356" w:rsidRPr="00C011B2" w:rsidRDefault="007608B7" w:rsidP="009D7356">
            <w:pPr>
              <w:spacing w:after="0" w:line="276" w:lineRule="auto"/>
              <w:jc w:val="both"/>
              <w:rPr>
                <w:rFonts w:ascii="Times New Roman" w:hAnsi="Times New Roman" w:cs="Times New Roman"/>
                <w:color w:val="000000" w:themeColor="text1"/>
                <w:lang w:val="ro-MD"/>
              </w:rPr>
            </w:pPr>
            <w:bookmarkStart w:id="499" w:name="_Hlk224812148"/>
            <w:r w:rsidRPr="00C011B2">
              <w:rPr>
                <w:rFonts w:ascii="Times New Roman" w:hAnsi="Times New Roman" w:cs="Times New Roman"/>
                <w:color w:val="000000" w:themeColor="text1"/>
                <w:lang w:val="ro-MD"/>
              </w:rPr>
              <w:t>503.</w:t>
            </w:r>
            <w:r w:rsidR="009D7356" w:rsidRPr="00C011B2">
              <w:rPr>
                <w:rFonts w:ascii="Times New Roman" w:hAnsi="Times New Roman" w:cs="Times New Roman"/>
                <w:color w:val="000000" w:themeColor="text1"/>
                <w:lang w:val="ro-MD"/>
              </w:rPr>
              <w:t xml:space="preserve">  În sensul </w:t>
            </w:r>
            <w:r w:rsidRPr="00C011B2">
              <w:rPr>
                <w:rFonts w:ascii="Times New Roman" w:hAnsi="Times New Roman" w:cs="Times New Roman"/>
                <w:color w:val="000000" w:themeColor="text1"/>
                <w:lang w:val="ro-MD"/>
              </w:rPr>
              <w:t>secțiunii 1</w:t>
            </w:r>
            <w:r w:rsidR="009D7356" w:rsidRPr="00C011B2">
              <w:rPr>
                <w:rFonts w:ascii="Times New Roman" w:hAnsi="Times New Roman" w:cs="Times New Roman"/>
                <w:color w:val="000000" w:themeColor="text1"/>
                <w:lang w:val="ro-MD"/>
              </w:rPr>
              <w:t>, în ceea ce privește OPC-urile, se iau în considerare pozițiile pe valută efective ale OPC-ului.</w:t>
            </w:r>
            <w:bookmarkEnd w:id="499"/>
          </w:p>
        </w:tc>
        <w:tc>
          <w:tcPr>
            <w:tcW w:w="450" w:type="pct"/>
          </w:tcPr>
          <w:p w14:paraId="59B34C3E" w14:textId="6E03596F"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E80C40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311E6B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02096F" w14:textId="77777777"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se pot baza pe raportările următoarelor părți terțe privind pozițiile pe valută ale OPC-ului:</w:t>
            </w:r>
          </w:p>
          <w:p w14:paraId="2B30A537" w14:textId="77777777"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instituția depozitară a OPC-ului, cu condiția ca OPC-ul să investească exclusiv în titluri și să depoziteze toate titlurile la această instituție depozitară;</w:t>
            </w:r>
          </w:p>
          <w:p w14:paraId="043F0A2C" w14:textId="77777777"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pentru alte OPC-uri, societatea de administrare a OPC-ului, cu condiția ca societatea de administrare a OPC-ul să îndeplinească criteriile prevăzute la articolul 132 alineatul (3) litera (a).</w:t>
            </w:r>
          </w:p>
          <w:p w14:paraId="3DD59228" w14:textId="00ED9CC2"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Corectitudinea calculului trebuie confirmată de un auditor extern.</w:t>
            </w:r>
          </w:p>
        </w:tc>
        <w:tc>
          <w:tcPr>
            <w:tcW w:w="1692" w:type="pct"/>
            <w:shd w:val="clear" w:color="auto" w:fill="auto"/>
          </w:tcPr>
          <w:p w14:paraId="21BA1E41" w14:textId="13241A6D" w:rsidR="009D7356" w:rsidRPr="00C011B2" w:rsidRDefault="007608B7" w:rsidP="009D7356">
            <w:pPr>
              <w:tabs>
                <w:tab w:val="left" w:pos="520"/>
              </w:tabs>
              <w:spacing w:after="0" w:line="276" w:lineRule="auto"/>
              <w:jc w:val="both"/>
              <w:rPr>
                <w:rFonts w:ascii="Times New Roman" w:hAnsi="Times New Roman" w:cs="Times New Roman"/>
                <w:color w:val="000000" w:themeColor="text1"/>
                <w:lang w:val="ro-MD"/>
              </w:rPr>
            </w:pPr>
            <w:bookmarkStart w:id="500" w:name="_Hlk224812168"/>
            <w:r w:rsidRPr="00C011B2">
              <w:rPr>
                <w:rFonts w:ascii="Times New Roman" w:hAnsi="Times New Roman" w:cs="Times New Roman"/>
                <w:color w:val="000000" w:themeColor="text1"/>
                <w:lang w:val="ro-MD"/>
              </w:rPr>
              <w:t>504.</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se pot baza pe raportările următoarelor părți terțe privind pozițiile pe valută ale OPC-ului:</w:t>
            </w:r>
          </w:p>
          <w:p w14:paraId="7C276014" w14:textId="339E51E1" w:rsidR="009D7356" w:rsidRPr="00C011B2" w:rsidRDefault="007608B7"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504.1.</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depozitară a OPC-ului, cu condiția ca OPC-ul să investească exclusiv în titluri și să depoziteze toate titlurile la această </w:t>
            </w:r>
            <w:r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depozitară;</w:t>
            </w:r>
          </w:p>
          <w:p w14:paraId="0D9DCF83" w14:textId="3B01F8B5" w:rsidR="009D7356" w:rsidRPr="00C011B2" w:rsidRDefault="007608B7"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504.2.</w:t>
            </w:r>
            <w:r w:rsidR="009D7356" w:rsidRPr="00C011B2">
              <w:rPr>
                <w:rFonts w:ascii="Times New Roman" w:hAnsi="Times New Roman" w:cs="Times New Roman"/>
                <w:color w:val="000000" w:themeColor="text1"/>
                <w:lang w:val="ro-MD"/>
              </w:rPr>
              <w:t xml:space="preserve"> pentru alte OPC-uri, societatea de administrare a OPC-ului, cu condiția ca societatea de administrare a OPC-ul să îndeplinească criteriile prevăzute la </w:t>
            </w:r>
            <w:r w:rsidRPr="00C011B2">
              <w:rPr>
                <w:rFonts w:ascii="Times New Roman" w:hAnsi="Times New Roman" w:cs="Times New Roman"/>
                <w:color w:val="000000" w:themeColor="text1"/>
                <w:lang w:val="ro-MD"/>
              </w:rPr>
              <w:t>pct.82</w:t>
            </w:r>
            <w:r w:rsidRPr="00C011B2">
              <w:rPr>
                <w:rFonts w:ascii="Times New Roman" w:hAnsi="Times New Roman" w:cs="Times New Roman"/>
                <w:color w:val="000000" w:themeColor="text1"/>
                <w:vertAlign w:val="superscript"/>
                <w:lang w:val="ro-MD"/>
              </w:rPr>
              <w:t>4</w:t>
            </w:r>
            <w:r w:rsidRPr="00C011B2">
              <w:rPr>
                <w:rFonts w:ascii="Times New Roman" w:hAnsi="Times New Roman" w:cs="Times New Roman"/>
                <w:color w:val="000000" w:themeColor="text1"/>
                <w:lang w:val="ro-MD"/>
              </w:rPr>
              <w:t xml:space="preserve"> subpct.1) din Regulamentul nr.111/2018</w:t>
            </w:r>
            <w:r w:rsidR="009D7356" w:rsidRPr="00C011B2">
              <w:rPr>
                <w:rFonts w:ascii="Times New Roman" w:hAnsi="Times New Roman" w:cs="Times New Roman"/>
                <w:color w:val="000000" w:themeColor="text1"/>
                <w:lang w:val="ro-MD"/>
              </w:rPr>
              <w:t>.</w:t>
            </w:r>
          </w:p>
          <w:p w14:paraId="4554D34F" w14:textId="11B8E9EB" w:rsidR="009D7356" w:rsidRPr="00C011B2" w:rsidRDefault="007608B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505. </w:t>
            </w:r>
            <w:r w:rsidR="009D7356" w:rsidRPr="00C011B2">
              <w:rPr>
                <w:rFonts w:ascii="Times New Roman" w:hAnsi="Times New Roman" w:cs="Times New Roman"/>
                <w:color w:val="000000" w:themeColor="text1"/>
                <w:lang w:val="ro-MD"/>
              </w:rPr>
              <w:t>Corectitudinea calculului trebuie confirmată de un auditor extern.</w:t>
            </w:r>
            <w:bookmarkEnd w:id="500"/>
          </w:p>
        </w:tc>
        <w:tc>
          <w:tcPr>
            <w:tcW w:w="450" w:type="pct"/>
          </w:tcPr>
          <w:p w14:paraId="623B622D" w14:textId="118AF043"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B32487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AB658E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52DF8C3" w14:textId="08FD2B81" w:rsidR="009D7356" w:rsidRPr="00C011B2" w:rsidRDefault="009D7356" w:rsidP="009D7356">
            <w:pPr>
              <w:tabs>
                <w:tab w:val="left" w:pos="52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Dacă o instituție nu are cunoștință de pozițiile pe valută ale unui OPC, se presupune că acesta a investit până la limita maximă permisă potrivit mandatului OPC-ului privind investițiile în valută, iar instituția </w:t>
            </w:r>
            <w:r w:rsidRPr="00C011B2">
              <w:rPr>
                <w:rFonts w:ascii="Times New Roman" w:hAnsi="Times New Roman" w:cs="Times New Roman"/>
                <w:color w:val="000000" w:themeColor="text1"/>
                <w:lang w:val="ro-MD"/>
              </w:rPr>
              <w:lastRenderedPageBreak/>
              <w:t>trebuie să ia în considerare, atunci când calculează cerința de fonduri proprii pentru riscul valutar în ceea ce privește pozițiile din portofoliul de tranzacționare, expunerea indirectă maximă pe care ar putea să o înregistreze prin asumarea de poziții cu efect de levier (leveraged positions) prin intermediul OPC-ului. Aceasta se realizează prin creșterea proporțională a poziției pe OPC până la nivelul maxim al expunerii față de investițiile-suport care rezultă din mandatul privind activitatea de investire. Poziția ipotetică pe valută a OPC-ului se tratează ca o valută distinctă potrivit tratamentului aplicabil investițiilor în aur, cu adăugarea poziției lungi totale la poziția valutară deschisă lungă totală și a poziției scurte totale la poziția valutară deschisă scurtă totală, în situația în care direcția investiției OPC-ului este disponibilă. Nu este permisă compensarea între aceste poziții înainte de efectuarea calculului.</w:t>
            </w:r>
          </w:p>
        </w:tc>
        <w:tc>
          <w:tcPr>
            <w:tcW w:w="1692" w:type="pct"/>
            <w:shd w:val="clear" w:color="auto" w:fill="auto"/>
          </w:tcPr>
          <w:p w14:paraId="6FAD0450" w14:textId="29DB578C" w:rsidR="009D7356" w:rsidRPr="00C011B2" w:rsidRDefault="007608B7" w:rsidP="009D7356">
            <w:pPr>
              <w:spacing w:after="0" w:line="276" w:lineRule="auto"/>
              <w:jc w:val="both"/>
              <w:rPr>
                <w:rFonts w:ascii="Times New Roman" w:hAnsi="Times New Roman" w:cs="Times New Roman"/>
                <w:color w:val="000000" w:themeColor="text1"/>
                <w:lang w:val="ro-MD"/>
              </w:rPr>
            </w:pPr>
            <w:bookmarkStart w:id="501" w:name="_Hlk224812189"/>
            <w:r w:rsidRPr="00C011B2">
              <w:rPr>
                <w:rFonts w:ascii="Times New Roman" w:hAnsi="Times New Roman" w:cs="Times New Roman"/>
                <w:color w:val="000000" w:themeColor="text1"/>
                <w:lang w:val="ro-MD"/>
              </w:rPr>
              <w:lastRenderedPageBreak/>
              <w:t>506.</w:t>
            </w:r>
            <w:r w:rsidR="009D7356" w:rsidRPr="00C011B2">
              <w:rPr>
                <w:rFonts w:ascii="Times New Roman" w:hAnsi="Times New Roman" w:cs="Times New Roman"/>
                <w:color w:val="000000" w:themeColor="text1"/>
                <w:lang w:val="ro-MD"/>
              </w:rPr>
              <w:t xml:space="preserve"> Dacă o </w:t>
            </w:r>
            <w:r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 xml:space="preserve">nu are cunoștință de pozițiile pe valută ale unui OPC, se presupune că acesta a investit până la limita maximă permisă potrivit mandatului OPC-ului privind investițiile în valută, iar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trebuie să ia în </w:t>
            </w:r>
            <w:r w:rsidR="009D7356" w:rsidRPr="00C011B2">
              <w:rPr>
                <w:rFonts w:ascii="Times New Roman" w:hAnsi="Times New Roman" w:cs="Times New Roman"/>
                <w:color w:val="000000" w:themeColor="text1"/>
                <w:lang w:val="ro-MD"/>
              </w:rPr>
              <w:lastRenderedPageBreak/>
              <w:t>considerare, atunci când calculează cerința de fonduri proprii pentru riscul valutar în ceea ce privește pozițiile din portofoliul de tranzacționare, expunerea indirectă maximă pe care ar putea să o înregistreze prin asumarea de poziții cu efect de levier (leveraged positions) prin intermediul OPC-ului. Aceasta se realizează prin creșterea proporțională a poziției pe OPC până la nivelul maxim al expunerii față de investițiile-suport care rezultă din mandatul privind activitatea de investire. Poziția ipotetică pe valută a OPC-ului se tratează ca o valută distinctă potrivit tratamentului aplicabil investițiilor în aur, cu adăugarea poziției lungi totale la poziția valutară deschisă lungă totală și a poziției scurte totale la poziția valutară deschisă scurtă totală, în situația în care direcția investiției OPC-ului este disponibilă. Nu este permisă compensarea între aceste poziții înainte de efectuarea calculului.</w:t>
            </w:r>
            <w:bookmarkEnd w:id="501"/>
          </w:p>
        </w:tc>
        <w:tc>
          <w:tcPr>
            <w:tcW w:w="450" w:type="pct"/>
          </w:tcPr>
          <w:p w14:paraId="5B8B6919" w14:textId="1A2FF469"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E4BBDA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41F32FF"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2CF50A9"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354</w:t>
            </w:r>
          </w:p>
          <w:p w14:paraId="6AD153D2" w14:textId="363A06F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Valute strâns corelate</w:t>
            </w:r>
          </w:p>
        </w:tc>
        <w:tc>
          <w:tcPr>
            <w:tcW w:w="1692" w:type="pct"/>
            <w:shd w:val="clear" w:color="auto" w:fill="auto"/>
          </w:tcPr>
          <w:p w14:paraId="7B89A1D0" w14:textId="2F734DB0" w:rsidR="009D7356" w:rsidRPr="00C011B2" w:rsidRDefault="002024D7" w:rsidP="009D7356">
            <w:pPr>
              <w:spacing w:after="0" w:line="276" w:lineRule="auto"/>
              <w:jc w:val="both"/>
              <w:rPr>
                <w:rFonts w:ascii="Times New Roman" w:hAnsi="Times New Roman" w:cs="Times New Roman"/>
                <w:color w:val="000000" w:themeColor="text1"/>
                <w:lang w:val="ro-MD"/>
              </w:rPr>
            </w:pPr>
            <w:bookmarkStart w:id="502" w:name="_Hlk195100278"/>
            <w:r w:rsidRPr="00C011B2">
              <w:rPr>
                <w:rFonts w:ascii="Times New Roman" w:hAnsi="Times New Roman" w:cs="Times New Roman"/>
                <w:i/>
                <w:iCs/>
                <w:color w:val="000000" w:themeColor="text1"/>
                <w:lang w:val="ro-MD"/>
              </w:rPr>
              <w:t xml:space="preserve">Secțiunea 4. </w:t>
            </w:r>
            <w:r w:rsidR="009D7356" w:rsidRPr="00C011B2">
              <w:rPr>
                <w:rFonts w:ascii="Times New Roman" w:hAnsi="Times New Roman" w:cs="Times New Roman"/>
                <w:b/>
                <w:bCs/>
                <w:color w:val="000000" w:themeColor="text1"/>
                <w:lang w:val="ro-MD"/>
              </w:rPr>
              <w:t>Valute strâns corelate</w:t>
            </w:r>
            <w:bookmarkEnd w:id="502"/>
          </w:p>
        </w:tc>
        <w:tc>
          <w:tcPr>
            <w:tcW w:w="450" w:type="pct"/>
          </w:tcPr>
          <w:p w14:paraId="6A119295"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F315F3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6756A98"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84FFBF" w14:textId="03B40FE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(1)   Instituțiile pot să mențină cerințe de fonduri proprii mai mici pentru pozițiile pe valute strâns corelate relevante. Se consideră că două valute sunt strâns corelate numai dacă, în următoarele 10 zile lucrătoare, apariția unei pierderi, din poziții egale și </w:t>
            </w:r>
            <w:r w:rsidRPr="00C011B2">
              <w:rPr>
                <w:rFonts w:ascii="Times New Roman" w:hAnsi="Times New Roman" w:cs="Times New Roman"/>
                <w:color w:val="000000" w:themeColor="text1"/>
                <w:lang w:val="ro-MD"/>
              </w:rPr>
              <w:lastRenderedPageBreak/>
              <w:t>opuse pe astfel de valute, de 4 % sau mai puțin din valoarea respectivei poziții puse în corespondență (exprimată în moneda de raportare), are o probabilitate — calculată pe baza ratelor de schimb zilnice pe ultimii trei sau cinci ani — de cel puțin 99 %, când se folosește o perioadă de observare de trei ani, și de cel puțin 95 %, când se folosește o perioadă de observare de cinci ani. Cerința de fonduri proprii pentru poziția pusă în corespondență, pe două valute strâns corelate, este de 4 % înmulțit cu valoarea poziției puse în corespondență.</w:t>
            </w:r>
          </w:p>
        </w:tc>
        <w:tc>
          <w:tcPr>
            <w:tcW w:w="1692" w:type="pct"/>
            <w:shd w:val="clear" w:color="auto" w:fill="auto"/>
          </w:tcPr>
          <w:p w14:paraId="7958AB9F" w14:textId="1AF0FFA1" w:rsidR="009D7356" w:rsidRPr="00C011B2" w:rsidRDefault="002024D7" w:rsidP="009D7356">
            <w:pPr>
              <w:spacing w:after="0" w:line="276" w:lineRule="auto"/>
              <w:jc w:val="both"/>
              <w:rPr>
                <w:rFonts w:ascii="Times New Roman" w:hAnsi="Times New Roman" w:cs="Times New Roman"/>
                <w:color w:val="000000" w:themeColor="text1"/>
                <w:lang w:val="ro-MD"/>
              </w:rPr>
            </w:pPr>
            <w:bookmarkStart w:id="503" w:name="_Hlk224812223"/>
            <w:r w:rsidRPr="00C011B2">
              <w:rPr>
                <w:rFonts w:ascii="Times New Roman" w:hAnsi="Times New Roman" w:cs="Times New Roman"/>
                <w:color w:val="000000" w:themeColor="text1"/>
                <w:lang w:val="ro-MD"/>
              </w:rPr>
              <w:lastRenderedPageBreak/>
              <w:t>507.</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pot să mențină cerințe de fonduri proprii mai mici pentru pozițiile pe valute strâns corelate relevante. Se consideră că două valute sunt strâns corelate numai dacă, în următoarele 10 zile lucrătoare, apariția unei pierderi, din poziții egale și opuse pe astfel de valute, de 4 % sau mai </w:t>
            </w:r>
            <w:r w:rsidR="009D7356" w:rsidRPr="00C011B2">
              <w:rPr>
                <w:rFonts w:ascii="Times New Roman" w:hAnsi="Times New Roman" w:cs="Times New Roman"/>
                <w:color w:val="000000" w:themeColor="text1"/>
                <w:lang w:val="ro-MD"/>
              </w:rPr>
              <w:lastRenderedPageBreak/>
              <w:t>puțin din valoarea respectivei poziții puse în corespondență (exprimată în moneda de raportare), are o probabilitate — calculată pe baza ratelor de schimb zilnice pe ultimii trei sau cinci ani — de cel puțin 99 %, când se folosește o perioadă de observare de trei ani, și de cel puțin 95 %, când se folosește o perioadă de observare de cinci ani. Cerința de fonduri proprii pentru poziția pusă în corespondență, pe două valute strâns corelate, este de 4 % înmulțit cu valoarea poziției puse în corespondență.</w:t>
            </w:r>
          </w:p>
          <w:p w14:paraId="0E5428BE" w14:textId="2A3BD3E2" w:rsidR="002024D7" w:rsidRPr="00C011B2" w:rsidRDefault="002024D7"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508. Perechile de valute care îndeplinesc cerinţele de la pct.507 sunt prevăzute în anexa nr.7.</w:t>
            </w:r>
            <w:bookmarkEnd w:id="503"/>
          </w:p>
        </w:tc>
        <w:tc>
          <w:tcPr>
            <w:tcW w:w="450" w:type="pct"/>
          </w:tcPr>
          <w:p w14:paraId="4DABB925" w14:textId="3CC03138"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4FEA9C2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C1D200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DF060A1" w14:textId="27ECB67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La calcularea cerințelor prevăzute în acest capitol, instituțiile pot să nu ia în considerare pozițiile pe valute care fac obiectul unui acord interguvernamental obligatoriu din punct de vedere legal de limitare a variației acestora față de alte valute prevăzute în acordul respectiv. Instituțiile își calculează pozițiile puse în corespondență pe aceste valute și le supun unei cerințe de fonduri proprii care să nu fie mai mică de jumătate din variația maximă permisă valutelor în cauză, prevăzută în respectivul acord interguvernamental.</w:t>
            </w:r>
          </w:p>
        </w:tc>
        <w:tc>
          <w:tcPr>
            <w:tcW w:w="1692" w:type="pct"/>
            <w:shd w:val="clear" w:color="auto" w:fill="auto"/>
          </w:tcPr>
          <w:p w14:paraId="59B7C8DE" w14:textId="338D9A40" w:rsidR="009D7356" w:rsidRPr="00C011B2" w:rsidRDefault="002024D7" w:rsidP="009D7356">
            <w:pPr>
              <w:spacing w:after="0" w:line="276" w:lineRule="auto"/>
              <w:jc w:val="both"/>
              <w:rPr>
                <w:rFonts w:ascii="Times New Roman" w:hAnsi="Times New Roman" w:cs="Times New Roman"/>
                <w:color w:val="000000" w:themeColor="text1"/>
                <w:lang w:val="ro-MD"/>
              </w:rPr>
            </w:pPr>
            <w:bookmarkStart w:id="504" w:name="_Hlk224812239"/>
            <w:r w:rsidRPr="00C011B2">
              <w:rPr>
                <w:rFonts w:ascii="Times New Roman" w:hAnsi="Times New Roman" w:cs="Times New Roman"/>
                <w:color w:val="000000" w:themeColor="text1"/>
                <w:lang w:val="ro-MD"/>
              </w:rPr>
              <w:t>50</w:t>
            </w:r>
            <w:r w:rsidR="00624A25" w:rsidRPr="00C011B2">
              <w:rPr>
                <w:rFonts w:ascii="Times New Roman" w:hAnsi="Times New Roman" w:cs="Times New Roman"/>
                <w:color w:val="000000" w:themeColor="text1"/>
                <w:lang w:val="ro-MD"/>
              </w:rPr>
              <w:t>9</w:t>
            </w:r>
            <w:r w:rsidRPr="00C011B2">
              <w:rPr>
                <w:rFonts w:ascii="Times New Roman" w:hAnsi="Times New Roman" w:cs="Times New Roman"/>
                <w:color w:val="000000" w:themeColor="text1"/>
                <w:lang w:val="ro-MD"/>
              </w:rPr>
              <w:t>.</w:t>
            </w:r>
            <w:r w:rsidR="009D7356" w:rsidRPr="00C011B2">
              <w:rPr>
                <w:rFonts w:ascii="Times New Roman" w:hAnsi="Times New Roman" w:cs="Times New Roman"/>
                <w:color w:val="000000" w:themeColor="text1"/>
                <w:lang w:val="ro-MD"/>
              </w:rPr>
              <w:t xml:space="preserve">  La calcularea cerințelor prevăzute în acest capitol,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pot să nu ia în considerare pozițiile pe valute care fac obiectul unui acord interguvernamental obligatoriu din punct de vedere legal de limitare a variației acestora față de alte valute prevăzute în acordul respectiv.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își calculează pozițiile puse în corespondență pe aceste valute și le supun unei cerințe de fonduri proprii care să nu fie mai mică de jumătate din variația maximă permisă valutelor în cauză, prevăzută în respectivul acord interguvernamental.</w:t>
            </w:r>
            <w:bookmarkEnd w:id="504"/>
          </w:p>
        </w:tc>
        <w:tc>
          <w:tcPr>
            <w:tcW w:w="450" w:type="pct"/>
          </w:tcPr>
          <w:p w14:paraId="7AA1D851" w14:textId="342CF95A"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DF49C4E"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9DF907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80B90D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ABE elaborează proiecte de standarde tehnice de punere în aplicare în care se precizează valutele pentru care este disponibil tratamentul prevăzut la alineatul (1).</w:t>
            </w:r>
          </w:p>
          <w:p w14:paraId="1EC1023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transmite Comisiei proiectele respective de standarde tehnice de punere în aplicare până la 1 ianuarie 2014.</w:t>
            </w:r>
          </w:p>
          <w:p w14:paraId="5F5B1A91" w14:textId="3715E20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conferă Comisiei competența de a adopta standardele tehnice de punere în aplicare menționate la primul paragraf, în conformitate cu articolul 15 din Regulamentul (UE) nr. 1093/2010.</w:t>
            </w:r>
          </w:p>
        </w:tc>
        <w:tc>
          <w:tcPr>
            <w:tcW w:w="1692" w:type="pct"/>
            <w:shd w:val="clear" w:color="auto" w:fill="auto"/>
          </w:tcPr>
          <w:p w14:paraId="451713ED" w14:textId="5040E412"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2164507A" w14:textId="3C3EB841"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207028F2" w14:textId="2F699BA5"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Alin.(3) stabilește obligații pentru autorități europene – Autoritatea Bancară Europeană.</w:t>
            </w:r>
          </w:p>
        </w:tc>
      </w:tr>
      <w:tr w:rsidR="009D7356" w:rsidRPr="00C011B2" w14:paraId="706C059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4EE9EA6" w14:textId="13C71E1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Cerința de fonduri proprii pentru pozițiile puse în corespondență pe valute ale statelor membre participante la cea de-a doua etapă a uniunii economice și monetare poate fi calculată prin înmulțirea valorii aferente acestor poziții puse în corespondență cu 1,6 %.</w:t>
            </w:r>
          </w:p>
        </w:tc>
        <w:tc>
          <w:tcPr>
            <w:tcW w:w="1692" w:type="pct"/>
            <w:shd w:val="clear" w:color="auto" w:fill="auto"/>
          </w:tcPr>
          <w:p w14:paraId="71490910" w14:textId="647A6984" w:rsidR="009D7356" w:rsidRPr="00C011B2" w:rsidRDefault="00624A25" w:rsidP="009D7356">
            <w:pPr>
              <w:spacing w:after="0" w:line="276" w:lineRule="auto"/>
              <w:jc w:val="both"/>
              <w:rPr>
                <w:rFonts w:ascii="Times New Roman" w:hAnsi="Times New Roman" w:cs="Times New Roman"/>
                <w:color w:val="000000" w:themeColor="text1"/>
                <w:lang w:val="ro-MD"/>
              </w:rPr>
            </w:pPr>
            <w:bookmarkStart w:id="505" w:name="_Hlk224812265"/>
            <w:r w:rsidRPr="00C011B2">
              <w:rPr>
                <w:rFonts w:ascii="Times New Roman" w:hAnsi="Times New Roman" w:cs="Times New Roman"/>
                <w:color w:val="000000" w:themeColor="text1"/>
                <w:lang w:val="ro-MD"/>
              </w:rPr>
              <w:t>510.</w:t>
            </w:r>
            <w:r w:rsidR="009D7356" w:rsidRPr="00C011B2">
              <w:rPr>
                <w:rFonts w:ascii="Times New Roman" w:hAnsi="Times New Roman" w:cs="Times New Roman"/>
                <w:color w:val="000000" w:themeColor="text1"/>
                <w:lang w:val="ro-MD"/>
              </w:rPr>
              <w:t>   Cerința de fonduri proprii pentru pozițiile puse în corespondență pe valute ale statelor membre participante la cea de-a doua etapă a uniunii economice și monetare poate fi calculată prin înmulțirea valorii aferente acestor poziții puse în corespondență cu 1,6 %.</w:t>
            </w:r>
            <w:bookmarkEnd w:id="505"/>
          </w:p>
        </w:tc>
        <w:tc>
          <w:tcPr>
            <w:tcW w:w="450" w:type="pct"/>
          </w:tcPr>
          <w:p w14:paraId="19EDA4F3" w14:textId="3C66BA87"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CDDB4C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F0051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AA96B1" w14:textId="0DCD050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Doar pozițiile nepuse în corespondență pe valutele menționate în prezentul articol se includ în poziția deschisă netă totală conform articolului 352 alineatul (4).</w:t>
            </w:r>
          </w:p>
        </w:tc>
        <w:tc>
          <w:tcPr>
            <w:tcW w:w="1692" w:type="pct"/>
            <w:shd w:val="clear" w:color="auto" w:fill="auto"/>
          </w:tcPr>
          <w:p w14:paraId="4B63C065" w14:textId="624AA80E" w:rsidR="009D7356" w:rsidRPr="00C011B2" w:rsidRDefault="00624A25" w:rsidP="009D7356">
            <w:pPr>
              <w:spacing w:after="0" w:line="276" w:lineRule="auto"/>
              <w:jc w:val="both"/>
              <w:rPr>
                <w:rFonts w:ascii="Times New Roman" w:hAnsi="Times New Roman" w:cs="Times New Roman"/>
                <w:color w:val="000000" w:themeColor="text1"/>
                <w:lang w:val="ro-MD"/>
              </w:rPr>
            </w:pPr>
            <w:bookmarkStart w:id="506" w:name="_Hlk224812297"/>
            <w:r w:rsidRPr="00C011B2">
              <w:rPr>
                <w:rFonts w:ascii="Times New Roman" w:hAnsi="Times New Roman" w:cs="Times New Roman"/>
                <w:color w:val="000000" w:themeColor="text1"/>
                <w:lang w:val="ro-MD"/>
              </w:rPr>
              <w:t>511.</w:t>
            </w:r>
            <w:r w:rsidR="009D7356" w:rsidRPr="00C011B2">
              <w:rPr>
                <w:rFonts w:ascii="Times New Roman" w:hAnsi="Times New Roman" w:cs="Times New Roman"/>
                <w:color w:val="000000" w:themeColor="text1"/>
                <w:lang w:val="ro-MD"/>
              </w:rPr>
              <w:t xml:space="preserve">   Doar pozițiile nepuse în corespondență pe valutele menționate în </w:t>
            </w:r>
            <w:r w:rsidRPr="00C011B2">
              <w:rPr>
                <w:rFonts w:ascii="Times New Roman" w:hAnsi="Times New Roman" w:cs="Times New Roman"/>
                <w:color w:val="000000" w:themeColor="text1"/>
                <w:lang w:val="ro-MD"/>
              </w:rPr>
              <w:t>prezenta secțiune</w:t>
            </w:r>
            <w:r w:rsidR="009D7356" w:rsidRPr="00C011B2">
              <w:rPr>
                <w:rFonts w:ascii="Times New Roman" w:hAnsi="Times New Roman" w:cs="Times New Roman"/>
                <w:color w:val="000000" w:themeColor="text1"/>
                <w:lang w:val="ro-MD"/>
              </w:rPr>
              <w:t xml:space="preserve"> se includ în poziția deschisă netă totală conform</w:t>
            </w:r>
            <w:r w:rsidRPr="00C011B2">
              <w:rPr>
                <w:rFonts w:ascii="Times New Roman" w:hAnsi="Times New Roman" w:cs="Times New Roman"/>
                <w:color w:val="000000" w:themeColor="text1"/>
                <w:lang w:val="ro-MD"/>
              </w:rPr>
              <w:t xml:space="preserve"> pct.501</w:t>
            </w:r>
            <w:r w:rsidR="009D7356" w:rsidRPr="00C011B2">
              <w:rPr>
                <w:rFonts w:ascii="Times New Roman" w:hAnsi="Times New Roman" w:cs="Times New Roman"/>
                <w:color w:val="000000" w:themeColor="text1"/>
                <w:lang w:val="ro-MD"/>
              </w:rPr>
              <w:t>.</w:t>
            </w:r>
            <w:bookmarkEnd w:id="506"/>
          </w:p>
        </w:tc>
        <w:tc>
          <w:tcPr>
            <w:tcW w:w="450" w:type="pct"/>
          </w:tcPr>
          <w:p w14:paraId="4CD8B018" w14:textId="79E94109"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2FE8548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04DD6C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6C5066" w14:textId="0D47AC8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(6)   În cazul în care datele privind ratele de schimb zilnice pe ultimii trei sau cinci ani — referitoare la poziții egale și opuse pe două valute pe perioada următoarelor 10 zile lucrătoare — arată că cele două valute sunt perfect corelate pozitiv și că instituția se </w:t>
            </w:r>
            <w:r w:rsidRPr="00C011B2">
              <w:rPr>
                <w:rFonts w:ascii="Times New Roman" w:hAnsi="Times New Roman" w:cs="Times New Roman"/>
                <w:color w:val="000000" w:themeColor="text1"/>
                <w:lang w:val="ro-MD"/>
              </w:rPr>
              <w:lastRenderedPageBreak/>
              <w:t>poate confrunta oricând cu un spread zero între cotațiile bid și ask pe tranzacțiile respective, instituția poate, cu aprobarea explicită a autorității sale competente, să aplice o cerință de fonduri proprii de 0 % până la sfârșitul lui 2017.</w:t>
            </w:r>
          </w:p>
        </w:tc>
        <w:tc>
          <w:tcPr>
            <w:tcW w:w="1692" w:type="pct"/>
            <w:shd w:val="clear" w:color="auto" w:fill="auto"/>
          </w:tcPr>
          <w:p w14:paraId="11554075" w14:textId="5C45B715"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0E969575" w14:textId="56BF1AAB" w:rsidR="009D7356" w:rsidRPr="00C011B2" w:rsidRDefault="00624A25"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41F071E3" w14:textId="44359165" w:rsidR="009D7356" w:rsidRPr="00C011B2" w:rsidRDefault="00624A25"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Alin.(6) stabilește prevederi tranzitorii care se aplicau până la intrarea în vigoare a Regulamentului 575/2014.</w:t>
            </w:r>
          </w:p>
        </w:tc>
      </w:tr>
      <w:tr w:rsidR="009D7356" w:rsidRPr="00C011B2" w14:paraId="6B7F6F5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D2728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CAPITOLUL 4</w:t>
            </w:r>
          </w:p>
          <w:p w14:paraId="5380503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de marfă</w:t>
            </w:r>
          </w:p>
          <w:p w14:paraId="7C91A657"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355</w:t>
            </w:r>
          </w:p>
          <w:p w14:paraId="5DDC77D9" w14:textId="18560D6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Alegerea metodei pentru riscul de marfă</w:t>
            </w:r>
          </w:p>
        </w:tc>
        <w:tc>
          <w:tcPr>
            <w:tcW w:w="1692" w:type="pct"/>
            <w:shd w:val="clear" w:color="auto" w:fill="auto"/>
          </w:tcPr>
          <w:p w14:paraId="559086C7" w14:textId="798D9224"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507" w:name="_Hlk195100318"/>
            <w:r w:rsidRPr="00C011B2">
              <w:rPr>
                <w:rFonts w:ascii="Times New Roman" w:hAnsi="Times New Roman" w:cs="Times New Roman"/>
                <w:color w:val="000000" w:themeColor="text1"/>
                <w:lang w:val="ro-MD"/>
              </w:rPr>
              <w:t xml:space="preserve">CAPITOLUL </w:t>
            </w:r>
            <w:r w:rsidR="00017FE5" w:rsidRPr="00C011B2">
              <w:rPr>
                <w:rFonts w:ascii="Times New Roman" w:hAnsi="Times New Roman" w:cs="Times New Roman"/>
                <w:color w:val="000000" w:themeColor="text1"/>
                <w:lang w:val="ro-MD"/>
              </w:rPr>
              <w:t xml:space="preserve">VI. </w:t>
            </w:r>
          </w:p>
          <w:p w14:paraId="248F611A"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Cerințe de fonduri proprii pentru riscul de marfă</w:t>
            </w:r>
          </w:p>
          <w:p w14:paraId="6DEEB88A" w14:textId="0FC702B2" w:rsidR="009D7356" w:rsidRPr="00C011B2" w:rsidRDefault="00017FE5"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i/>
                <w:iCs/>
                <w:color w:val="000000" w:themeColor="text1"/>
                <w:lang w:val="ro-MD"/>
              </w:rPr>
              <w:t>Secțiunea 1.</w:t>
            </w:r>
            <w:r w:rsidR="009D7356" w:rsidRPr="00C011B2">
              <w:rPr>
                <w:rFonts w:ascii="Times New Roman" w:hAnsi="Times New Roman" w:cs="Times New Roman"/>
                <w:b/>
                <w:bCs/>
                <w:color w:val="000000" w:themeColor="text1"/>
                <w:lang w:val="ro-MD"/>
              </w:rPr>
              <w:t>Alegerea metodei pentru riscul de marfă</w:t>
            </w:r>
            <w:bookmarkEnd w:id="507"/>
          </w:p>
        </w:tc>
        <w:tc>
          <w:tcPr>
            <w:tcW w:w="450" w:type="pct"/>
          </w:tcPr>
          <w:p w14:paraId="7A2A77D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4A459C0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9230FB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E3E81AB" w14:textId="1D8FAE52" w:rsidR="009D7356" w:rsidRPr="00C011B2" w:rsidRDefault="009D7356" w:rsidP="009D7356">
            <w:pPr>
              <w:spacing w:after="0" w:line="276" w:lineRule="auto"/>
              <w:jc w:val="both"/>
              <w:rPr>
                <w:rFonts w:ascii="Times New Roman" w:hAnsi="Times New Roman" w:cs="Times New Roman"/>
                <w:color w:val="000000" w:themeColor="text1"/>
                <w:lang w:val="pt-BR"/>
              </w:rPr>
            </w:pPr>
            <w:r w:rsidRPr="00C011B2">
              <w:rPr>
                <w:rFonts w:ascii="Times New Roman" w:hAnsi="Times New Roman" w:cs="Times New Roman"/>
                <w:color w:val="000000" w:themeColor="text1"/>
                <w:lang w:val="pt-BR"/>
              </w:rPr>
              <w:t>Sub rezerva articolelor 356-358, instituțiile își calculează cerința de fonduri proprii pentru riscul de marfă utilizând una dintre metodele prevăzute la articolele 359, 360 sau 361.</w:t>
            </w:r>
          </w:p>
        </w:tc>
        <w:tc>
          <w:tcPr>
            <w:tcW w:w="1692" w:type="pct"/>
            <w:shd w:val="clear" w:color="auto" w:fill="auto"/>
          </w:tcPr>
          <w:p w14:paraId="5F012E0C" w14:textId="63E73250" w:rsidR="009D7356" w:rsidRPr="00C011B2" w:rsidRDefault="00017FE5" w:rsidP="009D7356">
            <w:pPr>
              <w:spacing w:after="0" w:line="276" w:lineRule="auto"/>
              <w:jc w:val="both"/>
              <w:rPr>
                <w:rFonts w:ascii="Times New Roman" w:hAnsi="Times New Roman" w:cs="Times New Roman"/>
                <w:color w:val="000000" w:themeColor="text1"/>
                <w:lang w:val="ro-MD"/>
              </w:rPr>
            </w:pPr>
            <w:bookmarkStart w:id="508" w:name="_Hlk224812336"/>
            <w:r w:rsidRPr="00C011B2">
              <w:rPr>
                <w:rFonts w:ascii="Times New Roman" w:hAnsi="Times New Roman" w:cs="Times New Roman"/>
                <w:color w:val="000000" w:themeColor="text1"/>
                <w:lang w:val="it-IT"/>
              </w:rPr>
              <w:t xml:space="preserve">512. </w:t>
            </w:r>
            <w:r w:rsidR="009D7356" w:rsidRPr="00C011B2">
              <w:rPr>
                <w:rFonts w:ascii="Times New Roman" w:hAnsi="Times New Roman" w:cs="Times New Roman"/>
                <w:color w:val="000000" w:themeColor="text1"/>
                <w:lang w:val="it-IT"/>
              </w:rPr>
              <w:t xml:space="preserve">Sub rezerva </w:t>
            </w:r>
            <w:r w:rsidRPr="00C011B2">
              <w:rPr>
                <w:rFonts w:ascii="Times New Roman" w:hAnsi="Times New Roman" w:cs="Times New Roman"/>
                <w:color w:val="000000" w:themeColor="text1"/>
                <w:lang w:val="it-IT"/>
              </w:rPr>
              <w:t>secțiunilor 2-4</w:t>
            </w:r>
            <w:r w:rsidR="009D7356" w:rsidRPr="00C011B2">
              <w:rPr>
                <w:rFonts w:ascii="Times New Roman" w:hAnsi="Times New Roman" w:cs="Times New Roman"/>
                <w:color w:val="000000" w:themeColor="text1"/>
                <w:lang w:val="it-IT"/>
              </w:rPr>
              <w:t xml:space="preserve">, </w:t>
            </w:r>
            <w:r w:rsidRPr="00C011B2">
              <w:rPr>
                <w:rFonts w:ascii="Times New Roman" w:hAnsi="Times New Roman" w:cs="Times New Roman"/>
                <w:color w:val="000000" w:themeColor="text1"/>
                <w:lang w:val="it-IT"/>
              </w:rPr>
              <w:t xml:space="preserve">băncile </w:t>
            </w:r>
            <w:r w:rsidR="009D7356" w:rsidRPr="00C011B2">
              <w:rPr>
                <w:rFonts w:ascii="Times New Roman" w:hAnsi="Times New Roman" w:cs="Times New Roman"/>
                <w:color w:val="000000" w:themeColor="text1"/>
                <w:lang w:val="it-IT"/>
              </w:rPr>
              <w:t xml:space="preserve">își calculează cerința de fonduri proprii pentru riscul de marfă utilizând una dintre metodele prevăzute la </w:t>
            </w:r>
            <w:r w:rsidRPr="00C011B2">
              <w:rPr>
                <w:rFonts w:ascii="Times New Roman" w:hAnsi="Times New Roman" w:cs="Times New Roman"/>
                <w:color w:val="000000" w:themeColor="text1"/>
                <w:lang w:val="it-IT"/>
              </w:rPr>
              <w:t>secțiunile 5-7</w:t>
            </w:r>
            <w:r w:rsidR="009D7356" w:rsidRPr="00C011B2">
              <w:rPr>
                <w:rFonts w:ascii="Times New Roman" w:hAnsi="Times New Roman" w:cs="Times New Roman"/>
                <w:color w:val="000000" w:themeColor="text1"/>
                <w:lang w:val="it-IT"/>
              </w:rPr>
              <w:t>.</w:t>
            </w:r>
            <w:bookmarkEnd w:id="508"/>
          </w:p>
        </w:tc>
        <w:tc>
          <w:tcPr>
            <w:tcW w:w="450" w:type="pct"/>
          </w:tcPr>
          <w:p w14:paraId="4B5073A7" w14:textId="0470EBD6"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87199B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597949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06C5102"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356</w:t>
            </w:r>
          </w:p>
          <w:p w14:paraId="6A044452" w14:textId="6EFBBC2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Activități cu mărfuri auxiliare</w:t>
            </w:r>
          </w:p>
        </w:tc>
        <w:tc>
          <w:tcPr>
            <w:tcW w:w="1692" w:type="pct"/>
            <w:shd w:val="clear" w:color="auto" w:fill="auto"/>
          </w:tcPr>
          <w:p w14:paraId="40BDF932" w14:textId="16461798" w:rsidR="009D7356" w:rsidRPr="00C011B2" w:rsidRDefault="00017FE5" w:rsidP="009D7356">
            <w:pPr>
              <w:spacing w:after="0" w:line="276" w:lineRule="auto"/>
              <w:jc w:val="both"/>
              <w:rPr>
                <w:rFonts w:ascii="Times New Roman" w:hAnsi="Times New Roman" w:cs="Times New Roman"/>
                <w:color w:val="000000" w:themeColor="text1"/>
                <w:lang w:val="ro-MD"/>
              </w:rPr>
            </w:pPr>
            <w:bookmarkStart w:id="509" w:name="_Hlk195100347"/>
            <w:r w:rsidRPr="00C011B2">
              <w:rPr>
                <w:rFonts w:ascii="Times New Roman" w:hAnsi="Times New Roman" w:cs="Times New Roman"/>
                <w:i/>
                <w:iCs/>
                <w:color w:val="000000" w:themeColor="text1"/>
                <w:lang w:val="ro-MD"/>
              </w:rPr>
              <w:t xml:space="preserve">Secțiunea 2. </w:t>
            </w:r>
            <w:r w:rsidR="009D7356" w:rsidRPr="00C011B2">
              <w:rPr>
                <w:rFonts w:ascii="Times New Roman" w:hAnsi="Times New Roman" w:cs="Times New Roman"/>
                <w:b/>
                <w:bCs/>
                <w:color w:val="000000" w:themeColor="text1"/>
                <w:lang w:val="ro-MD"/>
              </w:rPr>
              <w:t>Activități cu mărfuri auxiliare</w:t>
            </w:r>
            <w:bookmarkEnd w:id="509"/>
          </w:p>
        </w:tc>
        <w:tc>
          <w:tcPr>
            <w:tcW w:w="450" w:type="pct"/>
          </w:tcPr>
          <w:p w14:paraId="530DD33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546D064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66780CE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3AE97BE" w14:textId="27140A0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Instituțiile care desfășoară activități cu mărfuri agricole auxiliare pot stabili cerințele de fonduri proprii pentru stocul fizic de mărfuri la sfârșitul fiecărui an pentru anul următor, dacă sunt îndeplinite toate condițiile următoare:</w:t>
            </w:r>
          </w:p>
          <w:p w14:paraId="2C90789B" w14:textId="7A58432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în orice moment al anului, instituția deține fonduri proprii pentru acest risc care nu sunt mai mici decât media cerinței de fonduri proprii pentru riscul respectiv, estimată de o manieră prudentă pentru anul următor;</w:t>
            </w:r>
          </w:p>
          <w:p w14:paraId="001AC042" w14:textId="1F8632D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(b) instituția estimează de o manieră prudentă volatilitatea așteptată a cifrei calculate conform literei (a);</w:t>
            </w:r>
          </w:p>
          <w:p w14:paraId="5F616720" w14:textId="10EAECA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media cerinței de fonduri proprii pentru acest risc nu depășește 5 % din fondurile sale proprii sau 1 milion EUR și, ținând cont de volatilitatea estimată în conformitate cu litera (b), valoarea maximă așteptată a cerințelor de fonduri proprii nu depășește 6,5 % din fondurile sale proprii;</w:t>
            </w:r>
          </w:p>
          <w:p w14:paraId="1E1D430D" w14:textId="4402D29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instituția monitorizează în permanență dacă estimările efectuate în conformitate cu literele (a) și (b) continuă să reflecte realitatea.</w:t>
            </w:r>
          </w:p>
        </w:tc>
        <w:tc>
          <w:tcPr>
            <w:tcW w:w="1692" w:type="pct"/>
            <w:shd w:val="clear" w:color="auto" w:fill="auto"/>
          </w:tcPr>
          <w:p w14:paraId="594243EE" w14:textId="22E45FE9" w:rsidR="009D7356" w:rsidRPr="00C011B2" w:rsidRDefault="00017FE5" w:rsidP="009D7356">
            <w:pPr>
              <w:spacing w:after="0" w:line="276" w:lineRule="auto"/>
              <w:jc w:val="both"/>
              <w:rPr>
                <w:rFonts w:ascii="Times New Roman" w:hAnsi="Times New Roman" w:cs="Times New Roman"/>
                <w:color w:val="000000" w:themeColor="text1"/>
                <w:lang w:val="ro-MD"/>
              </w:rPr>
            </w:pPr>
            <w:bookmarkStart w:id="510" w:name="_Hlk224812374"/>
            <w:r w:rsidRPr="00C011B2">
              <w:rPr>
                <w:rFonts w:ascii="Times New Roman" w:hAnsi="Times New Roman" w:cs="Times New Roman"/>
                <w:color w:val="000000" w:themeColor="text1"/>
                <w:lang w:val="ro-MD"/>
              </w:rPr>
              <w:lastRenderedPageBreak/>
              <w:t>513.</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care desfășoară activități cu mărfuri agricole auxiliare pot stabili cerințele de fonduri proprii pentru stocul fizic de mărfuri la sfârșitul fiecărui an pentru anul următor, dacă sunt îndeplinite toate condițiile următoare:</w:t>
            </w:r>
          </w:p>
          <w:p w14:paraId="5E34E20B" w14:textId="72599959" w:rsidR="009D7356" w:rsidRPr="00C011B2" w:rsidRDefault="00017FE5"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513.1.</w:t>
            </w:r>
            <w:r w:rsidR="009D7356" w:rsidRPr="00C011B2">
              <w:rPr>
                <w:rFonts w:ascii="Times New Roman" w:hAnsi="Times New Roman" w:cs="Times New Roman"/>
                <w:color w:val="000000" w:themeColor="text1"/>
                <w:lang w:val="ro-MD"/>
              </w:rPr>
              <w:t xml:space="preserve"> în orice moment al anului,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deține fonduri proprii pentru acest risc care nu sunt mai mici decât media cerinței de fonduri proprii pentru riscul respectiv, estimată de o manieră prudentă pentru anul următor;</w:t>
            </w:r>
          </w:p>
          <w:p w14:paraId="2DD09F02" w14:textId="0605ABFB" w:rsidR="009D7356" w:rsidRPr="00C011B2" w:rsidRDefault="00017FE5"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513.2.</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estimează de o manieră prudentă volatilitatea așteptată a cifrei calculate conform</w:t>
            </w:r>
            <w:r w:rsidRPr="00C011B2">
              <w:rPr>
                <w:rFonts w:ascii="Times New Roman" w:hAnsi="Times New Roman" w:cs="Times New Roman"/>
                <w:color w:val="000000" w:themeColor="text1"/>
                <w:lang w:val="ro-MD"/>
              </w:rPr>
              <w:t>subpct.513.1</w:t>
            </w:r>
            <w:r w:rsidR="009D7356" w:rsidRPr="00C011B2">
              <w:rPr>
                <w:rFonts w:ascii="Times New Roman" w:hAnsi="Times New Roman" w:cs="Times New Roman"/>
                <w:color w:val="000000" w:themeColor="text1"/>
                <w:lang w:val="ro-MD"/>
              </w:rPr>
              <w:t>;</w:t>
            </w:r>
          </w:p>
          <w:p w14:paraId="3770CF7E" w14:textId="74B46468" w:rsidR="009D7356" w:rsidRPr="00C011B2" w:rsidRDefault="00017FE5"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513.3.</w:t>
            </w:r>
            <w:r w:rsidR="009D7356" w:rsidRPr="00C011B2">
              <w:rPr>
                <w:rFonts w:ascii="Times New Roman" w:hAnsi="Times New Roman" w:cs="Times New Roman"/>
                <w:color w:val="000000" w:themeColor="text1"/>
                <w:lang w:val="ro-MD"/>
              </w:rPr>
              <w:t xml:space="preserve"> media cerinței de fonduri proprii pentru acest risc nu depășește 5 % din fondurile sale proprii sau </w:t>
            </w:r>
            <w:r w:rsidRPr="00C011B2">
              <w:rPr>
                <w:rFonts w:ascii="Times New Roman" w:hAnsi="Times New Roman" w:cs="Times New Roman"/>
                <w:color w:val="000000" w:themeColor="text1"/>
                <w:lang w:val="ro-MD"/>
              </w:rPr>
              <w:t xml:space="preserve">echivalentul în lei modovenești a </w:t>
            </w:r>
            <w:r w:rsidR="009D7356" w:rsidRPr="00C011B2">
              <w:rPr>
                <w:rFonts w:ascii="Times New Roman" w:hAnsi="Times New Roman" w:cs="Times New Roman"/>
                <w:color w:val="000000" w:themeColor="text1"/>
                <w:lang w:val="ro-MD"/>
              </w:rPr>
              <w:t>1 milion EUR și, ținând cont de volatilitatea estimată în conformitate cu</w:t>
            </w:r>
            <w:r w:rsidRPr="00C011B2">
              <w:rPr>
                <w:rFonts w:ascii="Times New Roman" w:hAnsi="Times New Roman" w:cs="Times New Roman"/>
                <w:color w:val="000000" w:themeColor="text1"/>
                <w:lang w:val="ro-MD"/>
              </w:rPr>
              <w:t>subpct.513.2</w:t>
            </w:r>
            <w:r w:rsidR="009D7356" w:rsidRPr="00C011B2">
              <w:rPr>
                <w:rFonts w:ascii="Times New Roman" w:hAnsi="Times New Roman" w:cs="Times New Roman"/>
                <w:color w:val="000000" w:themeColor="text1"/>
                <w:lang w:val="ro-MD"/>
              </w:rPr>
              <w:t>, valoarea maximă așteptată a cerințelor de fonduri proprii nu depășește 6,5 % din fondurile sale proprii;</w:t>
            </w:r>
          </w:p>
          <w:p w14:paraId="63A205D0" w14:textId="2D869422" w:rsidR="009D7356" w:rsidRPr="00C011B2" w:rsidRDefault="00017FE5"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513.4.</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monitorizează în permanență dacă estimările efectuate în conformitate cu </w:t>
            </w:r>
            <w:r w:rsidRPr="00C011B2">
              <w:rPr>
                <w:rFonts w:ascii="Times New Roman" w:hAnsi="Times New Roman" w:cs="Times New Roman"/>
                <w:color w:val="000000" w:themeColor="text1"/>
                <w:lang w:val="ro-MD"/>
              </w:rPr>
              <w:t>subpct.513.1</w:t>
            </w:r>
            <w:r w:rsidR="009D7356" w:rsidRPr="00C011B2">
              <w:rPr>
                <w:rFonts w:ascii="Times New Roman" w:hAnsi="Times New Roman" w:cs="Times New Roman"/>
                <w:color w:val="000000" w:themeColor="text1"/>
                <w:lang w:val="ro-MD"/>
              </w:rPr>
              <w:t xml:space="preserve"> și </w:t>
            </w:r>
            <w:r w:rsidRPr="00C011B2">
              <w:rPr>
                <w:rFonts w:ascii="Times New Roman" w:hAnsi="Times New Roman" w:cs="Times New Roman"/>
                <w:color w:val="000000" w:themeColor="text1"/>
                <w:lang w:val="ro-MD"/>
              </w:rPr>
              <w:t>513.2</w:t>
            </w:r>
            <w:r w:rsidR="009D7356" w:rsidRPr="00C011B2">
              <w:rPr>
                <w:rFonts w:ascii="Times New Roman" w:hAnsi="Times New Roman" w:cs="Times New Roman"/>
                <w:color w:val="000000" w:themeColor="text1"/>
                <w:lang w:val="ro-MD"/>
              </w:rPr>
              <w:t xml:space="preserve"> continuă să reflecte realitatea.</w:t>
            </w:r>
            <w:bookmarkEnd w:id="510"/>
          </w:p>
        </w:tc>
        <w:tc>
          <w:tcPr>
            <w:tcW w:w="450" w:type="pct"/>
          </w:tcPr>
          <w:p w14:paraId="59C5F053" w14:textId="7986DEB2"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19A1925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D8A88F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88AF00C" w14:textId="3B56A8E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Instituțiile notifică autoritățile competente cu privire la modul în care utilizează opțiunea prevăzută la alineatul (1).</w:t>
            </w:r>
          </w:p>
        </w:tc>
        <w:tc>
          <w:tcPr>
            <w:tcW w:w="1692" w:type="pct"/>
            <w:shd w:val="clear" w:color="auto" w:fill="auto"/>
          </w:tcPr>
          <w:p w14:paraId="0527F85F" w14:textId="13D15A9D" w:rsidR="009D7356" w:rsidRPr="00C011B2" w:rsidRDefault="004374E0" w:rsidP="009D7356">
            <w:pPr>
              <w:spacing w:after="0" w:line="276" w:lineRule="auto"/>
              <w:jc w:val="both"/>
              <w:rPr>
                <w:rFonts w:ascii="Times New Roman" w:hAnsi="Times New Roman" w:cs="Times New Roman"/>
                <w:color w:val="000000" w:themeColor="text1"/>
                <w:lang w:val="ro-MD"/>
              </w:rPr>
            </w:pPr>
            <w:bookmarkStart w:id="511" w:name="_Hlk224812396"/>
            <w:r w:rsidRPr="00C011B2">
              <w:rPr>
                <w:rFonts w:ascii="Times New Roman" w:hAnsi="Times New Roman" w:cs="Times New Roman"/>
                <w:color w:val="000000" w:themeColor="text1"/>
                <w:lang w:val="ro-MD"/>
              </w:rPr>
              <w:t>514.</w:t>
            </w:r>
            <w:r w:rsidR="009D7356" w:rsidRPr="00C011B2">
              <w:rPr>
                <w:rFonts w:ascii="Times New Roman" w:hAnsi="Times New Roman" w:cs="Times New Roman"/>
                <w:color w:val="000000" w:themeColor="text1"/>
                <w:lang w:val="ro-MD"/>
              </w:rPr>
              <w:t>   </w:t>
            </w:r>
            <w:r w:rsidR="00717370" w:rsidRPr="00C011B2">
              <w:rPr>
                <w:rFonts w:ascii="Times New Roman" w:hAnsi="Times New Roman" w:cs="Times New Roman"/>
                <w:color w:val="000000" w:themeColor="text1"/>
                <w:lang w:val="ro-MD"/>
              </w:rPr>
              <w:t xml:space="preserve">Băncile </w:t>
            </w:r>
            <w:r w:rsidR="009D7356" w:rsidRPr="00C011B2">
              <w:rPr>
                <w:rFonts w:ascii="Times New Roman" w:hAnsi="Times New Roman" w:cs="Times New Roman"/>
                <w:color w:val="000000" w:themeColor="text1"/>
                <w:lang w:val="ro-MD"/>
              </w:rPr>
              <w:t xml:space="preserve">notifică </w:t>
            </w:r>
            <w:r w:rsidR="00717370"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 xml:space="preserve"> cu privire la modul în care utilizează opțiunea prevăzută la </w:t>
            </w:r>
            <w:r w:rsidR="00717370" w:rsidRPr="00C011B2">
              <w:rPr>
                <w:rFonts w:ascii="Times New Roman" w:hAnsi="Times New Roman" w:cs="Times New Roman"/>
                <w:color w:val="000000" w:themeColor="text1"/>
                <w:lang w:val="ro-MD"/>
              </w:rPr>
              <w:t>pct.513</w:t>
            </w:r>
            <w:r w:rsidR="009D7356" w:rsidRPr="00C011B2">
              <w:rPr>
                <w:rFonts w:ascii="Times New Roman" w:hAnsi="Times New Roman" w:cs="Times New Roman"/>
                <w:color w:val="000000" w:themeColor="text1"/>
                <w:lang w:val="ro-MD"/>
              </w:rPr>
              <w:t>.</w:t>
            </w:r>
            <w:bookmarkEnd w:id="511"/>
          </w:p>
        </w:tc>
        <w:tc>
          <w:tcPr>
            <w:tcW w:w="450" w:type="pct"/>
          </w:tcPr>
          <w:p w14:paraId="696FF94D" w14:textId="461A54F7"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7BBDFEF"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22837FF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831FFB0"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357</w:t>
            </w:r>
          </w:p>
          <w:p w14:paraId="5B8CCA57" w14:textId="533E5FF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Poziții pe mărfuri</w:t>
            </w:r>
          </w:p>
        </w:tc>
        <w:tc>
          <w:tcPr>
            <w:tcW w:w="1692" w:type="pct"/>
            <w:shd w:val="clear" w:color="auto" w:fill="auto"/>
          </w:tcPr>
          <w:p w14:paraId="433B4EBC" w14:textId="20D61FCD" w:rsidR="009D7356" w:rsidRPr="00C011B2" w:rsidRDefault="00717370" w:rsidP="009D7356">
            <w:pPr>
              <w:spacing w:after="0" w:line="276" w:lineRule="auto"/>
              <w:jc w:val="both"/>
              <w:rPr>
                <w:rFonts w:ascii="Times New Roman" w:hAnsi="Times New Roman" w:cs="Times New Roman"/>
                <w:color w:val="000000" w:themeColor="text1"/>
                <w:lang w:val="ro-MD"/>
              </w:rPr>
            </w:pPr>
            <w:bookmarkStart w:id="512" w:name="_Hlk195100365"/>
            <w:r w:rsidRPr="00C011B2">
              <w:rPr>
                <w:rFonts w:ascii="Times New Roman" w:hAnsi="Times New Roman" w:cs="Times New Roman"/>
                <w:i/>
                <w:iCs/>
                <w:color w:val="000000" w:themeColor="text1"/>
                <w:lang w:val="ro-MD"/>
              </w:rPr>
              <w:t xml:space="preserve">Secțiunea 3. </w:t>
            </w:r>
            <w:r w:rsidR="009D7356" w:rsidRPr="00C011B2">
              <w:rPr>
                <w:rFonts w:ascii="Times New Roman" w:hAnsi="Times New Roman" w:cs="Times New Roman"/>
                <w:b/>
                <w:bCs/>
                <w:color w:val="000000" w:themeColor="text1"/>
                <w:lang w:val="ro-MD"/>
              </w:rPr>
              <w:t>Poziții pe mărfuri</w:t>
            </w:r>
            <w:bookmarkEnd w:id="512"/>
          </w:p>
        </w:tc>
        <w:tc>
          <w:tcPr>
            <w:tcW w:w="450" w:type="pct"/>
          </w:tcPr>
          <w:p w14:paraId="5548680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55CC87D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68791F7"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1B9C358" w14:textId="768A1D7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Fiecare poziție pe mărfuri sau pe instrumente financiare derivate pe mărfuri se exprimă în unități de măsură standard. Prețul spot pentru fiecare marfă se exprimă în moneda de raportare.</w:t>
            </w:r>
          </w:p>
        </w:tc>
        <w:tc>
          <w:tcPr>
            <w:tcW w:w="1692" w:type="pct"/>
            <w:shd w:val="clear" w:color="auto" w:fill="auto"/>
          </w:tcPr>
          <w:p w14:paraId="3E87C708" w14:textId="518EC49A" w:rsidR="009D7356" w:rsidRPr="00C011B2" w:rsidRDefault="00717370" w:rsidP="009D7356">
            <w:pPr>
              <w:spacing w:after="0" w:line="276" w:lineRule="auto"/>
              <w:jc w:val="both"/>
              <w:rPr>
                <w:rFonts w:ascii="Times New Roman" w:hAnsi="Times New Roman" w:cs="Times New Roman"/>
                <w:color w:val="000000" w:themeColor="text1"/>
                <w:lang w:val="ro-MD"/>
              </w:rPr>
            </w:pPr>
            <w:bookmarkStart w:id="513" w:name="_Hlk224812428"/>
            <w:r w:rsidRPr="00C011B2">
              <w:rPr>
                <w:rFonts w:ascii="Times New Roman" w:hAnsi="Times New Roman" w:cs="Times New Roman"/>
                <w:color w:val="000000" w:themeColor="text1"/>
                <w:lang w:val="ro-MD"/>
              </w:rPr>
              <w:t>515.</w:t>
            </w:r>
            <w:r w:rsidR="009D7356" w:rsidRPr="00C011B2">
              <w:rPr>
                <w:rFonts w:ascii="Times New Roman" w:hAnsi="Times New Roman" w:cs="Times New Roman"/>
                <w:color w:val="000000" w:themeColor="text1"/>
                <w:lang w:val="ro-MD"/>
              </w:rPr>
              <w:t>   Fiecare poziție pe mărfuri sau pe instrumente financiare derivate pe mărfuri se exprimă în unități de măsură standard. Prețul spot pentru fiecare marfă se exprimă în moneda de raportare.</w:t>
            </w:r>
            <w:bookmarkEnd w:id="513"/>
          </w:p>
        </w:tc>
        <w:tc>
          <w:tcPr>
            <w:tcW w:w="450" w:type="pct"/>
          </w:tcPr>
          <w:p w14:paraId="79EB635B" w14:textId="75024A2F"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64F980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2E356E9"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B2FB043" w14:textId="66BFE5E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Pentru calcularea riscului de marfă, pozițiile pe aur sau pe instrumente financiare derivate pe aur se consideră ca fiind supuse riscului valutar și se tratează conform capitolului 3 sau 5, după caz.</w:t>
            </w:r>
          </w:p>
        </w:tc>
        <w:tc>
          <w:tcPr>
            <w:tcW w:w="1692" w:type="pct"/>
            <w:shd w:val="clear" w:color="auto" w:fill="auto"/>
          </w:tcPr>
          <w:p w14:paraId="2F89BEE7" w14:textId="79CFDB11" w:rsidR="009D7356" w:rsidRPr="00C011B2" w:rsidRDefault="00717370" w:rsidP="009D7356">
            <w:pPr>
              <w:spacing w:after="0" w:line="276" w:lineRule="auto"/>
              <w:jc w:val="both"/>
              <w:rPr>
                <w:rFonts w:ascii="Times New Roman" w:hAnsi="Times New Roman" w:cs="Times New Roman"/>
                <w:color w:val="000000" w:themeColor="text1"/>
                <w:lang w:val="ro-MD"/>
              </w:rPr>
            </w:pPr>
            <w:bookmarkStart w:id="514" w:name="_Hlk224812543"/>
            <w:r w:rsidRPr="00C011B2">
              <w:rPr>
                <w:rFonts w:ascii="Times New Roman" w:hAnsi="Times New Roman" w:cs="Times New Roman"/>
                <w:color w:val="000000" w:themeColor="text1"/>
                <w:lang w:val="ro-MD"/>
              </w:rPr>
              <w:t>516.</w:t>
            </w:r>
            <w:r w:rsidR="009D7356" w:rsidRPr="00C011B2">
              <w:rPr>
                <w:rFonts w:ascii="Times New Roman" w:hAnsi="Times New Roman" w:cs="Times New Roman"/>
                <w:color w:val="000000" w:themeColor="text1"/>
                <w:lang w:val="ro-MD"/>
              </w:rPr>
              <w:t>   Pentru calcularea riscului de marfă, pozițiile pe aur sau pe instrumente financiare derivate pe aur se consideră ca fiind supuse riscului valutar și se tratează conform capitolului 3.</w:t>
            </w:r>
            <w:bookmarkEnd w:id="514"/>
          </w:p>
        </w:tc>
        <w:tc>
          <w:tcPr>
            <w:tcW w:w="450" w:type="pct"/>
          </w:tcPr>
          <w:p w14:paraId="526D5F1C" w14:textId="074106B8"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8E6A20B" w14:textId="7B530A37" w:rsidR="009D7356" w:rsidRPr="00C011B2" w:rsidRDefault="0013212D"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Partea a treia, titlul IV din Regulamentul UE nr.575/2013 nu conține capitolul 5. Astfel, trimiterea la acesta a fost exclusă.</w:t>
            </w:r>
          </w:p>
        </w:tc>
      </w:tr>
      <w:tr w:rsidR="009D7356" w:rsidRPr="00C011B2" w14:paraId="4A87850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584288" w14:textId="5A32126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În sensul articolului 360 alineatul (1), excedentul pozițiilor lungi ale unei instituții față de pozițiile sale scurte, sau invers, pe o marfă și pe contracte futures, opțiuni și warranturi identice pe marfa respectivă reprezintă poziția sa netă pe acea marfă. Pozițiile pe instrumente financiare derivate sunt tratate, așa cum se prevede la articolul 358, ca poziții pe marfa-suport.</w:t>
            </w:r>
          </w:p>
        </w:tc>
        <w:tc>
          <w:tcPr>
            <w:tcW w:w="1692" w:type="pct"/>
            <w:shd w:val="clear" w:color="auto" w:fill="auto"/>
          </w:tcPr>
          <w:p w14:paraId="30FD0E82" w14:textId="007284EA" w:rsidR="009D7356" w:rsidRPr="00C011B2" w:rsidRDefault="00803375" w:rsidP="009D7356">
            <w:pPr>
              <w:spacing w:after="0" w:line="276" w:lineRule="auto"/>
              <w:jc w:val="both"/>
              <w:rPr>
                <w:rFonts w:ascii="Times New Roman" w:hAnsi="Times New Roman" w:cs="Times New Roman"/>
                <w:color w:val="000000" w:themeColor="text1"/>
                <w:lang w:val="ro-MD"/>
              </w:rPr>
            </w:pPr>
            <w:bookmarkStart w:id="515" w:name="_Hlk224812561"/>
            <w:r w:rsidRPr="00C011B2">
              <w:rPr>
                <w:rFonts w:ascii="Times New Roman" w:hAnsi="Times New Roman" w:cs="Times New Roman"/>
                <w:color w:val="000000" w:themeColor="text1"/>
                <w:lang w:val="ro-MD"/>
              </w:rPr>
              <w:t>517.</w:t>
            </w:r>
            <w:r w:rsidR="009D7356" w:rsidRPr="00C011B2">
              <w:rPr>
                <w:rFonts w:ascii="Times New Roman" w:hAnsi="Times New Roman" w:cs="Times New Roman"/>
                <w:color w:val="000000" w:themeColor="text1"/>
                <w:lang w:val="ro-MD"/>
              </w:rPr>
              <w:t>   În sensul</w:t>
            </w:r>
            <w:r w:rsidR="00633D02" w:rsidRPr="00C011B2">
              <w:rPr>
                <w:rFonts w:ascii="Times New Roman" w:hAnsi="Times New Roman" w:cs="Times New Roman"/>
                <w:color w:val="000000" w:themeColor="text1"/>
                <w:lang w:val="ro-MD"/>
              </w:rPr>
              <w:t xml:space="preserve"> pct.530</w:t>
            </w:r>
            <w:r w:rsidR="009D7356" w:rsidRPr="00C011B2">
              <w:rPr>
                <w:rFonts w:ascii="Times New Roman" w:hAnsi="Times New Roman" w:cs="Times New Roman"/>
                <w:color w:val="000000" w:themeColor="text1"/>
                <w:lang w:val="ro-MD"/>
              </w:rPr>
              <w:t xml:space="preserve">, excedentul pozițiilor lungi ale unei </w:t>
            </w:r>
            <w:r w:rsidRPr="00C011B2">
              <w:rPr>
                <w:rFonts w:ascii="Times New Roman" w:hAnsi="Times New Roman" w:cs="Times New Roman"/>
                <w:color w:val="000000" w:themeColor="text1"/>
                <w:lang w:val="ro-MD"/>
              </w:rPr>
              <w:t xml:space="preserve">bănci </w:t>
            </w:r>
            <w:r w:rsidR="009D7356" w:rsidRPr="00C011B2">
              <w:rPr>
                <w:rFonts w:ascii="Times New Roman" w:hAnsi="Times New Roman" w:cs="Times New Roman"/>
                <w:color w:val="000000" w:themeColor="text1"/>
                <w:lang w:val="ro-MD"/>
              </w:rPr>
              <w:t xml:space="preserve">față de pozițiile sale scurte, sau invers, pe o marfă și pe contracte futures, opțiuni și warranturi identice pe marfa respectivă reprezintă poziția sa netă pe acea marfă. Pozițiile pe instrumente financiare derivate sunt tratate, așa cum se prevede la </w:t>
            </w:r>
            <w:r w:rsidR="00D22B66" w:rsidRPr="00C011B2">
              <w:rPr>
                <w:rFonts w:ascii="Times New Roman" w:hAnsi="Times New Roman" w:cs="Times New Roman"/>
                <w:color w:val="000000" w:themeColor="text1"/>
                <w:lang w:val="ro-MD"/>
              </w:rPr>
              <w:t>secțiunea 4</w:t>
            </w:r>
            <w:r w:rsidR="009D7356" w:rsidRPr="00C011B2">
              <w:rPr>
                <w:rFonts w:ascii="Times New Roman" w:hAnsi="Times New Roman" w:cs="Times New Roman"/>
                <w:color w:val="000000" w:themeColor="text1"/>
                <w:lang w:val="ro-MD"/>
              </w:rPr>
              <w:t>, ca poziții pe marfa-suport.</w:t>
            </w:r>
            <w:bookmarkEnd w:id="515"/>
          </w:p>
        </w:tc>
        <w:tc>
          <w:tcPr>
            <w:tcW w:w="450" w:type="pct"/>
          </w:tcPr>
          <w:p w14:paraId="7722666B" w14:textId="64AB83E7"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7DC004DD"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6E3A67B"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414558" w14:textId="0F415CC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În scopul calculării unei poziții pe o marfă, următoarele poziții sunt considerate poziții pe aceeași marfă:</w:t>
            </w:r>
          </w:p>
          <w:p w14:paraId="71B72DE9" w14:textId="59906C0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poziții pe diferite subcategorii de mărfuri în cazurile în care subcategoriile sunt livrabile una contra celeilalte;</w:t>
            </w:r>
          </w:p>
          <w:p w14:paraId="562CFA74" w14:textId="7D237AB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poziții pe mărfuri similare dacă acestea au caracteristici apropiate, putând fi substituite, și dacă poate fi stabilită în mod clar o corelație minimă de 0,9 între variațiile de preț, pe durata a minimum un an.</w:t>
            </w:r>
          </w:p>
        </w:tc>
        <w:tc>
          <w:tcPr>
            <w:tcW w:w="1692" w:type="pct"/>
            <w:shd w:val="clear" w:color="auto" w:fill="auto"/>
          </w:tcPr>
          <w:p w14:paraId="7DA6E1F3" w14:textId="4461BA0F" w:rsidR="009D7356" w:rsidRPr="00C011B2" w:rsidRDefault="00D22B66" w:rsidP="009D7356">
            <w:pPr>
              <w:spacing w:after="0" w:line="276" w:lineRule="auto"/>
              <w:jc w:val="both"/>
              <w:rPr>
                <w:rFonts w:ascii="Times New Roman" w:hAnsi="Times New Roman" w:cs="Times New Roman"/>
                <w:color w:val="000000" w:themeColor="text1"/>
                <w:lang w:val="ro-MD"/>
              </w:rPr>
            </w:pPr>
            <w:bookmarkStart w:id="516" w:name="_Hlk224812593"/>
            <w:r w:rsidRPr="00C011B2">
              <w:rPr>
                <w:rFonts w:ascii="Times New Roman" w:hAnsi="Times New Roman" w:cs="Times New Roman"/>
                <w:color w:val="000000" w:themeColor="text1"/>
                <w:lang w:val="ro-MD"/>
              </w:rPr>
              <w:t>518.</w:t>
            </w:r>
            <w:r w:rsidR="009D7356" w:rsidRPr="00C011B2">
              <w:rPr>
                <w:rFonts w:ascii="Times New Roman" w:hAnsi="Times New Roman" w:cs="Times New Roman"/>
                <w:color w:val="000000" w:themeColor="text1"/>
                <w:lang w:val="ro-MD"/>
              </w:rPr>
              <w:t>   În scopul calculării unei poziții pe o marfă, următoarele poziții sunt considerate poziții pe aceeași marfă:</w:t>
            </w:r>
          </w:p>
          <w:p w14:paraId="06372310" w14:textId="742B9C00" w:rsidR="009D7356" w:rsidRPr="00C011B2" w:rsidRDefault="00D22B6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518.1.</w:t>
            </w:r>
            <w:r w:rsidR="009D7356" w:rsidRPr="00C011B2">
              <w:rPr>
                <w:rFonts w:ascii="Times New Roman" w:hAnsi="Times New Roman" w:cs="Times New Roman"/>
                <w:color w:val="000000" w:themeColor="text1"/>
                <w:lang w:val="ro-MD"/>
              </w:rPr>
              <w:t> poziții pe diferite subcategorii de mărfuri în cazurile în care subcategoriile sunt livrabile una contra celeilalte;</w:t>
            </w:r>
          </w:p>
          <w:p w14:paraId="169112C7" w14:textId="480CAD67" w:rsidR="009D7356" w:rsidRPr="00C011B2" w:rsidRDefault="00D22B6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518.2.</w:t>
            </w:r>
            <w:r w:rsidR="009D7356" w:rsidRPr="00C011B2">
              <w:rPr>
                <w:rFonts w:ascii="Times New Roman" w:hAnsi="Times New Roman" w:cs="Times New Roman"/>
                <w:color w:val="000000" w:themeColor="text1"/>
                <w:lang w:val="ro-MD"/>
              </w:rPr>
              <w:t> poziții pe mărfuri similare dacă acestea au caracteristici apropiate, putând fi substituite, și dacă poate fi stabilită în mod clar o corelație minimă de 0,9 între variațiile de preț, pe durata a minimum un an.</w:t>
            </w:r>
            <w:bookmarkEnd w:id="516"/>
          </w:p>
        </w:tc>
        <w:tc>
          <w:tcPr>
            <w:tcW w:w="450" w:type="pct"/>
          </w:tcPr>
          <w:p w14:paraId="568A1F94" w14:textId="0FA9AB33"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BEA4EF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DF7E4D0"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FDF872A"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358</w:t>
            </w:r>
          </w:p>
          <w:p w14:paraId="14F8852B" w14:textId="134514FE"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Instrumente speciale</w:t>
            </w:r>
          </w:p>
        </w:tc>
        <w:tc>
          <w:tcPr>
            <w:tcW w:w="1692" w:type="pct"/>
            <w:shd w:val="clear" w:color="auto" w:fill="auto"/>
          </w:tcPr>
          <w:p w14:paraId="1D197CFE" w14:textId="261FA3D3" w:rsidR="009D7356" w:rsidRPr="00C011B2" w:rsidRDefault="00D22B66" w:rsidP="009D7356">
            <w:pPr>
              <w:spacing w:after="0" w:line="276" w:lineRule="auto"/>
              <w:jc w:val="both"/>
              <w:rPr>
                <w:rFonts w:ascii="Times New Roman" w:hAnsi="Times New Roman" w:cs="Times New Roman"/>
                <w:color w:val="000000" w:themeColor="text1"/>
                <w:lang w:val="ro-MD"/>
              </w:rPr>
            </w:pPr>
            <w:bookmarkStart w:id="517" w:name="_Hlk195100386"/>
            <w:r w:rsidRPr="00C011B2">
              <w:rPr>
                <w:rFonts w:ascii="Times New Roman" w:hAnsi="Times New Roman" w:cs="Times New Roman"/>
                <w:i/>
                <w:iCs/>
                <w:color w:val="000000" w:themeColor="text1"/>
                <w:lang w:val="ro-MD"/>
              </w:rPr>
              <w:t xml:space="preserve">Secțiunea 4. </w:t>
            </w:r>
            <w:r w:rsidR="009D7356" w:rsidRPr="00C011B2">
              <w:rPr>
                <w:rFonts w:ascii="Times New Roman" w:hAnsi="Times New Roman" w:cs="Times New Roman"/>
                <w:b/>
                <w:bCs/>
                <w:color w:val="000000" w:themeColor="text1"/>
                <w:lang w:val="ro-MD"/>
              </w:rPr>
              <w:t>Instrumente speciale</w:t>
            </w:r>
            <w:bookmarkEnd w:id="517"/>
          </w:p>
        </w:tc>
        <w:tc>
          <w:tcPr>
            <w:tcW w:w="450" w:type="pct"/>
          </w:tcPr>
          <w:p w14:paraId="75DCE2DA"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5F7C97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0A52D9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E75BB1" w14:textId="2D5FE53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Contractele futures pe mărfuri și angajamentele forward de a cumpăra sau de a vinde mărfuri individuale se încorporează în sistemul de cuantificare ca cuantumuri noționale exprimate în unități de măsură standard și li se atribuie o scadență în funcție de data expirării.</w:t>
            </w:r>
          </w:p>
        </w:tc>
        <w:tc>
          <w:tcPr>
            <w:tcW w:w="1692" w:type="pct"/>
            <w:shd w:val="clear" w:color="auto" w:fill="auto"/>
          </w:tcPr>
          <w:p w14:paraId="01B5A072" w14:textId="26DCA5C1" w:rsidR="009D7356" w:rsidRPr="00C011B2" w:rsidRDefault="00D22B66" w:rsidP="009D7356">
            <w:pPr>
              <w:spacing w:after="0" w:line="276" w:lineRule="auto"/>
              <w:jc w:val="both"/>
              <w:rPr>
                <w:rFonts w:ascii="Times New Roman" w:hAnsi="Times New Roman" w:cs="Times New Roman"/>
                <w:color w:val="000000" w:themeColor="text1"/>
                <w:lang w:val="ro-MD"/>
              </w:rPr>
            </w:pPr>
            <w:bookmarkStart w:id="518" w:name="_Hlk224812629"/>
            <w:r w:rsidRPr="00C011B2">
              <w:rPr>
                <w:rFonts w:ascii="Times New Roman" w:hAnsi="Times New Roman" w:cs="Times New Roman"/>
                <w:color w:val="000000" w:themeColor="text1"/>
                <w:lang w:val="ro-MD"/>
              </w:rPr>
              <w:t>519.</w:t>
            </w:r>
            <w:r w:rsidR="009D7356" w:rsidRPr="00C011B2">
              <w:rPr>
                <w:rFonts w:ascii="Times New Roman" w:hAnsi="Times New Roman" w:cs="Times New Roman"/>
                <w:color w:val="000000" w:themeColor="text1"/>
                <w:lang w:val="ro-MD"/>
              </w:rPr>
              <w:t>  Contractele futures pe mărfuri și angajamentele forward de a cumpăra sau de a vinde mărfuri individuale se încorporează în sistemul de cuantificare ca cuantumuri noționale exprimate în unități de măsură standard și li se atribuie o scadență în funcție de data expirării.</w:t>
            </w:r>
            <w:bookmarkEnd w:id="518"/>
          </w:p>
        </w:tc>
        <w:tc>
          <w:tcPr>
            <w:tcW w:w="450" w:type="pct"/>
          </w:tcPr>
          <w:p w14:paraId="2FD8F4BB" w14:textId="7CE5E2C0"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3131701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6F2EA4A"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C6D0E89" w14:textId="73BF8BB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(2)  Swapurile pe mărfuri, în care un segment al tranzacției este un preț fixat, iar celălalt este prețul de piață curent, sunt tratate ca o serie de poziții egale cu cuantumul noțional al contractului, o poziție corespunzând, unde este cazul, fiecărei plăți aferente swapului, și sunt încadrate în benzile de scadență prevăzute la articolul 359 alineatul (1). Pozițiile sunt poziții lungi dacă instituția plătește un preț fix și primește un preț variabil și sunt poziții scurte dacă instituția primește un preț fix și plătește un preț variabil. Swapurile pe mărfuri, în care segmentele tranzacției sunt pe mărfuri diferite, se raportează în benzile de scadență relevante pentru abordarea pe benzi de scadență.</w:t>
            </w:r>
          </w:p>
        </w:tc>
        <w:tc>
          <w:tcPr>
            <w:tcW w:w="1692" w:type="pct"/>
            <w:shd w:val="clear" w:color="auto" w:fill="auto"/>
          </w:tcPr>
          <w:p w14:paraId="4ED36327" w14:textId="4630C877" w:rsidR="009D7356" w:rsidRPr="00C011B2" w:rsidRDefault="00D22B66" w:rsidP="009D7356">
            <w:pPr>
              <w:spacing w:after="0" w:line="276" w:lineRule="auto"/>
              <w:jc w:val="both"/>
              <w:rPr>
                <w:rFonts w:ascii="Times New Roman" w:hAnsi="Times New Roman" w:cs="Times New Roman"/>
                <w:color w:val="000000" w:themeColor="text1"/>
                <w:lang w:val="ro-MD"/>
              </w:rPr>
            </w:pPr>
            <w:bookmarkStart w:id="519" w:name="_Hlk224812736"/>
            <w:r w:rsidRPr="00C011B2">
              <w:rPr>
                <w:rFonts w:ascii="Times New Roman" w:hAnsi="Times New Roman" w:cs="Times New Roman"/>
                <w:color w:val="000000" w:themeColor="text1"/>
                <w:lang w:val="ro-MD"/>
              </w:rPr>
              <w:t>520.</w:t>
            </w:r>
            <w:r w:rsidR="009D7356" w:rsidRPr="00C011B2">
              <w:rPr>
                <w:rFonts w:ascii="Times New Roman" w:hAnsi="Times New Roman" w:cs="Times New Roman"/>
                <w:color w:val="000000" w:themeColor="text1"/>
                <w:lang w:val="ro-MD"/>
              </w:rPr>
              <w:t xml:space="preserve">  Swapurile pe mărfuri, în care un segment al tranzacției este un preț fixat, iar celălalt este prețul de piață curent, sunt tratate ca o serie de poziții egale cu cuantumul noțional al contractului, o poziție corespunzând, unde este cazul, fiecărei plăți aferente swapului, și sunt încadrate în benzile de scadență prevăzute la </w:t>
            </w:r>
            <w:r w:rsidR="0013212D" w:rsidRPr="00C011B2">
              <w:rPr>
                <w:rFonts w:ascii="Times New Roman" w:hAnsi="Times New Roman" w:cs="Times New Roman"/>
                <w:color w:val="000000" w:themeColor="text1"/>
                <w:lang w:val="ro-MD"/>
              </w:rPr>
              <w:t>pct.524</w:t>
            </w:r>
            <w:r w:rsidR="009D7356" w:rsidRPr="00C011B2">
              <w:rPr>
                <w:rFonts w:ascii="Times New Roman" w:hAnsi="Times New Roman" w:cs="Times New Roman"/>
                <w:color w:val="000000" w:themeColor="text1"/>
                <w:lang w:val="ro-MD"/>
              </w:rPr>
              <w:t xml:space="preserve">. Pozițiile sunt poziții lungi dacă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plătește un preț fix și primește un preț variabil și sunt poziții scurte dacă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primește un preț fix și plătește un preț variabil. Swapurile pe mărfuri, în care segmentele tranzacției sunt pe mărfuri diferite, se raportează în benzile de scadență relevante pentru abordarea pe benzi de scadență.</w:t>
            </w:r>
            <w:bookmarkEnd w:id="519"/>
          </w:p>
        </w:tc>
        <w:tc>
          <w:tcPr>
            <w:tcW w:w="450" w:type="pct"/>
          </w:tcPr>
          <w:p w14:paraId="1E8FB0A7" w14:textId="1A38D3F7"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978B63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7EE3A9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1CBC7A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În sensul prezentului capitol, opțiunile și warranturile pe mărfuri sau pe instrumentele financiare derivate pe mărfuri se tratează ca și cum ar fi poziții egale în valoare cu suma aferentă instrumentului-suport la care se referă opțiunea, înmulțită cu valoarea delta aferentă. Pozițiile astfel obținute pot fi compensate cu orice poziții de semn opus pe mărfuri fungibile identice cu marfa fungibilă suport, sau pe instrumente financiare derivate pe mărfuri fungibile identice cu instrumentul financiar derivat-suport. Valoarea delta utilizată este cea a bursei în cauză. În </w:t>
            </w:r>
            <w:r w:rsidRPr="00C011B2">
              <w:rPr>
                <w:rFonts w:ascii="Times New Roman" w:hAnsi="Times New Roman" w:cs="Times New Roman"/>
                <w:color w:val="000000" w:themeColor="text1"/>
                <w:lang w:val="ro-MD"/>
              </w:rPr>
              <w:lastRenderedPageBreak/>
              <w:t>cazul opțiunilor pentru instrumente financiare derivate extrabursiere sau în cazul în care valoarea delta nu este disponibilă la bursa în cauză, instituția poate calcula ea însăși valoarea delta cu ajutorul unui model adecvat, cu aprobarea autorităților competente. Aprobarea se acordă dacă modelul estimează în mod adecvat rata de modificare a valorii opțiunii sau warrantului în raport cu modificări minore ale prețului de piață al suportului.</w:t>
            </w:r>
          </w:p>
          <w:p w14:paraId="4F4E8EF5" w14:textId="5A77E9C1"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reflectă în mod adecvat riscurile asociate cu opțiunile, altele decât riscul delta, în cerințele de fonduri proprii.</w:t>
            </w:r>
          </w:p>
        </w:tc>
        <w:tc>
          <w:tcPr>
            <w:tcW w:w="1692" w:type="pct"/>
            <w:shd w:val="clear" w:color="auto" w:fill="auto"/>
          </w:tcPr>
          <w:p w14:paraId="40688A25" w14:textId="79DD7C1B" w:rsidR="009D7356" w:rsidRPr="00C011B2" w:rsidRDefault="00D22B66" w:rsidP="009D7356">
            <w:pPr>
              <w:spacing w:after="0" w:line="276" w:lineRule="auto"/>
              <w:jc w:val="both"/>
              <w:rPr>
                <w:rFonts w:ascii="Times New Roman" w:hAnsi="Times New Roman" w:cs="Times New Roman"/>
                <w:color w:val="000000" w:themeColor="text1"/>
                <w:lang w:val="ro-MD"/>
              </w:rPr>
            </w:pPr>
            <w:bookmarkStart w:id="520" w:name="_Hlk224812752"/>
            <w:r w:rsidRPr="00C011B2">
              <w:rPr>
                <w:rFonts w:ascii="Times New Roman" w:hAnsi="Times New Roman" w:cs="Times New Roman"/>
                <w:color w:val="000000" w:themeColor="text1"/>
                <w:lang w:val="ro-MD"/>
              </w:rPr>
              <w:lastRenderedPageBreak/>
              <w:t>521.</w:t>
            </w:r>
            <w:r w:rsidR="009D7356" w:rsidRPr="00C011B2">
              <w:rPr>
                <w:rFonts w:ascii="Times New Roman" w:hAnsi="Times New Roman" w:cs="Times New Roman"/>
                <w:color w:val="000000" w:themeColor="text1"/>
                <w:lang w:val="ro-MD"/>
              </w:rPr>
              <w:t xml:space="preserve">   În sensul prezentului capitol, opțiunile și warranturile pe mărfuri sau pe instrumentele financiare derivate pe mărfuri se tratează ca și cum ar fi poziții egale în valoare cu suma aferentă instrumentului-suport la care se referă opțiunea, înmulțită cu valoarea delta aferentă. Pozițiile astfel obținute pot fi compensate cu orice poziții de semn opus pe mărfuri fungibile identice cu marfa fungibilă suport, sau pe instrumente financiare derivate pe mărfuri fungibile identice cu instrumentul financiar derivat-suport. Valoarea delta utilizată este cea a bursei în cauză. În cazul opțiunilor pentru instrumente financiare </w:t>
            </w:r>
            <w:r w:rsidR="009D7356" w:rsidRPr="00C011B2">
              <w:rPr>
                <w:rFonts w:ascii="Times New Roman" w:hAnsi="Times New Roman" w:cs="Times New Roman"/>
                <w:color w:val="000000" w:themeColor="text1"/>
                <w:lang w:val="ro-MD"/>
              </w:rPr>
              <w:lastRenderedPageBreak/>
              <w:t xml:space="preserve">derivate extrabursiere sau în cazul în care valoarea delta nu este disponibilă la bursa în cauză,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 xml:space="preserve">poate calcula ea însăși valoarea delta cu ajutorul unui model adecvat, cu aprobarea </w:t>
            </w:r>
            <w:r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 Aprobarea se acordă dacă modelul estimează în mod adecvat rata de modificare a valorii opțiunii sau warrantului în raport cu modificări minore ale prețului de piață al suportului.</w:t>
            </w:r>
          </w:p>
          <w:p w14:paraId="13CF317C" w14:textId="40EF03DB" w:rsidR="009D7356" w:rsidRPr="00C011B2" w:rsidRDefault="00D22B66" w:rsidP="009D7356">
            <w:pPr>
              <w:spacing w:after="0" w:line="276" w:lineRule="auto"/>
              <w:jc w:val="both"/>
              <w:rPr>
                <w:rFonts w:ascii="Times New Roman" w:hAnsi="Times New Roman" w:cs="Times New Roman"/>
                <w:color w:val="000000" w:themeColor="text1"/>
                <w:lang w:val="ro-MD"/>
              </w:rPr>
            </w:pPr>
            <w:bookmarkStart w:id="521" w:name="_Hlk224812791"/>
            <w:bookmarkEnd w:id="520"/>
            <w:r w:rsidRPr="00C011B2">
              <w:rPr>
                <w:rFonts w:ascii="Times New Roman" w:hAnsi="Times New Roman" w:cs="Times New Roman"/>
                <w:color w:val="000000" w:themeColor="text1"/>
                <w:lang w:val="ro-MD"/>
              </w:rPr>
              <w:t xml:space="preserve">522. Băncile </w:t>
            </w:r>
            <w:r w:rsidR="009D7356" w:rsidRPr="00C011B2">
              <w:rPr>
                <w:rFonts w:ascii="Times New Roman" w:hAnsi="Times New Roman" w:cs="Times New Roman"/>
                <w:color w:val="000000" w:themeColor="text1"/>
                <w:lang w:val="ro-MD"/>
              </w:rPr>
              <w:t>reflectă în mod adecvat riscurile asociate cu opțiunile, altele decât riscul delta, în cerințele de fonduri proprii</w:t>
            </w:r>
            <w:r w:rsidR="009B3E04" w:rsidRPr="00C011B2">
              <w:rPr>
                <w:rFonts w:ascii="Times New Roman" w:hAnsi="Times New Roman" w:cs="Times New Roman"/>
                <w:color w:val="000000" w:themeColor="text1"/>
                <w:lang w:val="ro-MD"/>
              </w:rPr>
              <w:t xml:space="preserve"> în conformitate cu metodele prevăzute în anexa nr.5</w:t>
            </w:r>
            <w:r w:rsidR="009D7356" w:rsidRPr="00C011B2">
              <w:rPr>
                <w:rFonts w:ascii="Times New Roman" w:hAnsi="Times New Roman" w:cs="Times New Roman"/>
                <w:color w:val="000000" w:themeColor="text1"/>
                <w:lang w:val="ro-MD"/>
              </w:rPr>
              <w:t>.</w:t>
            </w:r>
            <w:bookmarkEnd w:id="521"/>
          </w:p>
        </w:tc>
        <w:tc>
          <w:tcPr>
            <w:tcW w:w="450" w:type="pct"/>
          </w:tcPr>
          <w:p w14:paraId="0EAA2BC8" w14:textId="11287A15"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15E40F1"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85B8B7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C9E523A" w14:textId="508FD41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(4)  ABE elaborează proiecte de standarde tehnice de reglementare care definesc o serie de metode pentru reflectarea în cerințele de fonduri proprii a riscurilor, altele decât riscul delta, într-o manieră proporțională cu amploarea și complexitatea activităților instituțiilor în ceea ce privește opțiunile.</w:t>
            </w:r>
          </w:p>
          <w:p w14:paraId="60C580F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ABE transmite Comisiei aceste proiecte de standarde tehnice de reglementare până la 31 decembrie 2013.</w:t>
            </w:r>
          </w:p>
          <w:p w14:paraId="13F1745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Se deleagă Comisiei competența de a adopta standardele tehnice de reglementare menționate la primul paragraf, în conformitate cu articolele 10-14 din Regulamentul (UE) nr. 1093/2010.</w:t>
            </w:r>
          </w:p>
          <w:p w14:paraId="1C297747" w14:textId="6F47420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Înainte de intrarea în vigoare a standardelor tehnice menționate la primul paragraf, autoritățile competente </w:t>
            </w:r>
            <w:r w:rsidRPr="00C011B2">
              <w:rPr>
                <w:rFonts w:ascii="Times New Roman" w:hAnsi="Times New Roman" w:cs="Times New Roman"/>
                <w:color w:val="000000" w:themeColor="text1"/>
                <w:lang w:val="ro-MD"/>
              </w:rPr>
              <w:lastRenderedPageBreak/>
              <w:t>pot continua să aplice tratamentele naționale existente în cazul în care au aplicat aceste tratamente înainte de 31 decembrie 2013.</w:t>
            </w:r>
          </w:p>
        </w:tc>
        <w:tc>
          <w:tcPr>
            <w:tcW w:w="1692" w:type="pct"/>
            <w:shd w:val="clear" w:color="auto" w:fill="auto"/>
          </w:tcPr>
          <w:p w14:paraId="7DD190FE" w14:textId="1F31A48F"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6BB454EF" w14:textId="40F87D0C"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Prevederi UE neaplicabile</w:t>
            </w:r>
          </w:p>
        </w:tc>
        <w:tc>
          <w:tcPr>
            <w:tcW w:w="1261" w:type="pct"/>
          </w:tcPr>
          <w:p w14:paraId="002B4DFD" w14:textId="4A29CE63" w:rsidR="009D7356" w:rsidRPr="00C011B2" w:rsidRDefault="009D7356"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bCs/>
                <w:color w:val="000000" w:themeColor="text1"/>
                <w:lang w:val="ro-MD"/>
              </w:rPr>
              <w:t>Alin.(4) stabilește obligații pentru autorități europene – Autoritatea Bancară Europeană.</w:t>
            </w:r>
          </w:p>
        </w:tc>
      </w:tr>
      <w:tr w:rsidR="009D7356" w:rsidRPr="00C011B2" w14:paraId="55D516B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DFAA1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Dacă o instituție are una dintre calitățile de mai jos, aceasta include mărfurile în cauză în calculul cerinței de fonduri proprii pentru riscul de marfă:</w:t>
            </w:r>
          </w:p>
          <w:p w14:paraId="3F8C4D0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cedent de mărfuri sau drepturi garantate referitoare la proprietatea mărfurilor în cadrul unui acord repo;</w:t>
            </w:r>
          </w:p>
          <w:p w14:paraId="3BC8C34A" w14:textId="1BBBE7D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împrumutător de mărfuri în cadrul unui contract de dare de mărfuri cu împrumut.</w:t>
            </w:r>
          </w:p>
        </w:tc>
        <w:tc>
          <w:tcPr>
            <w:tcW w:w="1692" w:type="pct"/>
            <w:shd w:val="clear" w:color="auto" w:fill="auto"/>
          </w:tcPr>
          <w:p w14:paraId="752EF2EC" w14:textId="0C732EDA"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22" w:name="_Hlk224812817"/>
            <w:r w:rsidRPr="00C011B2">
              <w:rPr>
                <w:rFonts w:ascii="Times New Roman" w:hAnsi="Times New Roman" w:cs="Times New Roman"/>
                <w:color w:val="000000" w:themeColor="text1"/>
                <w:lang w:val="ro-MD"/>
              </w:rPr>
              <w:t>523.</w:t>
            </w:r>
            <w:r w:rsidR="009D7356" w:rsidRPr="00C011B2">
              <w:rPr>
                <w:rFonts w:ascii="Times New Roman" w:hAnsi="Times New Roman" w:cs="Times New Roman"/>
                <w:color w:val="000000" w:themeColor="text1"/>
                <w:lang w:val="ro-MD"/>
              </w:rPr>
              <w:t xml:space="preserve">   Dacă o </w:t>
            </w:r>
            <w:r w:rsidRPr="00C011B2">
              <w:rPr>
                <w:rFonts w:ascii="Times New Roman" w:hAnsi="Times New Roman" w:cs="Times New Roman"/>
                <w:color w:val="000000" w:themeColor="text1"/>
                <w:lang w:val="ro-MD"/>
              </w:rPr>
              <w:t xml:space="preserve">bancă </w:t>
            </w:r>
            <w:r w:rsidR="009D7356" w:rsidRPr="00C011B2">
              <w:rPr>
                <w:rFonts w:ascii="Times New Roman" w:hAnsi="Times New Roman" w:cs="Times New Roman"/>
                <w:color w:val="000000" w:themeColor="text1"/>
                <w:lang w:val="ro-MD"/>
              </w:rPr>
              <w:t>are una dintre calitățile de mai jos, aceasta include mărfurile în cauză în calculul cerinței de fonduri proprii pentru riscul de marfă:</w:t>
            </w:r>
          </w:p>
          <w:p w14:paraId="252A41D5" w14:textId="39D91FE9"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523.1.</w:t>
            </w:r>
            <w:r w:rsidR="009D7356" w:rsidRPr="00C011B2">
              <w:rPr>
                <w:rFonts w:ascii="Times New Roman" w:hAnsi="Times New Roman" w:cs="Times New Roman"/>
                <w:color w:val="000000" w:themeColor="text1"/>
                <w:lang w:val="ro-MD"/>
              </w:rPr>
              <w:t> cedent de mărfuri sau drepturi garantate referitoare la proprietatea mărfurilor în cadrul unui acord repo;</w:t>
            </w:r>
          </w:p>
          <w:p w14:paraId="1FF8B4B1" w14:textId="59AA08C2"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523.2.</w:t>
            </w:r>
            <w:r w:rsidR="009D7356" w:rsidRPr="00C011B2">
              <w:rPr>
                <w:rFonts w:ascii="Times New Roman" w:hAnsi="Times New Roman" w:cs="Times New Roman"/>
                <w:color w:val="000000" w:themeColor="text1"/>
                <w:lang w:val="ro-MD"/>
              </w:rPr>
              <w:t> împrumutător de mărfuri în cadrul unui contract de dare de mărfuri cu împrumut.</w:t>
            </w:r>
            <w:bookmarkEnd w:id="522"/>
          </w:p>
        </w:tc>
        <w:tc>
          <w:tcPr>
            <w:tcW w:w="450" w:type="pct"/>
          </w:tcPr>
          <w:p w14:paraId="2338B6BB" w14:textId="58E038D1"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51C6E1E6"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5359631"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117B30"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359</w:t>
            </w:r>
          </w:p>
          <w:p w14:paraId="0CC539E7" w14:textId="09EC088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Abordarea pe benzi de scadență</w:t>
            </w:r>
          </w:p>
        </w:tc>
        <w:tc>
          <w:tcPr>
            <w:tcW w:w="1692" w:type="pct"/>
            <w:shd w:val="clear" w:color="auto" w:fill="auto"/>
          </w:tcPr>
          <w:p w14:paraId="054B0174" w14:textId="180C0161"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23" w:name="_Hlk224812843"/>
            <w:bookmarkStart w:id="524" w:name="_Hlk195100413"/>
            <w:r w:rsidRPr="00C011B2">
              <w:rPr>
                <w:rFonts w:ascii="Times New Roman" w:hAnsi="Times New Roman" w:cs="Times New Roman"/>
                <w:i/>
                <w:iCs/>
                <w:color w:val="000000" w:themeColor="text1"/>
                <w:lang w:val="ro-MD"/>
              </w:rPr>
              <w:t xml:space="preserve">Secțiunea 5. </w:t>
            </w:r>
            <w:r w:rsidR="009D7356" w:rsidRPr="00C011B2">
              <w:rPr>
                <w:rFonts w:ascii="Times New Roman" w:hAnsi="Times New Roman" w:cs="Times New Roman"/>
                <w:b/>
                <w:bCs/>
                <w:color w:val="000000" w:themeColor="text1"/>
                <w:lang w:val="ro-MD"/>
              </w:rPr>
              <w:t xml:space="preserve">Abordarea pe benzi de </w:t>
            </w:r>
            <w:bookmarkStart w:id="525" w:name="_Hlk224812858"/>
            <w:r w:rsidR="009D7356" w:rsidRPr="00C011B2">
              <w:rPr>
                <w:rFonts w:ascii="Times New Roman" w:hAnsi="Times New Roman" w:cs="Times New Roman"/>
                <w:b/>
                <w:bCs/>
                <w:color w:val="000000" w:themeColor="text1"/>
                <w:lang w:val="ro-MD"/>
              </w:rPr>
              <w:t>sc</w:t>
            </w:r>
            <w:bookmarkEnd w:id="523"/>
            <w:r w:rsidR="009D7356" w:rsidRPr="00C011B2">
              <w:rPr>
                <w:rFonts w:ascii="Times New Roman" w:hAnsi="Times New Roman" w:cs="Times New Roman"/>
                <w:b/>
                <w:bCs/>
                <w:color w:val="000000" w:themeColor="text1"/>
                <w:lang w:val="ro-MD"/>
              </w:rPr>
              <w:t>adență</w:t>
            </w:r>
            <w:bookmarkEnd w:id="524"/>
            <w:bookmarkEnd w:id="525"/>
          </w:p>
        </w:tc>
        <w:tc>
          <w:tcPr>
            <w:tcW w:w="450" w:type="pct"/>
          </w:tcPr>
          <w:p w14:paraId="29836AE7"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31A8D66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0127E83"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39EB38F" w14:textId="7C48CAFB" w:rsidR="009D7356" w:rsidRPr="00C011B2" w:rsidRDefault="009D7356" w:rsidP="009D7356">
            <w:pPr>
              <w:spacing w:after="0" w:line="276" w:lineRule="auto"/>
              <w:jc w:val="both"/>
              <w:rPr>
                <w:rFonts w:ascii="Times New Roman" w:hAnsi="Times New Roman" w:cs="Times New Roman"/>
                <w:color w:val="000000" w:themeColor="text1"/>
                <w:lang w:val="ro-MD"/>
              </w:rPr>
            </w:pPr>
            <w:bookmarkStart w:id="526" w:name="_Hlk224812887"/>
            <w:r w:rsidRPr="00C011B2">
              <w:rPr>
                <w:rFonts w:ascii="Times New Roman" w:hAnsi="Times New Roman" w:cs="Times New Roman"/>
                <w:color w:val="000000" w:themeColor="text1"/>
                <w:lang w:val="ro-MD"/>
              </w:rPr>
              <w:t>(1)   Instituția utilizează un tabel cu benzi de scadență, separat pentru fiecare marfă, conform tabelului 1. Toate pozițiile pe acea marfă se încadrează în benzile de scadență corespunzătoare. Stocurile fizice se încadrează pe prima bandă de scadență, între 0 și 1 lună, inclusiv.</w:t>
            </w:r>
          </w:p>
          <w:p w14:paraId="6A5B5155"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26"/>
              <w:gridCol w:w="1674"/>
            </w:tblGrid>
            <w:tr w:rsidR="009D7356" w:rsidRPr="00C011B2" w14:paraId="56A120D5"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4C28A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Bandă de scadență</w:t>
                  </w:r>
                </w:p>
                <w:p w14:paraId="20C09BC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243C71"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spread (%)</w:t>
                  </w:r>
                </w:p>
                <w:p w14:paraId="412F822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(2)</w:t>
                  </w:r>
                </w:p>
              </w:tc>
            </w:tr>
            <w:tr w:rsidR="009D7356" w:rsidRPr="00C011B2" w14:paraId="728246BD"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55F3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 1 lună</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2F15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7F5CCB7F"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E0A54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3 luni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1DF9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23EA5746"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F7C73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6 luni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1669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0419B642"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2E1C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6 ≤ 12 luni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CAF3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563E0BDF"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1B21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&gt; 1 ≤ 2 ani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99AA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0BC05E9C"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5A4DB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2 ≤ 3 ani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542C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08A75D8E" w14:textId="77777777" w:rsidTr="006B4A67">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A399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ani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81766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bl>
          <w:p w14:paraId="7A898D3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1692" w:type="pct"/>
            <w:shd w:val="clear" w:color="auto" w:fill="auto"/>
          </w:tcPr>
          <w:p w14:paraId="163C313E" w14:textId="7B5B5BF1"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27" w:name="_Hlk224812919"/>
            <w:r w:rsidRPr="00C011B2">
              <w:rPr>
                <w:rFonts w:ascii="Times New Roman" w:hAnsi="Times New Roman" w:cs="Times New Roman"/>
                <w:color w:val="000000" w:themeColor="text1"/>
                <w:lang w:val="ro-MD"/>
              </w:rPr>
              <w:lastRenderedPageBreak/>
              <w:t>524.</w:t>
            </w:r>
            <w:r w:rsidR="009D7356" w:rsidRPr="00C011B2">
              <w:rPr>
                <w:rFonts w:ascii="Times New Roman" w:hAnsi="Times New Roman" w:cs="Times New Roman"/>
                <w:color w:val="000000" w:themeColor="text1"/>
                <w:lang w:val="ro-MD"/>
              </w:rPr>
              <w:t>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utilizează un tabel cu benzi de scadență, separat pentru fiecare marfă, conform tabelului 1. Toate pozițiile pe acea marfă se încadrează în benzile de scadență corespunzătoare. Stocurile fizice se încadrează pe prima bandă de scadență, între 0 și 1 lună, inclusiv.</w:t>
            </w:r>
            <w:bookmarkEnd w:id="527"/>
          </w:p>
          <w:p w14:paraId="1E39CCE0"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528" w:name="_Hlk224812941"/>
            <w:r w:rsidRPr="00C011B2">
              <w:rPr>
                <w:rFonts w:ascii="Times New Roman" w:hAnsi="Times New Roman" w:cs="Times New Roman"/>
                <w:b/>
                <w:bCs/>
                <w:color w:val="000000" w:themeColor="text1"/>
                <w:lang w:val="ro-MD"/>
              </w:rPr>
              <w:t>Tabelul 1</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26"/>
              <w:gridCol w:w="1674"/>
            </w:tblGrid>
            <w:tr w:rsidR="009D7356" w:rsidRPr="00C011B2" w14:paraId="55F04C89"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756D71"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Bandă de scadență</w:t>
                  </w:r>
                </w:p>
                <w:p w14:paraId="75F4472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(1)</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5A07A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spread (%)</w:t>
                  </w:r>
                </w:p>
                <w:p w14:paraId="13E51200"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(2)</w:t>
                  </w:r>
                </w:p>
              </w:tc>
            </w:tr>
            <w:tr w:rsidR="009D7356" w:rsidRPr="00C011B2" w14:paraId="2E5EB7E4"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B508F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 ≤ 1 lună</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2707B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17F420EA"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16E3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3 luni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ADE9E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01BB17D5"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F662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 6 luni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DF7D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1D0F4CA2"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DF69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6 ≤ 12 luni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389DE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1D1C850E"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BAAC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1 ≤ 2 ani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D3A2E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181D7A6F"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9327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&gt; 2 ≤ 3 ani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1EAE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tr w:rsidR="009D7356" w:rsidRPr="00C011B2" w14:paraId="6674FE36" w14:textId="77777777" w:rsidTr="001E785F">
              <w:trPr>
                <w:jc w:val="center"/>
              </w:trPr>
              <w:tc>
                <w:tcPr>
                  <w:tcW w:w="19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EB7F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&gt; 3 ani</w:t>
                  </w:r>
                </w:p>
              </w:tc>
              <w:tc>
                <w:tcPr>
                  <w:tcW w:w="16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5193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1,50</w:t>
                  </w:r>
                </w:p>
              </w:tc>
            </w:tr>
            <w:bookmarkEnd w:id="528"/>
          </w:tbl>
          <w:p w14:paraId="09FC5A7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31266F80" w14:textId="158B4051"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2A90622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bookmarkEnd w:id="526"/>
      <w:tr w:rsidR="009D7356" w:rsidRPr="00C011B2" w14:paraId="5203F7DC"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B8262E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Pozițiile pe aceeași marfă pot fi compensate și pot fi încadrate pe benzile de scadență corespunzătoare pe bază netă pentru:</w:t>
            </w:r>
          </w:p>
          <w:p w14:paraId="64198AB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pozițiile pe contracte care au scadența la aceeași dată;</w:t>
            </w:r>
          </w:p>
          <w:p w14:paraId="6C34B9BD" w14:textId="394D53B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pozițiile pe contracte care înregistrează unul față de celălalt o diferență de scadență de maximum 10 zile, dacă contractele sunt tranzacționate pe piețe care au date de livrare zilnice.</w:t>
            </w:r>
          </w:p>
        </w:tc>
        <w:tc>
          <w:tcPr>
            <w:tcW w:w="1692" w:type="pct"/>
            <w:shd w:val="clear" w:color="auto" w:fill="auto"/>
          </w:tcPr>
          <w:p w14:paraId="31495667" w14:textId="03A72BA0"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29" w:name="_Hlk224812969"/>
            <w:r w:rsidRPr="00C011B2">
              <w:rPr>
                <w:rFonts w:ascii="Times New Roman" w:hAnsi="Times New Roman" w:cs="Times New Roman"/>
                <w:color w:val="000000" w:themeColor="text1"/>
                <w:lang w:val="ro-MD"/>
              </w:rPr>
              <w:t>525.</w:t>
            </w:r>
            <w:r w:rsidR="009D7356" w:rsidRPr="00C011B2">
              <w:rPr>
                <w:rFonts w:ascii="Times New Roman" w:hAnsi="Times New Roman" w:cs="Times New Roman"/>
                <w:color w:val="000000" w:themeColor="text1"/>
                <w:lang w:val="ro-MD"/>
              </w:rPr>
              <w:t>   Pozițiile pe aceeași marfă pot fi compensate și pot fi încadrate pe benzile de scadență corespunzătoare pe bază netă pentru:</w:t>
            </w:r>
          </w:p>
          <w:p w14:paraId="65847FC3" w14:textId="3F414A94"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525.1.</w:t>
            </w:r>
            <w:r w:rsidR="009D7356" w:rsidRPr="00C011B2">
              <w:rPr>
                <w:rFonts w:ascii="Times New Roman" w:hAnsi="Times New Roman" w:cs="Times New Roman"/>
                <w:color w:val="000000" w:themeColor="text1"/>
                <w:lang w:val="ro-MD"/>
              </w:rPr>
              <w:t> pozițiile pe contracte care au scadența la aceeași dată;</w:t>
            </w:r>
          </w:p>
          <w:p w14:paraId="3DC667B8" w14:textId="46D6E51C"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525.2.</w:t>
            </w:r>
            <w:r w:rsidR="009D7356" w:rsidRPr="00C011B2">
              <w:rPr>
                <w:rFonts w:ascii="Times New Roman" w:hAnsi="Times New Roman" w:cs="Times New Roman"/>
                <w:color w:val="000000" w:themeColor="text1"/>
                <w:lang w:val="ro-MD"/>
              </w:rPr>
              <w:t> pozițiile pe contracte care înregistrează unul față de celălalt o diferență de scadență de maximum 10 zile, dacă contractele sunt tranzacționate pe piețe care au date de livrare zilnice.</w:t>
            </w:r>
            <w:bookmarkEnd w:id="529"/>
          </w:p>
        </w:tc>
        <w:tc>
          <w:tcPr>
            <w:tcW w:w="450" w:type="pct"/>
          </w:tcPr>
          <w:p w14:paraId="7F85D296" w14:textId="69806838"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4BECAF0A"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57001EBE"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C4DD135" w14:textId="2770A50A"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(3)   Apoi, instituția calculează suma pozițiilor lungi și suma pozițiilor scurte în fiecare bandă de scadență. Suma pozițiilor lungi puse în corespondență cu pozițiile scurte într-o anumită bandă de scadență reprezintă pozițiile puse în corespondență în acea bandă de scadență, în timp ce poziția reziduală lungă sau scurtă reprezintă poziția nepusă în corespondență pentru aceeași bandă.</w:t>
            </w:r>
          </w:p>
        </w:tc>
        <w:tc>
          <w:tcPr>
            <w:tcW w:w="1692" w:type="pct"/>
            <w:shd w:val="clear" w:color="auto" w:fill="auto"/>
          </w:tcPr>
          <w:p w14:paraId="505FE56D" w14:textId="182D9523"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30" w:name="_Hlk224813008"/>
            <w:r w:rsidRPr="00C011B2">
              <w:rPr>
                <w:rFonts w:ascii="Times New Roman" w:hAnsi="Times New Roman" w:cs="Times New Roman"/>
                <w:color w:val="000000" w:themeColor="text1"/>
                <w:lang w:val="ro-MD"/>
              </w:rPr>
              <w:t>526.</w:t>
            </w:r>
            <w:r w:rsidR="009D7356" w:rsidRPr="00C011B2">
              <w:rPr>
                <w:rFonts w:ascii="Times New Roman" w:hAnsi="Times New Roman" w:cs="Times New Roman"/>
                <w:color w:val="000000" w:themeColor="text1"/>
                <w:lang w:val="ro-MD"/>
              </w:rPr>
              <w:t xml:space="preserve">   Apoi, </w:t>
            </w:r>
            <w:r w:rsidRPr="00C011B2">
              <w:rPr>
                <w:rFonts w:ascii="Times New Roman" w:hAnsi="Times New Roman" w:cs="Times New Roman"/>
                <w:color w:val="000000" w:themeColor="text1"/>
                <w:lang w:val="ro-MD"/>
              </w:rPr>
              <w:t xml:space="preserve">banca </w:t>
            </w:r>
            <w:r w:rsidR="009D7356" w:rsidRPr="00C011B2">
              <w:rPr>
                <w:rFonts w:ascii="Times New Roman" w:hAnsi="Times New Roman" w:cs="Times New Roman"/>
                <w:color w:val="000000" w:themeColor="text1"/>
                <w:lang w:val="ro-MD"/>
              </w:rPr>
              <w:t>calculează suma pozițiilor lungi și suma pozițiilor scurte în fiecare bandă de scadență. Suma pozițiilor lungi puse în corespondență cu pozițiile scurte într-o anumită bandă de scadență reprezintă pozițiile puse în corespondență în acea bandă de scadență, în timp ce poziția reziduală lungă sau scurtă reprezintă poziția nepusă în corespondență pentru aceeași bandă.</w:t>
            </w:r>
            <w:bookmarkEnd w:id="530"/>
          </w:p>
        </w:tc>
        <w:tc>
          <w:tcPr>
            <w:tcW w:w="450" w:type="pct"/>
          </w:tcPr>
          <w:p w14:paraId="09F15427" w14:textId="7E2B0F19"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A360F9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34218BF4"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4869D5E" w14:textId="62A5341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(4)   Acea parte a poziției lungi, nepusă în corespondență în cadrul unei anumite benzi de scadență, care este, mai departe, pusă în corespondență cu poziția scurtă, nepusă în corespondență în cadrul unei benzi de scadență, sau invers, reprezintă poziția </w:t>
            </w:r>
            <w:r w:rsidRPr="00C011B2">
              <w:rPr>
                <w:rFonts w:ascii="Times New Roman" w:hAnsi="Times New Roman" w:cs="Times New Roman"/>
                <w:color w:val="000000" w:themeColor="text1"/>
                <w:lang w:val="ro-MD"/>
              </w:rPr>
              <w:lastRenderedPageBreak/>
              <w:t>pusă în corespondență între două benzi de scadență. Acea parte a poziției lungi sau scurte, nepusă în corespondență, care nu poate fi astfel pusă în corespondență, reprezintă poziția nepusă în corespondență.</w:t>
            </w:r>
          </w:p>
        </w:tc>
        <w:tc>
          <w:tcPr>
            <w:tcW w:w="1692" w:type="pct"/>
            <w:shd w:val="clear" w:color="auto" w:fill="auto"/>
          </w:tcPr>
          <w:p w14:paraId="1B500EF2" w14:textId="27BF1777"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31" w:name="_Hlk224813026"/>
            <w:r w:rsidRPr="00C011B2">
              <w:rPr>
                <w:rFonts w:ascii="Times New Roman" w:hAnsi="Times New Roman" w:cs="Times New Roman"/>
                <w:color w:val="000000" w:themeColor="text1"/>
                <w:lang w:val="ro-MD"/>
              </w:rPr>
              <w:lastRenderedPageBreak/>
              <w:t>527.</w:t>
            </w:r>
            <w:r w:rsidR="009D7356" w:rsidRPr="00C011B2">
              <w:rPr>
                <w:rFonts w:ascii="Times New Roman" w:hAnsi="Times New Roman" w:cs="Times New Roman"/>
                <w:color w:val="000000" w:themeColor="text1"/>
                <w:lang w:val="ro-MD"/>
              </w:rPr>
              <w:t xml:space="preserve">   Acea parte a poziției lungi, nepusă în corespondență în cadrul unei anumite benzi de scadență, care este, mai departe, pusă în corespondență cu poziția scurtă, nepusă în corespondență în cadrul unei benzi de scadență, sau invers, reprezintă poziția pusă în corespondență între două benzi </w:t>
            </w:r>
            <w:r w:rsidR="009D7356" w:rsidRPr="00C011B2">
              <w:rPr>
                <w:rFonts w:ascii="Times New Roman" w:hAnsi="Times New Roman" w:cs="Times New Roman"/>
                <w:color w:val="000000" w:themeColor="text1"/>
                <w:lang w:val="ro-MD"/>
              </w:rPr>
              <w:lastRenderedPageBreak/>
              <w:t>de scadență. Acea parte a poziției lungi sau scurte, nepusă în corespondență, care nu poate fi astfel pusă în corespondență, reprezintă poziția nepusă în corespondență.</w:t>
            </w:r>
            <w:bookmarkEnd w:id="531"/>
          </w:p>
        </w:tc>
        <w:tc>
          <w:tcPr>
            <w:tcW w:w="450" w:type="pct"/>
          </w:tcPr>
          <w:p w14:paraId="695A0DB0" w14:textId="124D9E61"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3ECC067C"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E2F105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3DFFC10" w14:textId="70D0B11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   Cerința de fonduri proprii a instituției pentru fiecare marfă se calculează, pe baza benzilor de scadență relevante, ca sumă a următoarelor:</w:t>
            </w:r>
          </w:p>
          <w:p w14:paraId="7057074D" w14:textId="3888BD3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suma pozițiilor lungi și scurte puse în corespondență, înmulțită cu rata spread corespunzătoare, așa cum se indică în a doua coloană a tabelului 1, pentru fiecare bandă de scadență, și cu prețul spot al mărfii;</w:t>
            </w:r>
          </w:p>
          <w:p w14:paraId="43108714" w14:textId="1D7F526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poziția pusă în corespondență între două benzi de scadență, înmulțită, pentru fiecare bandă de scadență în care o poziție nepusă în corespondență este reportată, cu 0,6 %, care este rata carry, și cu prețul spot al mărfii;</w:t>
            </w:r>
          </w:p>
          <w:p w14:paraId="43CAF92E" w14:textId="21E61C1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pozițiile reziduale nepuse în corespondență, înmulțite cu 15 %, care este rata outright, și cu prețul spot al mărfii.</w:t>
            </w:r>
          </w:p>
        </w:tc>
        <w:tc>
          <w:tcPr>
            <w:tcW w:w="1692" w:type="pct"/>
            <w:shd w:val="clear" w:color="auto" w:fill="auto"/>
          </w:tcPr>
          <w:p w14:paraId="765E28AE" w14:textId="70425F1D" w:rsidR="009D7356" w:rsidRPr="00C011B2" w:rsidRDefault="00E10AC6" w:rsidP="009D7356">
            <w:pPr>
              <w:spacing w:after="0" w:line="276" w:lineRule="auto"/>
              <w:jc w:val="both"/>
              <w:rPr>
                <w:rFonts w:ascii="Times New Roman" w:hAnsi="Times New Roman" w:cs="Times New Roman"/>
                <w:color w:val="000000" w:themeColor="text1"/>
                <w:lang w:val="ro-MD"/>
              </w:rPr>
            </w:pPr>
            <w:bookmarkStart w:id="532" w:name="_Hlk224813048"/>
            <w:r w:rsidRPr="00C011B2">
              <w:rPr>
                <w:rFonts w:ascii="Times New Roman" w:hAnsi="Times New Roman" w:cs="Times New Roman"/>
                <w:color w:val="000000" w:themeColor="text1"/>
                <w:lang w:val="ro-MD"/>
              </w:rPr>
              <w:t>528.</w:t>
            </w:r>
            <w:r w:rsidR="009D7356" w:rsidRPr="00C011B2">
              <w:rPr>
                <w:rFonts w:ascii="Times New Roman" w:hAnsi="Times New Roman" w:cs="Times New Roman"/>
                <w:color w:val="000000" w:themeColor="text1"/>
                <w:lang w:val="ro-MD"/>
              </w:rPr>
              <w:t xml:space="preserve">   Cerința de fonduri proprii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pentru fiecare marfă se calculează, pe baza benzilor de scadență relevante, ca sumă a următoarelor:</w:t>
            </w:r>
          </w:p>
          <w:p w14:paraId="154B8277" w14:textId="3D47BF1E"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528.1.</w:t>
            </w:r>
            <w:r w:rsidR="009D7356" w:rsidRPr="00C011B2">
              <w:rPr>
                <w:rFonts w:ascii="Times New Roman" w:hAnsi="Times New Roman" w:cs="Times New Roman"/>
                <w:color w:val="000000" w:themeColor="text1"/>
                <w:lang w:val="ro-MD"/>
              </w:rPr>
              <w:t> suma pozițiilor lungi și scurte puse în corespondență, înmulțită cu rata spread corespunzătoare, așa cum se indică în a doua coloană a tabelului 1, pentru fiecare bandă de scadență, și cu prețul spot al mărfii;</w:t>
            </w:r>
          </w:p>
          <w:p w14:paraId="0CD8CE66" w14:textId="047BA4D0"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528.2.</w:t>
            </w:r>
            <w:r w:rsidR="009D7356" w:rsidRPr="00C011B2">
              <w:rPr>
                <w:rFonts w:ascii="Times New Roman" w:hAnsi="Times New Roman" w:cs="Times New Roman"/>
                <w:color w:val="000000" w:themeColor="text1"/>
                <w:lang w:val="ro-MD"/>
              </w:rPr>
              <w:t> poziția pusă în corespondență între două benzi de scadență, înmulțită, pentru fiecare bandă de scadență în care o poziție nepusă în corespondență este reportată, cu 0,6 %, care este rata carry, și cu prețul spot al mărfii;</w:t>
            </w:r>
          </w:p>
          <w:p w14:paraId="5CC63D84" w14:textId="166E7AE9" w:rsidR="009D7356" w:rsidRPr="00C011B2" w:rsidRDefault="00E10AC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528.3.</w:t>
            </w:r>
            <w:r w:rsidR="009D7356" w:rsidRPr="00C011B2">
              <w:rPr>
                <w:rFonts w:ascii="Times New Roman" w:hAnsi="Times New Roman" w:cs="Times New Roman"/>
                <w:color w:val="000000" w:themeColor="text1"/>
                <w:lang w:val="ro-MD"/>
              </w:rPr>
              <w:t> pozițiile reziduale nepuse în corespondență, înmulțite cu 15 %, care este rata outright, și cu prețul spot al mărfii.</w:t>
            </w:r>
            <w:bookmarkEnd w:id="532"/>
          </w:p>
        </w:tc>
        <w:tc>
          <w:tcPr>
            <w:tcW w:w="450" w:type="pct"/>
          </w:tcPr>
          <w:p w14:paraId="3C32C8B2" w14:textId="46C198D3"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34A230B"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454C35D2"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0A827B" w14:textId="19886DB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(6)   Cerința de fonduri proprii totală a instituției pentru riscul de marfă se calculează ca sumă a cerințelor de fonduri proprii calculate pentru fiecare marfă, conform alineatului (5).</w:t>
            </w:r>
          </w:p>
        </w:tc>
        <w:tc>
          <w:tcPr>
            <w:tcW w:w="1692" w:type="pct"/>
            <w:shd w:val="clear" w:color="auto" w:fill="auto"/>
          </w:tcPr>
          <w:p w14:paraId="623C8D76" w14:textId="33C03016" w:rsidR="009D7356" w:rsidRPr="00C011B2" w:rsidRDefault="00404712" w:rsidP="009D7356">
            <w:pPr>
              <w:spacing w:after="0" w:line="276" w:lineRule="auto"/>
              <w:jc w:val="both"/>
              <w:rPr>
                <w:rFonts w:ascii="Times New Roman" w:hAnsi="Times New Roman" w:cs="Times New Roman"/>
                <w:color w:val="000000" w:themeColor="text1"/>
                <w:lang w:val="ro-MD"/>
              </w:rPr>
            </w:pPr>
            <w:bookmarkStart w:id="533" w:name="_Hlk224813065"/>
            <w:r w:rsidRPr="00C011B2">
              <w:rPr>
                <w:rFonts w:ascii="Times New Roman" w:hAnsi="Times New Roman" w:cs="Times New Roman"/>
                <w:color w:val="000000" w:themeColor="text1"/>
                <w:lang w:val="ro-MD"/>
              </w:rPr>
              <w:t>529.</w:t>
            </w:r>
            <w:r w:rsidR="009D7356" w:rsidRPr="00C011B2">
              <w:rPr>
                <w:rFonts w:ascii="Times New Roman" w:hAnsi="Times New Roman" w:cs="Times New Roman"/>
                <w:color w:val="000000" w:themeColor="text1"/>
                <w:lang w:val="ro-MD"/>
              </w:rPr>
              <w:t xml:space="preserve">   Cerința de fonduri proprii totală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pentru riscul de marfă se calculează ca sumă a cerințelor de fonduri proprii calculate pentru fiecare marfă, conform</w:t>
            </w:r>
            <w:r w:rsidRPr="00C011B2">
              <w:rPr>
                <w:rFonts w:ascii="Times New Roman" w:hAnsi="Times New Roman" w:cs="Times New Roman"/>
                <w:color w:val="000000" w:themeColor="text1"/>
                <w:lang w:val="ro-MD"/>
              </w:rPr>
              <w:t>pct.528</w:t>
            </w:r>
            <w:r w:rsidR="009D7356" w:rsidRPr="00C011B2">
              <w:rPr>
                <w:rFonts w:ascii="Times New Roman" w:hAnsi="Times New Roman" w:cs="Times New Roman"/>
                <w:color w:val="000000" w:themeColor="text1"/>
                <w:lang w:val="ro-MD"/>
              </w:rPr>
              <w:t>.</w:t>
            </w:r>
            <w:bookmarkEnd w:id="533"/>
          </w:p>
        </w:tc>
        <w:tc>
          <w:tcPr>
            <w:tcW w:w="450" w:type="pct"/>
          </w:tcPr>
          <w:p w14:paraId="480BCD78" w14:textId="24762EF3"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07D65A20"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E65EACD"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26DCCB0" w14:textId="77777777" w:rsidR="009D7356" w:rsidRPr="00C011B2" w:rsidRDefault="009D7356" w:rsidP="009D7356">
            <w:pPr>
              <w:tabs>
                <w:tab w:val="left" w:pos="890"/>
              </w:tabs>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lastRenderedPageBreak/>
              <w:t>Articolul 360</w:t>
            </w:r>
          </w:p>
          <w:p w14:paraId="1A0BE6C6" w14:textId="66220FCA" w:rsidR="009D7356" w:rsidRPr="00C011B2" w:rsidRDefault="009D7356" w:rsidP="009D7356">
            <w:pPr>
              <w:tabs>
                <w:tab w:val="left" w:pos="890"/>
              </w:tabs>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Abordare simplificată</w:t>
            </w:r>
          </w:p>
        </w:tc>
        <w:tc>
          <w:tcPr>
            <w:tcW w:w="1692" w:type="pct"/>
            <w:shd w:val="clear" w:color="auto" w:fill="auto"/>
          </w:tcPr>
          <w:p w14:paraId="55A0F1E6" w14:textId="2AD53E71" w:rsidR="009D7356" w:rsidRPr="00C011B2" w:rsidRDefault="007316CC" w:rsidP="009D7356">
            <w:pPr>
              <w:spacing w:after="0" w:line="276" w:lineRule="auto"/>
              <w:jc w:val="both"/>
              <w:rPr>
                <w:rFonts w:ascii="Times New Roman" w:hAnsi="Times New Roman" w:cs="Times New Roman"/>
                <w:color w:val="000000" w:themeColor="text1"/>
                <w:lang w:val="ro-MD"/>
              </w:rPr>
            </w:pPr>
            <w:bookmarkStart w:id="534" w:name="_Hlk195100437"/>
            <w:r w:rsidRPr="00C011B2">
              <w:rPr>
                <w:rFonts w:ascii="Times New Roman" w:hAnsi="Times New Roman" w:cs="Times New Roman"/>
                <w:i/>
                <w:iCs/>
                <w:color w:val="000000" w:themeColor="text1"/>
                <w:lang w:val="ro-MD"/>
              </w:rPr>
              <w:t xml:space="preserve">Secțiunea 6. </w:t>
            </w:r>
            <w:r w:rsidR="009D7356" w:rsidRPr="00C011B2">
              <w:rPr>
                <w:rFonts w:ascii="Times New Roman" w:hAnsi="Times New Roman" w:cs="Times New Roman"/>
                <w:b/>
                <w:bCs/>
                <w:color w:val="000000" w:themeColor="text1"/>
                <w:lang w:val="ro-MD"/>
              </w:rPr>
              <w:t>Abordare simplificată</w:t>
            </w:r>
            <w:bookmarkEnd w:id="534"/>
          </w:p>
        </w:tc>
        <w:tc>
          <w:tcPr>
            <w:tcW w:w="450" w:type="pct"/>
          </w:tcPr>
          <w:p w14:paraId="1A6CF8B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618D8CF8"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1D1D9F4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4593EE2" w14:textId="20218F5B"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   Cerința de fonduri proprii a instituției pentru fiecare marfă se calculează ca sumă a următoarelor elemente:</w:t>
            </w:r>
          </w:p>
          <w:p w14:paraId="7123D4B0" w14:textId="42855500"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15 % din poziția netă, lungă sau scurtă, înmulțită cu prețul spot al mărfii;</w:t>
            </w:r>
          </w:p>
          <w:p w14:paraId="61AD6C2F" w14:textId="403A3CB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3 % din poziția brută, lungă plus scurtă, înmulțită cu prețul spot al mărfii.</w:t>
            </w:r>
          </w:p>
        </w:tc>
        <w:tc>
          <w:tcPr>
            <w:tcW w:w="1692" w:type="pct"/>
            <w:shd w:val="clear" w:color="auto" w:fill="auto"/>
          </w:tcPr>
          <w:p w14:paraId="49A531BD" w14:textId="2EF08006" w:rsidR="009D7356" w:rsidRPr="00C011B2" w:rsidRDefault="007316CC" w:rsidP="009D7356">
            <w:pPr>
              <w:spacing w:after="0" w:line="276" w:lineRule="auto"/>
              <w:jc w:val="both"/>
              <w:rPr>
                <w:rFonts w:ascii="Times New Roman" w:hAnsi="Times New Roman" w:cs="Times New Roman"/>
                <w:color w:val="000000" w:themeColor="text1"/>
                <w:lang w:val="ro-MD"/>
              </w:rPr>
            </w:pPr>
            <w:bookmarkStart w:id="535" w:name="_Hlk224813098"/>
            <w:r w:rsidRPr="00C011B2">
              <w:rPr>
                <w:rFonts w:ascii="Times New Roman" w:hAnsi="Times New Roman" w:cs="Times New Roman"/>
                <w:color w:val="000000" w:themeColor="text1"/>
                <w:lang w:val="ro-MD"/>
              </w:rPr>
              <w:t>530.</w:t>
            </w:r>
            <w:r w:rsidR="009D7356" w:rsidRPr="00C011B2">
              <w:rPr>
                <w:rFonts w:ascii="Times New Roman" w:hAnsi="Times New Roman" w:cs="Times New Roman"/>
                <w:color w:val="000000" w:themeColor="text1"/>
                <w:lang w:val="ro-MD"/>
              </w:rPr>
              <w:t xml:space="preserve">   Cerința de fonduri proprii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pentru fiecare marfă se calculează ca sumă a următoarelor elemente:</w:t>
            </w:r>
          </w:p>
          <w:p w14:paraId="6171EE1C" w14:textId="5B6C3860" w:rsidR="009D7356" w:rsidRPr="00C011B2" w:rsidRDefault="007316C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530.1</w:t>
            </w:r>
            <w:r w:rsidR="009D7356" w:rsidRPr="00C011B2">
              <w:rPr>
                <w:rFonts w:ascii="Times New Roman" w:hAnsi="Times New Roman" w:cs="Times New Roman"/>
                <w:color w:val="000000" w:themeColor="text1"/>
                <w:lang w:val="ro-MD"/>
              </w:rPr>
              <w:t> 15 % din poziția netă, lungă sau scurtă, înmulțită cu prețul spot al mărfii;</w:t>
            </w:r>
          </w:p>
          <w:p w14:paraId="551C440E" w14:textId="61BB9EAE" w:rsidR="009D7356" w:rsidRPr="00C011B2" w:rsidRDefault="007316C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530.2.</w:t>
            </w:r>
            <w:r w:rsidR="009D7356" w:rsidRPr="00C011B2">
              <w:rPr>
                <w:rFonts w:ascii="Times New Roman" w:hAnsi="Times New Roman" w:cs="Times New Roman"/>
                <w:color w:val="000000" w:themeColor="text1"/>
                <w:lang w:val="ro-MD"/>
              </w:rPr>
              <w:t> 3 % din poziția brută, lungă plus scurtă, înmulțită cu prețul spot al mărfii.</w:t>
            </w:r>
            <w:bookmarkEnd w:id="535"/>
          </w:p>
        </w:tc>
        <w:tc>
          <w:tcPr>
            <w:tcW w:w="450" w:type="pct"/>
          </w:tcPr>
          <w:p w14:paraId="386BA607" w14:textId="64F3ED9A"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14CD255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D095CA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2F28D6" w14:textId="71756896"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Cerința de fonduri proprii totală a instituției pentru riscul de marfă se calculează ca sumă a cerințelor de fonduri proprii calculate pentru fiecare marfă, conform alineatului (1).</w:t>
            </w:r>
          </w:p>
        </w:tc>
        <w:tc>
          <w:tcPr>
            <w:tcW w:w="1692" w:type="pct"/>
            <w:shd w:val="clear" w:color="auto" w:fill="auto"/>
          </w:tcPr>
          <w:p w14:paraId="233E820B" w14:textId="2880C64B" w:rsidR="009D7356" w:rsidRPr="00C011B2" w:rsidRDefault="007316CC" w:rsidP="009D7356">
            <w:pPr>
              <w:spacing w:after="0" w:line="276" w:lineRule="auto"/>
              <w:jc w:val="both"/>
              <w:rPr>
                <w:rFonts w:ascii="Times New Roman" w:hAnsi="Times New Roman" w:cs="Times New Roman"/>
                <w:color w:val="000000" w:themeColor="text1"/>
                <w:lang w:val="ro-MD"/>
              </w:rPr>
            </w:pPr>
            <w:bookmarkStart w:id="536" w:name="_Hlk224813125"/>
            <w:r w:rsidRPr="00C011B2">
              <w:rPr>
                <w:rFonts w:ascii="Times New Roman" w:hAnsi="Times New Roman" w:cs="Times New Roman"/>
                <w:color w:val="000000" w:themeColor="text1"/>
                <w:lang w:val="ro-MD"/>
              </w:rPr>
              <w:t>531.</w:t>
            </w:r>
            <w:r w:rsidR="009D7356" w:rsidRPr="00C011B2">
              <w:rPr>
                <w:rFonts w:ascii="Times New Roman" w:hAnsi="Times New Roman" w:cs="Times New Roman"/>
                <w:color w:val="000000" w:themeColor="text1"/>
                <w:lang w:val="ro-MD"/>
              </w:rPr>
              <w:t xml:space="preserve">  Cerința de fonduri proprii totală a </w:t>
            </w:r>
            <w:r w:rsidRPr="00C011B2">
              <w:rPr>
                <w:rFonts w:ascii="Times New Roman" w:hAnsi="Times New Roman" w:cs="Times New Roman"/>
                <w:color w:val="000000" w:themeColor="text1"/>
                <w:lang w:val="ro-MD"/>
              </w:rPr>
              <w:t xml:space="preserve">băncii </w:t>
            </w:r>
            <w:r w:rsidR="009D7356" w:rsidRPr="00C011B2">
              <w:rPr>
                <w:rFonts w:ascii="Times New Roman" w:hAnsi="Times New Roman" w:cs="Times New Roman"/>
                <w:color w:val="000000" w:themeColor="text1"/>
                <w:lang w:val="ro-MD"/>
              </w:rPr>
              <w:t>pentru riscul de marfă se calculează ca sumă a cerințelor de fonduri proprii calculate pentru fiecare marfă, conform</w:t>
            </w:r>
            <w:r w:rsidRPr="00C011B2">
              <w:rPr>
                <w:rFonts w:ascii="Times New Roman" w:hAnsi="Times New Roman" w:cs="Times New Roman"/>
                <w:color w:val="000000" w:themeColor="text1"/>
                <w:lang w:val="ro-MD"/>
              </w:rPr>
              <w:t>pct.530</w:t>
            </w:r>
            <w:r w:rsidR="009D7356" w:rsidRPr="00C011B2">
              <w:rPr>
                <w:rFonts w:ascii="Times New Roman" w:hAnsi="Times New Roman" w:cs="Times New Roman"/>
                <w:color w:val="000000" w:themeColor="text1"/>
                <w:lang w:val="ro-MD"/>
              </w:rPr>
              <w:t>.</w:t>
            </w:r>
            <w:bookmarkEnd w:id="536"/>
          </w:p>
        </w:tc>
        <w:tc>
          <w:tcPr>
            <w:tcW w:w="450" w:type="pct"/>
          </w:tcPr>
          <w:p w14:paraId="300FB3D8" w14:textId="7CEF182A"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compatibil</w:t>
            </w:r>
          </w:p>
        </w:tc>
        <w:tc>
          <w:tcPr>
            <w:tcW w:w="1261" w:type="pct"/>
          </w:tcPr>
          <w:p w14:paraId="657322C2"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0D14CD36"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10E9A49"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Articolul 361</w:t>
            </w:r>
          </w:p>
          <w:p w14:paraId="00C7B55D" w14:textId="397F2749"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b/>
                <w:bCs/>
                <w:color w:val="000000" w:themeColor="text1"/>
                <w:lang w:val="ro-MD"/>
              </w:rPr>
              <w:t>Abordare extinsă pe benzi de scadență</w:t>
            </w:r>
          </w:p>
        </w:tc>
        <w:tc>
          <w:tcPr>
            <w:tcW w:w="1692" w:type="pct"/>
            <w:shd w:val="clear" w:color="auto" w:fill="auto"/>
          </w:tcPr>
          <w:p w14:paraId="0885731A" w14:textId="1E4A9CC3" w:rsidR="009D7356" w:rsidRPr="00C011B2" w:rsidRDefault="007316CC" w:rsidP="009D7356">
            <w:pPr>
              <w:spacing w:after="0" w:line="276" w:lineRule="auto"/>
              <w:jc w:val="both"/>
              <w:rPr>
                <w:rFonts w:ascii="Times New Roman" w:hAnsi="Times New Roman" w:cs="Times New Roman"/>
                <w:color w:val="000000" w:themeColor="text1"/>
                <w:lang w:val="ro-MD"/>
              </w:rPr>
            </w:pPr>
            <w:bookmarkStart w:id="537" w:name="_Hlk195100459"/>
            <w:r w:rsidRPr="00C011B2">
              <w:rPr>
                <w:rFonts w:ascii="Times New Roman" w:hAnsi="Times New Roman" w:cs="Times New Roman"/>
                <w:i/>
                <w:iCs/>
                <w:color w:val="000000" w:themeColor="text1"/>
                <w:lang w:val="ro-MD"/>
              </w:rPr>
              <w:t xml:space="preserve">Secțiunea 7. </w:t>
            </w:r>
            <w:r w:rsidR="009D7356" w:rsidRPr="00C011B2">
              <w:rPr>
                <w:rFonts w:ascii="Times New Roman" w:hAnsi="Times New Roman" w:cs="Times New Roman"/>
                <w:b/>
                <w:bCs/>
                <w:color w:val="000000" w:themeColor="text1"/>
                <w:lang w:val="ro-MD"/>
              </w:rPr>
              <w:t>Abordare extinsă pe benzi de scadență</w:t>
            </w:r>
            <w:bookmarkEnd w:id="537"/>
          </w:p>
        </w:tc>
        <w:tc>
          <w:tcPr>
            <w:tcW w:w="450" w:type="pct"/>
          </w:tcPr>
          <w:p w14:paraId="029D5669"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c>
          <w:tcPr>
            <w:tcW w:w="1261" w:type="pct"/>
          </w:tcPr>
          <w:p w14:paraId="6908AE54"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C011B2" w14:paraId="7E9164A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E970D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pot utiliza ratele minime de spread, carry și outright menționate în tabelul 2 de mai jos, în locul celor indicate la articolul 359, cu condiția ca instituțiile:</w:t>
            </w:r>
          </w:p>
          <w:p w14:paraId="459BD92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w:t>
            </w:r>
          </w:p>
          <w:p w14:paraId="06E590C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să desfășoare activități semnificative cu mărfuri;</w:t>
            </w:r>
          </w:p>
          <w:p w14:paraId="2FF0925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w:t>
            </w:r>
          </w:p>
          <w:p w14:paraId="3B2BD2BA"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să aibă un portofoliu de mărfuri diversificat în mod adecvat.</w:t>
            </w:r>
          </w:p>
          <w:p w14:paraId="1B3FF45A"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3" w:tooltip="32024R1623: DELETED" w:history="1">
              <w:r w:rsidR="009D7356" w:rsidRPr="00C011B2">
                <w:rPr>
                  <w:rStyle w:val="Hyperlink"/>
                  <w:rFonts w:ascii="Times New Roman" w:hAnsi="Times New Roman" w:cs="Times New Roman"/>
                  <w:b/>
                  <w:bCs/>
                  <w:lang w:val="ro-MD"/>
                </w:rPr>
                <w:t>▼M17</w:t>
              </w:r>
            </w:hyperlink>
            <w:r w:rsidR="009D7356" w:rsidRPr="00C011B2">
              <w:rPr>
                <w:rFonts w:ascii="Times New Roman" w:hAnsi="Times New Roman" w:cs="Times New Roman"/>
                <w:b/>
                <w:bCs/>
                <w:color w:val="000000" w:themeColor="text1"/>
                <w:lang w:val="ro-MD"/>
              </w:rPr>
              <w:t> —————</w:t>
            </w:r>
          </w:p>
          <w:p w14:paraId="7F8DDECF"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4" w:tooltip="32013R0575R(02): REPLACED" w:history="1">
              <w:r w:rsidR="009D7356" w:rsidRPr="00C011B2">
                <w:rPr>
                  <w:rStyle w:val="Hyperlink"/>
                  <w:rFonts w:ascii="Times New Roman" w:hAnsi="Times New Roman" w:cs="Times New Roman"/>
                  <w:b/>
                  <w:bCs/>
                  <w:lang w:val="ro-MD"/>
                </w:rPr>
                <w:t>▼C2</w:t>
              </w:r>
            </w:hyperlink>
          </w:p>
          <w:p w14:paraId="00A99B4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p w14:paraId="05B75BE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p w14:paraId="664D3D40"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Tabelul 2</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13"/>
              <w:gridCol w:w="827"/>
              <w:gridCol w:w="508"/>
              <w:gridCol w:w="873"/>
              <w:gridCol w:w="779"/>
            </w:tblGrid>
            <w:tr w:rsidR="009D7356" w:rsidRPr="00C011B2" w14:paraId="220576EE" w14:textId="77777777" w:rsidTr="006B4A67">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33BC8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3DCA3"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Metale prețioase (exceptând aurul)</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4140A"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Metale de bază</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1674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Produse agricole (perisabile)</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4BA22"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Altele, inclusiv produse energetice</w:t>
                  </w:r>
                </w:p>
              </w:tc>
            </w:tr>
            <w:tr w:rsidR="009D7356" w:rsidRPr="00C011B2" w14:paraId="08274F96" w14:textId="77777777" w:rsidTr="006B4A67">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B0545D"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spread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14DB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EA4AB"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70097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7EFC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r>
            <w:tr w:rsidR="009D7356" w:rsidRPr="00C011B2" w14:paraId="6F0B4043" w14:textId="77777777" w:rsidTr="006B4A67">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24E53D"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carry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B346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5DB5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D3C00"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C3B53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w:t>
                  </w:r>
                </w:p>
              </w:tc>
            </w:tr>
            <w:tr w:rsidR="009D7356" w:rsidRPr="00C011B2" w14:paraId="3CF9291B" w14:textId="77777777" w:rsidTr="006B4A67">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AD4946"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outright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0B5E8"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F56F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A7A80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60922"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r>
          </w:tbl>
          <w:p w14:paraId="3DAABCC9"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5" w:tooltip="32024R1623: REPLACED" w:history="1">
              <w:r w:rsidR="009D7356" w:rsidRPr="00C011B2">
                <w:rPr>
                  <w:rStyle w:val="Hyperlink"/>
                  <w:rFonts w:ascii="Times New Roman" w:hAnsi="Times New Roman" w:cs="Times New Roman"/>
                  <w:b/>
                  <w:bCs/>
                  <w:lang w:val="ro-MD"/>
                </w:rPr>
                <w:t>▼M17</w:t>
              </w:r>
            </w:hyperlink>
          </w:p>
          <w:p w14:paraId="5A194BE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Instituțiile notifică autorităților lor competente modul în care aplică prezentul articol.</w:t>
            </w:r>
          </w:p>
          <w:p w14:paraId="56ADDCAC" w14:textId="5A470328" w:rsidR="009D7356" w:rsidRPr="00C011B2" w:rsidRDefault="00FA7D23" w:rsidP="009D7356">
            <w:pPr>
              <w:spacing w:after="0" w:line="276" w:lineRule="auto"/>
              <w:jc w:val="both"/>
              <w:rPr>
                <w:rFonts w:ascii="Times New Roman" w:hAnsi="Times New Roman" w:cs="Times New Roman"/>
                <w:color w:val="000000" w:themeColor="text1"/>
                <w:lang w:val="ro-MD"/>
              </w:rPr>
            </w:pPr>
            <w:hyperlink r:id="rId266" w:tooltip="32024R1623: DELETED" w:history="1">
              <w:r w:rsidR="009D7356" w:rsidRPr="00C011B2">
                <w:rPr>
                  <w:rStyle w:val="Hyperlink"/>
                  <w:rFonts w:ascii="Times New Roman" w:hAnsi="Times New Roman" w:cs="Times New Roman"/>
                  <w:b/>
                  <w:bCs/>
                  <w:lang w:val="ro-MD"/>
                </w:rPr>
                <w:t>▼M17</w:t>
              </w:r>
            </w:hyperlink>
            <w:r w:rsidR="009D7356" w:rsidRPr="00C011B2">
              <w:rPr>
                <w:rFonts w:ascii="Times New Roman" w:hAnsi="Times New Roman" w:cs="Times New Roman"/>
                <w:b/>
                <w:bCs/>
                <w:color w:val="000000" w:themeColor="text1"/>
                <w:lang w:val="ro-MD"/>
              </w:rPr>
              <w:t> —————</w:t>
            </w:r>
          </w:p>
        </w:tc>
        <w:tc>
          <w:tcPr>
            <w:tcW w:w="1692" w:type="pct"/>
            <w:shd w:val="clear" w:color="auto" w:fill="auto"/>
          </w:tcPr>
          <w:p w14:paraId="4DA8A09E" w14:textId="2E730655" w:rsidR="009D7356" w:rsidRPr="00C011B2" w:rsidRDefault="007316CC" w:rsidP="009D7356">
            <w:pPr>
              <w:spacing w:after="0" w:line="276" w:lineRule="auto"/>
              <w:jc w:val="both"/>
              <w:rPr>
                <w:rFonts w:ascii="Times New Roman" w:hAnsi="Times New Roman" w:cs="Times New Roman"/>
                <w:color w:val="000000" w:themeColor="text1"/>
                <w:lang w:val="ro-MD"/>
              </w:rPr>
            </w:pPr>
            <w:bookmarkStart w:id="538" w:name="_Hlk224813164"/>
            <w:r w:rsidRPr="00C011B2">
              <w:rPr>
                <w:rFonts w:ascii="Times New Roman" w:hAnsi="Times New Roman" w:cs="Times New Roman"/>
                <w:color w:val="000000" w:themeColor="text1"/>
                <w:lang w:val="ro-MD"/>
              </w:rPr>
              <w:lastRenderedPageBreak/>
              <w:t xml:space="preserve">532. Băncile </w:t>
            </w:r>
            <w:r w:rsidR="009D7356" w:rsidRPr="00C011B2">
              <w:rPr>
                <w:rFonts w:ascii="Times New Roman" w:hAnsi="Times New Roman" w:cs="Times New Roman"/>
                <w:color w:val="000000" w:themeColor="text1"/>
                <w:lang w:val="ro-MD"/>
              </w:rPr>
              <w:t xml:space="preserve">pot utiliza ratele minime de spread, carry și outright menționate în tabelul 2 de mai jos, în locul celor indicate la </w:t>
            </w:r>
            <w:r w:rsidRPr="00C011B2">
              <w:rPr>
                <w:rFonts w:ascii="Times New Roman" w:hAnsi="Times New Roman" w:cs="Times New Roman"/>
                <w:color w:val="000000" w:themeColor="text1"/>
                <w:lang w:val="ro-MD"/>
              </w:rPr>
              <w:t>secțiunea 5</w:t>
            </w:r>
            <w:r w:rsidR="009D7356" w:rsidRPr="00C011B2">
              <w:rPr>
                <w:rFonts w:ascii="Times New Roman" w:hAnsi="Times New Roman" w:cs="Times New Roman"/>
                <w:color w:val="000000" w:themeColor="text1"/>
                <w:lang w:val="ro-MD"/>
              </w:rPr>
              <w:t xml:space="preserve">, cu condiția ca </w:t>
            </w:r>
            <w:r w:rsidRPr="00C011B2">
              <w:rPr>
                <w:rFonts w:ascii="Times New Roman" w:hAnsi="Times New Roman" w:cs="Times New Roman"/>
                <w:color w:val="000000" w:themeColor="text1"/>
                <w:lang w:val="ro-MD"/>
              </w:rPr>
              <w:t>băncile</w:t>
            </w:r>
            <w:r w:rsidR="009D7356" w:rsidRPr="00C011B2">
              <w:rPr>
                <w:rFonts w:ascii="Times New Roman" w:hAnsi="Times New Roman" w:cs="Times New Roman"/>
                <w:color w:val="000000" w:themeColor="text1"/>
                <w:lang w:val="ro-MD"/>
              </w:rPr>
              <w:t>:</w:t>
            </w:r>
          </w:p>
          <w:p w14:paraId="399A4FF7" w14:textId="18D54DCD" w:rsidR="009D7356" w:rsidRPr="00C011B2" w:rsidRDefault="007316C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532.1. </w:t>
            </w:r>
            <w:r w:rsidR="009D7356" w:rsidRPr="00C011B2">
              <w:rPr>
                <w:rFonts w:ascii="Times New Roman" w:hAnsi="Times New Roman" w:cs="Times New Roman"/>
                <w:color w:val="000000" w:themeColor="text1"/>
                <w:lang w:val="ro-MD"/>
              </w:rPr>
              <w:t> să desfășoare activități semnificative cu mărfuri;</w:t>
            </w:r>
          </w:p>
          <w:p w14:paraId="77FC8011" w14:textId="5995BFA7" w:rsidR="009D7356" w:rsidRPr="00C011B2" w:rsidRDefault="007316CC"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532.2. </w:t>
            </w:r>
            <w:r w:rsidR="009D7356" w:rsidRPr="00C011B2">
              <w:rPr>
                <w:rFonts w:ascii="Times New Roman" w:hAnsi="Times New Roman" w:cs="Times New Roman"/>
                <w:color w:val="000000" w:themeColor="text1"/>
                <w:lang w:val="ro-MD"/>
              </w:rPr>
              <w:t> să aibă un portofoliu de mărfuri diversificat în mod adecvat.</w:t>
            </w:r>
          </w:p>
          <w:bookmarkEnd w:id="538"/>
          <w:p w14:paraId="74F964E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p w14:paraId="1EA06A8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p>
          <w:p w14:paraId="0B228B1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539" w:name="_Hlk224813217"/>
            <w:r w:rsidRPr="00C011B2">
              <w:rPr>
                <w:rFonts w:ascii="Times New Roman" w:hAnsi="Times New Roman" w:cs="Times New Roman"/>
                <w:b/>
                <w:bCs/>
                <w:color w:val="000000" w:themeColor="text1"/>
                <w:lang w:val="ro-MD"/>
              </w:rPr>
              <w:t>Tabelul 2</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13"/>
              <w:gridCol w:w="827"/>
              <w:gridCol w:w="508"/>
              <w:gridCol w:w="873"/>
              <w:gridCol w:w="779"/>
            </w:tblGrid>
            <w:tr w:rsidR="009D7356" w:rsidRPr="00C011B2" w14:paraId="549BBC49" w14:textId="77777777" w:rsidTr="001E785F">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EBBF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lastRenderedPageBreak/>
                    <w:t>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E891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Metale prețioase (exceptând aurul)</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9E0954"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Metale de bază</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D8AA69"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Produse agricole (perisabile)</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0E889C"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Altele, inclusiv produse energetice</w:t>
                  </w:r>
                </w:p>
              </w:tc>
            </w:tr>
            <w:tr w:rsidR="009D7356" w:rsidRPr="00C011B2" w14:paraId="68006F7B" w14:textId="77777777" w:rsidTr="001E785F">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320D8"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spread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006F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8EFF4"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A2787"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B2F3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r>
            <w:tr w:rsidR="009D7356" w:rsidRPr="00C011B2" w14:paraId="0273D46D" w14:textId="77777777" w:rsidTr="001E785F">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C1BB97"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carry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467DF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0,3</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CA071"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0,5</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3CBBE"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2C16CF"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0,6</w:t>
                  </w:r>
                </w:p>
              </w:tc>
            </w:tr>
            <w:tr w:rsidR="009D7356" w:rsidRPr="00C011B2" w14:paraId="051F9AB6" w14:textId="77777777" w:rsidTr="001E785F">
              <w:trPr>
                <w:jc w:val="center"/>
              </w:trPr>
              <w:tc>
                <w:tcPr>
                  <w:tcW w:w="9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A9092E"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r w:rsidRPr="00C011B2">
                    <w:rPr>
                      <w:rFonts w:ascii="Times New Roman" w:hAnsi="Times New Roman" w:cs="Times New Roman"/>
                      <w:b/>
                      <w:bCs/>
                      <w:color w:val="000000" w:themeColor="text1"/>
                      <w:lang w:val="ro-MD"/>
                    </w:rPr>
                    <w:t>Rata outright (%)</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D1EA4D"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8</w:t>
                  </w:r>
                </w:p>
              </w:tc>
              <w:tc>
                <w:tcPr>
                  <w:tcW w:w="7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66C7C"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10</w:t>
                  </w:r>
                </w:p>
              </w:tc>
              <w:tc>
                <w:tcPr>
                  <w:tcW w:w="13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C82B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p>
              </w:tc>
              <w:tc>
                <w:tcPr>
                  <w:tcW w:w="118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3FDD75"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p>
              </w:tc>
            </w:tr>
          </w:tbl>
          <w:p w14:paraId="2ACA393E" w14:textId="71CDB3FA" w:rsidR="009D7356" w:rsidRPr="00C011B2" w:rsidRDefault="007316CC" w:rsidP="009D7356">
            <w:pPr>
              <w:spacing w:after="0" w:line="276" w:lineRule="auto"/>
              <w:jc w:val="both"/>
              <w:rPr>
                <w:rFonts w:ascii="Times New Roman" w:hAnsi="Times New Roman" w:cs="Times New Roman"/>
                <w:color w:val="000000" w:themeColor="text1"/>
                <w:lang w:val="ro-MD"/>
              </w:rPr>
            </w:pPr>
            <w:bookmarkStart w:id="540" w:name="_Hlk224813291"/>
            <w:bookmarkEnd w:id="539"/>
            <w:r w:rsidRPr="00C011B2">
              <w:rPr>
                <w:rFonts w:ascii="Times New Roman" w:hAnsi="Times New Roman" w:cs="Times New Roman"/>
                <w:color w:val="000000" w:themeColor="text1"/>
                <w:lang w:val="ro-MD"/>
              </w:rPr>
              <w:t>533. B</w:t>
            </w:r>
            <w:r w:rsidR="00464A5E" w:rsidRPr="00C011B2">
              <w:rPr>
                <w:rFonts w:ascii="Times New Roman" w:hAnsi="Times New Roman" w:cs="Times New Roman"/>
                <w:color w:val="000000" w:themeColor="text1"/>
                <w:lang w:val="ro-MD"/>
              </w:rPr>
              <w:t>ă</w:t>
            </w:r>
            <w:r w:rsidRPr="00C011B2">
              <w:rPr>
                <w:rFonts w:ascii="Times New Roman" w:hAnsi="Times New Roman" w:cs="Times New Roman"/>
                <w:color w:val="000000" w:themeColor="text1"/>
                <w:lang w:val="ro-MD"/>
              </w:rPr>
              <w:t>ncile</w:t>
            </w:r>
            <w:r w:rsidR="009D7356" w:rsidRPr="00C011B2">
              <w:rPr>
                <w:rFonts w:ascii="Times New Roman" w:hAnsi="Times New Roman" w:cs="Times New Roman"/>
                <w:color w:val="000000" w:themeColor="text1"/>
                <w:lang w:val="ro-MD"/>
              </w:rPr>
              <w:t xml:space="preserve"> notifică </w:t>
            </w:r>
            <w:r w:rsidRPr="00C011B2">
              <w:rPr>
                <w:rFonts w:ascii="Times New Roman" w:hAnsi="Times New Roman" w:cs="Times New Roman"/>
                <w:color w:val="000000" w:themeColor="text1"/>
                <w:lang w:val="ro-MD"/>
              </w:rPr>
              <w:t>BNM</w:t>
            </w:r>
            <w:r w:rsidR="009D7356" w:rsidRPr="00C011B2">
              <w:rPr>
                <w:rFonts w:ascii="Times New Roman" w:hAnsi="Times New Roman" w:cs="Times New Roman"/>
                <w:color w:val="000000" w:themeColor="text1"/>
                <w:lang w:val="ro-MD"/>
              </w:rPr>
              <w:t xml:space="preserve"> modul în care aplică </w:t>
            </w:r>
            <w:r w:rsidRPr="00C011B2">
              <w:rPr>
                <w:rFonts w:ascii="Times New Roman" w:hAnsi="Times New Roman" w:cs="Times New Roman"/>
                <w:color w:val="000000" w:themeColor="text1"/>
                <w:lang w:val="ro-MD"/>
              </w:rPr>
              <w:t>prezenta secțiune</w:t>
            </w:r>
            <w:r w:rsidR="009D7356" w:rsidRPr="00C011B2">
              <w:rPr>
                <w:rFonts w:ascii="Times New Roman" w:hAnsi="Times New Roman" w:cs="Times New Roman"/>
                <w:color w:val="000000" w:themeColor="text1"/>
                <w:lang w:val="ro-MD"/>
              </w:rPr>
              <w:t>.</w:t>
            </w:r>
          </w:p>
          <w:bookmarkEnd w:id="540"/>
          <w:p w14:paraId="66F787AD" w14:textId="42E53BB8" w:rsidR="009D7356" w:rsidRPr="00C011B2" w:rsidRDefault="009D7356" w:rsidP="009D7356">
            <w:pPr>
              <w:spacing w:after="0" w:line="276" w:lineRule="auto"/>
              <w:jc w:val="both"/>
              <w:rPr>
                <w:rFonts w:ascii="Times New Roman" w:hAnsi="Times New Roman" w:cs="Times New Roman"/>
                <w:color w:val="000000" w:themeColor="text1"/>
                <w:lang w:val="ro-MD"/>
              </w:rPr>
            </w:pPr>
          </w:p>
        </w:tc>
        <w:tc>
          <w:tcPr>
            <w:tcW w:w="450" w:type="pct"/>
          </w:tcPr>
          <w:p w14:paraId="411CE5D8" w14:textId="31BD59C2" w:rsidR="009D7356" w:rsidRPr="00C011B2"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0CAA5BD3" w14:textId="77777777" w:rsidR="009D7356" w:rsidRPr="00C011B2" w:rsidRDefault="009D7356" w:rsidP="009D7356">
            <w:pPr>
              <w:spacing w:line="276" w:lineRule="auto"/>
              <w:jc w:val="both"/>
              <w:rPr>
                <w:rFonts w:ascii="Times New Roman" w:hAnsi="Times New Roman" w:cs="Times New Roman"/>
                <w:color w:val="000000" w:themeColor="text1"/>
                <w:lang w:val="ro-MD"/>
              </w:rPr>
            </w:pPr>
          </w:p>
        </w:tc>
      </w:tr>
      <w:tr w:rsidR="009D7356" w:rsidRPr="00E43D4C" w14:paraId="0B4F3EE5" w14:textId="77777777" w:rsidTr="00F2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AF61FE" w14:textId="77777777" w:rsidR="009D7356" w:rsidRPr="00C011B2" w:rsidRDefault="009D7356" w:rsidP="009D7356">
            <w:pPr>
              <w:spacing w:after="0" w:line="276" w:lineRule="auto"/>
              <w:jc w:val="both"/>
              <w:rPr>
                <w:rFonts w:ascii="Times New Roman" w:hAnsi="Times New Roman" w:cs="Times New Roman"/>
                <w:i/>
                <w:iCs/>
                <w:color w:val="000000" w:themeColor="text1"/>
                <w:lang w:val="ro-MD"/>
              </w:rPr>
            </w:pPr>
            <w:r w:rsidRPr="00C011B2">
              <w:rPr>
                <w:rFonts w:ascii="Times New Roman" w:hAnsi="Times New Roman" w:cs="Times New Roman"/>
                <w:i/>
                <w:iCs/>
                <w:color w:val="000000" w:themeColor="text1"/>
                <w:lang w:val="ro-MD"/>
              </w:rPr>
              <w:t>ANEXA II</w:t>
            </w:r>
          </w:p>
          <w:p w14:paraId="194F1EA6"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Tipuri de instrumente financiare derivate</w:t>
            </w:r>
          </w:p>
          <w:p w14:paraId="0B5783D3"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(1) Contracte pe rata dobânzii:</w:t>
            </w:r>
          </w:p>
          <w:p w14:paraId="4F7F4041" w14:textId="5DE13AF2"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contracte swap într-o singură valută pe rata dobânzii;</w:t>
            </w:r>
          </w:p>
          <w:p w14:paraId="69EEEE6C" w14:textId="60C0C20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contracte swap de bază (basis-swaps);</w:t>
            </w:r>
          </w:p>
          <w:p w14:paraId="6C150179" w14:textId="4C908EB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contracte forward pe rata dobânzii [forward rate agreements (FRA)];</w:t>
            </w:r>
          </w:p>
          <w:p w14:paraId="2DF76444" w14:textId="4C3C9E4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contracte futures pe rata dobânzii (interest-rate futures);</w:t>
            </w:r>
          </w:p>
          <w:p w14:paraId="06CE52DB"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7" w:tooltip="32019R0876: REPLACED" w:history="1">
              <w:r w:rsidR="009D7356" w:rsidRPr="00C011B2">
                <w:rPr>
                  <w:rStyle w:val="Hyperlink"/>
                  <w:rFonts w:ascii="Times New Roman" w:hAnsi="Times New Roman" w:cs="Times New Roman"/>
                  <w:b/>
                  <w:bCs/>
                  <w:lang w:val="ro-MD"/>
                </w:rPr>
                <w:t>▼M8</w:t>
              </w:r>
            </w:hyperlink>
          </w:p>
          <w:p w14:paraId="1775E012" w14:textId="1DF7F34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opțiuni pe rata dobânzii;</w:t>
            </w:r>
          </w:p>
          <w:p w14:paraId="2021CCB0"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8" w:tooltip="32013R0575R(02): REPLACED" w:history="1">
              <w:r w:rsidR="009D7356" w:rsidRPr="00C011B2">
                <w:rPr>
                  <w:rStyle w:val="Hyperlink"/>
                  <w:rFonts w:ascii="Times New Roman" w:hAnsi="Times New Roman" w:cs="Times New Roman"/>
                  <w:b/>
                  <w:bCs/>
                  <w:lang w:val="ro-MD"/>
                </w:rPr>
                <w:t>▼C2</w:t>
              </w:r>
            </w:hyperlink>
          </w:p>
          <w:p w14:paraId="2700CA49" w14:textId="105EBFFC"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alte contracte de natură similară;</w:t>
            </w:r>
          </w:p>
          <w:p w14:paraId="645D1BB9" w14:textId="7777777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 contracte pe cursul de schimb și contracte pe aur:</w:t>
            </w:r>
          </w:p>
          <w:p w14:paraId="30507962" w14:textId="2FC414C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(a) contracte swap în valute diferite pe rata dobânzii (cross-currency interest-rate swaps);</w:t>
            </w:r>
          </w:p>
          <w:p w14:paraId="2743C5E4" w14:textId="7C56FA0F"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(b) contracte forward pe cursul de schimb (forward foreign-exchange contracts);</w:t>
            </w:r>
          </w:p>
          <w:p w14:paraId="4CC47AF1" w14:textId="24982883"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(c) contracte futures pe valute (currency futures);</w:t>
            </w:r>
          </w:p>
          <w:p w14:paraId="28AD401A"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69" w:tooltip="32019R0876: REPLACED" w:history="1">
              <w:r w:rsidR="009D7356" w:rsidRPr="00C011B2">
                <w:rPr>
                  <w:rStyle w:val="Hyperlink"/>
                  <w:rFonts w:ascii="Times New Roman" w:hAnsi="Times New Roman" w:cs="Times New Roman"/>
                  <w:b/>
                  <w:bCs/>
                  <w:lang w:val="ro-MD"/>
                </w:rPr>
                <w:t>▼M8</w:t>
              </w:r>
            </w:hyperlink>
          </w:p>
          <w:p w14:paraId="0092B5F4" w14:textId="1BC9B7A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(d) opțiuni pe valute;</w:t>
            </w:r>
          </w:p>
          <w:p w14:paraId="175AF16A"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70" w:tooltip="32013R0575R(02): REPLACED" w:history="1">
              <w:r w:rsidR="009D7356" w:rsidRPr="00C011B2">
                <w:rPr>
                  <w:rStyle w:val="Hyperlink"/>
                  <w:rFonts w:ascii="Times New Roman" w:hAnsi="Times New Roman" w:cs="Times New Roman"/>
                  <w:b/>
                  <w:bCs/>
                  <w:lang w:val="ro-MD"/>
                </w:rPr>
                <w:t>▼C2</w:t>
              </w:r>
            </w:hyperlink>
          </w:p>
          <w:p w14:paraId="7C1DF9AF" w14:textId="6D2767E5"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(e) alte contracte de natură similară;</w:t>
            </w:r>
          </w:p>
          <w:p w14:paraId="236DCA7A" w14:textId="09C5324D"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(f) contracte pe aur de natură similară celor de la literele (a)-(e).</w:t>
            </w:r>
          </w:p>
          <w:p w14:paraId="45FD6451" w14:textId="77777777" w:rsidR="009D7356" w:rsidRPr="00C011B2" w:rsidRDefault="00FA7D23" w:rsidP="009D7356">
            <w:pPr>
              <w:spacing w:after="0" w:line="276" w:lineRule="auto"/>
              <w:jc w:val="both"/>
              <w:rPr>
                <w:rFonts w:ascii="Times New Roman" w:hAnsi="Times New Roman" w:cs="Times New Roman"/>
                <w:b/>
                <w:bCs/>
                <w:color w:val="000000" w:themeColor="text1"/>
                <w:lang w:val="ro-MD"/>
              </w:rPr>
            </w:pPr>
            <w:hyperlink r:id="rId271" w:tooltip="32019R0876: REPLACED" w:history="1">
              <w:r w:rsidR="009D7356" w:rsidRPr="00C011B2">
                <w:rPr>
                  <w:rStyle w:val="Hyperlink"/>
                  <w:rFonts w:ascii="Times New Roman" w:hAnsi="Times New Roman" w:cs="Times New Roman"/>
                  <w:b/>
                  <w:bCs/>
                  <w:lang w:val="ro-MD"/>
                </w:rPr>
                <w:t>▼M8</w:t>
              </w:r>
            </w:hyperlink>
          </w:p>
          <w:p w14:paraId="1BB1EA4C" w14:textId="714BF364"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3. Contracte de natură similară celor de la punctul 1 literele (a)-(e) și punctul 2 literele (a)-(d) din prezenta anexă privind alte elemente de referință sau indici. Sunt incluse aici cel puțin toate instrumentele menționate la secțiunea C punctele 4-7, 9, 10 și 11 din anexa I la Directiva 2014/65/UE, care nu au fost incluse la punctul 1 sau 2 din prezenta anexă.</w:t>
            </w:r>
          </w:p>
        </w:tc>
        <w:tc>
          <w:tcPr>
            <w:tcW w:w="1692" w:type="pct"/>
            <w:shd w:val="clear" w:color="auto" w:fill="auto"/>
          </w:tcPr>
          <w:p w14:paraId="24A4D5A0" w14:textId="7B7E6298" w:rsidR="009D7356" w:rsidRPr="00C011B2" w:rsidRDefault="00DA3236" w:rsidP="009D7356">
            <w:pPr>
              <w:spacing w:after="0" w:line="276" w:lineRule="auto"/>
              <w:jc w:val="both"/>
              <w:rPr>
                <w:rFonts w:ascii="Times New Roman" w:hAnsi="Times New Roman" w:cs="Times New Roman"/>
                <w:i/>
                <w:iCs/>
                <w:color w:val="000000" w:themeColor="text1"/>
                <w:lang w:val="ro-MD"/>
              </w:rPr>
            </w:pPr>
            <w:bookmarkStart w:id="541" w:name="_Hlk195100493"/>
            <w:r w:rsidRPr="00C011B2">
              <w:rPr>
                <w:rFonts w:ascii="Times New Roman" w:hAnsi="Times New Roman" w:cs="Times New Roman"/>
                <w:color w:val="000000" w:themeColor="text1"/>
                <w:lang w:val="ro-MD"/>
              </w:rPr>
              <w:lastRenderedPageBreak/>
              <w:t xml:space="preserve">Anexa nr.1 la Regulamentul privind cerințe de fonduri proprii pentru riscul de piață, aprobat prin Hotărârea </w:t>
            </w:r>
            <w:r w:rsidRPr="00C011B2">
              <w:rPr>
                <w:rFonts w:ascii="Times New Roman" w:hAnsi="Times New Roman" w:cs="Times New Roman"/>
                <w:color w:val="000000" w:themeColor="text1"/>
                <w:lang w:val="ro-MD"/>
              </w:rPr>
              <w:lastRenderedPageBreak/>
              <w:t>Comitetului executiv al Băncii Naționale a Moldovei  nr.XX/2025</w:t>
            </w:r>
          </w:p>
          <w:p w14:paraId="62A4303E" w14:textId="77777777" w:rsidR="009D7356" w:rsidRPr="00C011B2" w:rsidRDefault="009D7356" w:rsidP="009D7356">
            <w:pPr>
              <w:spacing w:after="0" w:line="276" w:lineRule="auto"/>
              <w:jc w:val="both"/>
              <w:rPr>
                <w:rFonts w:ascii="Times New Roman" w:hAnsi="Times New Roman" w:cs="Times New Roman"/>
                <w:b/>
                <w:bCs/>
                <w:color w:val="000000" w:themeColor="text1"/>
                <w:lang w:val="ro-MD"/>
              </w:rPr>
            </w:pPr>
            <w:bookmarkStart w:id="542" w:name="_Hlk224564647"/>
            <w:r w:rsidRPr="00C011B2">
              <w:rPr>
                <w:rFonts w:ascii="Times New Roman" w:hAnsi="Times New Roman" w:cs="Times New Roman"/>
                <w:b/>
                <w:bCs/>
                <w:color w:val="000000" w:themeColor="text1"/>
                <w:lang w:val="ro-MD"/>
              </w:rPr>
              <w:t>Tipuri de instrumente financiare derivate</w:t>
            </w:r>
          </w:p>
          <w:bookmarkEnd w:id="541"/>
          <w:p w14:paraId="4FDBA18D" w14:textId="2B01698D"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w:t>
            </w:r>
            <w:r w:rsidR="009D7356" w:rsidRPr="00C011B2">
              <w:rPr>
                <w:rFonts w:ascii="Times New Roman" w:hAnsi="Times New Roman" w:cs="Times New Roman"/>
                <w:color w:val="000000" w:themeColor="text1"/>
                <w:lang w:val="ro-MD"/>
              </w:rPr>
              <w:t> Contracte pe rata dobânzii:</w:t>
            </w:r>
          </w:p>
          <w:p w14:paraId="37D16EB2" w14:textId="703B0143"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1.1.</w:t>
            </w:r>
            <w:r w:rsidR="009D7356" w:rsidRPr="00C011B2">
              <w:rPr>
                <w:rFonts w:ascii="Times New Roman" w:hAnsi="Times New Roman" w:cs="Times New Roman"/>
                <w:color w:val="000000" w:themeColor="text1"/>
                <w:lang w:val="ro-MD"/>
              </w:rPr>
              <w:t> contracte swap într-o singură valută pe rata dobânzii;</w:t>
            </w:r>
          </w:p>
          <w:p w14:paraId="78907FA6" w14:textId="22AC6CA4"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1.2.</w:t>
            </w:r>
            <w:r w:rsidR="009D7356" w:rsidRPr="00C011B2">
              <w:rPr>
                <w:rFonts w:ascii="Times New Roman" w:hAnsi="Times New Roman" w:cs="Times New Roman"/>
                <w:color w:val="000000" w:themeColor="text1"/>
                <w:lang w:val="ro-MD"/>
              </w:rPr>
              <w:t> contracte swap de bază (basis-swaps);</w:t>
            </w:r>
          </w:p>
          <w:p w14:paraId="5A7DED1A" w14:textId="4BD08873"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1.3.</w:t>
            </w:r>
            <w:r w:rsidR="009D7356" w:rsidRPr="00C011B2">
              <w:rPr>
                <w:rFonts w:ascii="Times New Roman" w:hAnsi="Times New Roman" w:cs="Times New Roman"/>
                <w:color w:val="000000" w:themeColor="text1"/>
                <w:lang w:val="ro-MD"/>
              </w:rPr>
              <w:t> contracte forward pe rata dobânzii [forward rate agreements (FRA)];</w:t>
            </w:r>
          </w:p>
          <w:p w14:paraId="2BFDEA92" w14:textId="1A0F7873"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1.4.</w:t>
            </w:r>
            <w:r w:rsidR="009D7356" w:rsidRPr="00C011B2">
              <w:rPr>
                <w:rFonts w:ascii="Times New Roman" w:hAnsi="Times New Roman" w:cs="Times New Roman"/>
                <w:color w:val="000000" w:themeColor="text1"/>
                <w:lang w:val="ro-MD"/>
              </w:rPr>
              <w:t> contracte futures pe rata dobânzii (interest-rate futures);</w:t>
            </w:r>
          </w:p>
          <w:p w14:paraId="2F653083" w14:textId="51A34979"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1.5.</w:t>
            </w:r>
            <w:r w:rsidR="009D7356" w:rsidRPr="00C011B2">
              <w:rPr>
                <w:rFonts w:ascii="Times New Roman" w:hAnsi="Times New Roman" w:cs="Times New Roman"/>
                <w:color w:val="000000" w:themeColor="text1"/>
                <w:lang w:val="ro-MD"/>
              </w:rPr>
              <w:t> opțiuni pe rata dobânzii;</w:t>
            </w:r>
          </w:p>
          <w:p w14:paraId="03848756" w14:textId="2BEA623B"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1.6.</w:t>
            </w:r>
            <w:r w:rsidR="009D7356" w:rsidRPr="00C011B2">
              <w:rPr>
                <w:rFonts w:ascii="Times New Roman" w:hAnsi="Times New Roman" w:cs="Times New Roman"/>
                <w:color w:val="000000" w:themeColor="text1"/>
                <w:lang w:val="ro-MD"/>
              </w:rPr>
              <w:t> alte contracte de natură similară;</w:t>
            </w:r>
          </w:p>
          <w:p w14:paraId="0E4891C3" w14:textId="59C73FBC"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w:t>
            </w:r>
            <w:r w:rsidR="009D7356" w:rsidRPr="00C011B2">
              <w:rPr>
                <w:rFonts w:ascii="Times New Roman" w:hAnsi="Times New Roman" w:cs="Times New Roman"/>
                <w:color w:val="000000" w:themeColor="text1"/>
                <w:lang w:val="ro-MD"/>
              </w:rPr>
              <w:t> contracte pe cursul de schimb și contracte pe aur:</w:t>
            </w:r>
          </w:p>
          <w:p w14:paraId="110C9D11" w14:textId="4BE4F067"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2.1.</w:t>
            </w:r>
            <w:r w:rsidR="009D7356" w:rsidRPr="00C011B2">
              <w:rPr>
                <w:rFonts w:ascii="Times New Roman" w:hAnsi="Times New Roman" w:cs="Times New Roman"/>
                <w:color w:val="000000" w:themeColor="text1"/>
                <w:lang w:val="ro-MD"/>
              </w:rPr>
              <w:t> contracte swap în valute diferite pe rata dobânzii (cross-currency interest-rate swaps);</w:t>
            </w:r>
          </w:p>
          <w:p w14:paraId="2BF243A2" w14:textId="28E788D8"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2.2.</w:t>
            </w:r>
            <w:r w:rsidR="009D7356" w:rsidRPr="00C011B2">
              <w:rPr>
                <w:rFonts w:ascii="Times New Roman" w:hAnsi="Times New Roman" w:cs="Times New Roman"/>
                <w:color w:val="000000" w:themeColor="text1"/>
                <w:lang w:val="ro-MD"/>
              </w:rPr>
              <w:t> contracte forward pe cursul de schimb (forward foreign-exchange contracts);</w:t>
            </w:r>
          </w:p>
          <w:p w14:paraId="08196902" w14:textId="55798FBF"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2.3.</w:t>
            </w:r>
            <w:r w:rsidR="009D7356" w:rsidRPr="00C011B2">
              <w:rPr>
                <w:rFonts w:ascii="Times New Roman" w:hAnsi="Times New Roman" w:cs="Times New Roman"/>
                <w:color w:val="000000" w:themeColor="text1"/>
                <w:lang w:val="ro-MD"/>
              </w:rPr>
              <w:t> contracte futures pe valute (currency futures);</w:t>
            </w:r>
          </w:p>
          <w:p w14:paraId="53572147" w14:textId="30D55411"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2.4.</w:t>
            </w:r>
            <w:r w:rsidR="009D7356" w:rsidRPr="00C011B2">
              <w:rPr>
                <w:rFonts w:ascii="Times New Roman" w:hAnsi="Times New Roman" w:cs="Times New Roman"/>
                <w:color w:val="000000" w:themeColor="text1"/>
                <w:lang w:val="ro-MD"/>
              </w:rPr>
              <w:t> opțiuni pe valute;</w:t>
            </w:r>
          </w:p>
          <w:p w14:paraId="4FC258E1" w14:textId="38A60BA6"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2.5.</w:t>
            </w:r>
            <w:r w:rsidR="009D7356" w:rsidRPr="00C011B2">
              <w:rPr>
                <w:rFonts w:ascii="Times New Roman" w:hAnsi="Times New Roman" w:cs="Times New Roman"/>
                <w:color w:val="000000" w:themeColor="text1"/>
                <w:lang w:val="ro-MD"/>
              </w:rPr>
              <w:t> alte contracte de natură similară;</w:t>
            </w:r>
          </w:p>
          <w:p w14:paraId="6DD88634" w14:textId="531514D4" w:rsidR="009D7356" w:rsidRPr="00C011B2" w:rsidRDefault="00714980"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2.6.</w:t>
            </w:r>
            <w:r w:rsidR="009D7356" w:rsidRPr="00C011B2">
              <w:rPr>
                <w:rFonts w:ascii="Times New Roman" w:hAnsi="Times New Roman" w:cs="Times New Roman"/>
                <w:color w:val="000000" w:themeColor="text1"/>
                <w:lang w:val="ro-MD"/>
              </w:rPr>
              <w:t xml:space="preserve"> contracte pe aur de natură similară celor de la </w:t>
            </w:r>
            <w:r w:rsidRPr="00C011B2">
              <w:rPr>
                <w:rFonts w:ascii="Times New Roman" w:hAnsi="Times New Roman" w:cs="Times New Roman"/>
                <w:color w:val="000000" w:themeColor="text1"/>
                <w:lang w:val="ro-MD"/>
              </w:rPr>
              <w:t>subpct.2.1-2.5</w:t>
            </w:r>
            <w:r w:rsidR="009D7356" w:rsidRPr="00C011B2">
              <w:rPr>
                <w:rFonts w:ascii="Times New Roman" w:hAnsi="Times New Roman" w:cs="Times New Roman"/>
                <w:color w:val="000000" w:themeColor="text1"/>
                <w:lang w:val="ro-MD"/>
              </w:rPr>
              <w:t>.</w:t>
            </w:r>
          </w:p>
          <w:p w14:paraId="13761557" w14:textId="6F30ECD7" w:rsidR="009D7356" w:rsidRPr="00C011B2" w:rsidRDefault="009D7356" w:rsidP="009D7356">
            <w:pPr>
              <w:spacing w:after="0"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t xml:space="preserve">3. Contracte de natură similară celor de la </w:t>
            </w:r>
            <w:r w:rsidR="00714980" w:rsidRPr="00C011B2">
              <w:rPr>
                <w:rFonts w:ascii="Times New Roman" w:hAnsi="Times New Roman" w:cs="Times New Roman"/>
                <w:color w:val="000000" w:themeColor="text1"/>
                <w:lang w:val="ro-MD"/>
              </w:rPr>
              <w:t>subpct.1.1-1.5</w:t>
            </w:r>
            <w:r w:rsidRPr="00C011B2">
              <w:rPr>
                <w:rFonts w:ascii="Times New Roman" w:hAnsi="Times New Roman" w:cs="Times New Roman"/>
                <w:color w:val="000000" w:themeColor="text1"/>
                <w:lang w:val="ro-MD"/>
              </w:rPr>
              <w:t xml:space="preserve"> și </w:t>
            </w:r>
            <w:r w:rsidR="00714980" w:rsidRPr="00C011B2">
              <w:rPr>
                <w:rFonts w:ascii="Times New Roman" w:hAnsi="Times New Roman" w:cs="Times New Roman"/>
                <w:color w:val="000000" w:themeColor="text1"/>
                <w:lang w:val="ro-MD"/>
              </w:rPr>
              <w:t>2.1-2.4</w:t>
            </w:r>
            <w:r w:rsidRPr="00C011B2">
              <w:rPr>
                <w:rFonts w:ascii="Times New Roman" w:hAnsi="Times New Roman" w:cs="Times New Roman"/>
                <w:color w:val="000000" w:themeColor="text1"/>
                <w:lang w:val="ro-MD"/>
              </w:rPr>
              <w:t xml:space="preserve"> din prezenta anexă privind alte elemente de referință sau indici</w:t>
            </w:r>
            <w:r w:rsidR="00541097" w:rsidRPr="00C011B2">
              <w:rPr>
                <w:rFonts w:ascii="Times New Roman" w:hAnsi="Times New Roman" w:cs="Times New Roman"/>
                <w:color w:val="000000" w:themeColor="text1"/>
                <w:lang w:val="ro-MD"/>
              </w:rPr>
              <w:t>,</w:t>
            </w:r>
            <w:r w:rsidRPr="00C011B2">
              <w:rPr>
                <w:rFonts w:ascii="Times New Roman" w:hAnsi="Times New Roman" w:cs="Times New Roman"/>
                <w:color w:val="000000" w:themeColor="text1"/>
                <w:lang w:val="ro-MD"/>
              </w:rPr>
              <w:t xml:space="preserve"> </w:t>
            </w:r>
            <w:r w:rsidR="00541097" w:rsidRPr="00C011B2">
              <w:rPr>
                <w:rFonts w:ascii="Times New Roman" w:hAnsi="Times New Roman" w:cs="Times New Roman"/>
                <w:color w:val="000000" w:themeColor="text1"/>
                <w:lang w:val="ro-MD"/>
              </w:rPr>
              <w:t xml:space="preserve">prevăzute </w:t>
            </w:r>
            <w:r w:rsidR="00980B75" w:rsidRPr="00C011B2">
              <w:rPr>
                <w:rFonts w:ascii="Times New Roman" w:hAnsi="Times New Roman" w:cs="Times New Roman"/>
                <w:color w:val="000000" w:themeColor="text1"/>
                <w:lang w:val="ro-MD"/>
              </w:rPr>
              <w:t>în</w:t>
            </w:r>
            <w:r w:rsidR="00541097" w:rsidRPr="00C011B2">
              <w:rPr>
                <w:rFonts w:ascii="Times New Roman" w:hAnsi="Times New Roman" w:cs="Times New Roman"/>
                <w:color w:val="000000" w:themeColor="text1"/>
                <w:lang w:val="ro-MD"/>
              </w:rPr>
              <w:t xml:space="preserve"> Legea privind pieţele </w:t>
            </w:r>
            <w:r w:rsidR="00541097" w:rsidRPr="00C011B2">
              <w:rPr>
                <w:rFonts w:ascii="Times New Roman" w:hAnsi="Times New Roman" w:cs="Times New Roman"/>
                <w:color w:val="000000" w:themeColor="text1"/>
                <w:lang w:val="ro-MD"/>
              </w:rPr>
              <w:lastRenderedPageBreak/>
              <w:t>instrumentelor financiare și activitățile de investiții</w:t>
            </w:r>
            <w:r w:rsidRPr="00C011B2">
              <w:rPr>
                <w:rFonts w:ascii="Times New Roman" w:hAnsi="Times New Roman" w:cs="Times New Roman"/>
                <w:color w:val="000000" w:themeColor="text1"/>
                <w:lang w:val="ro-MD"/>
              </w:rPr>
              <w:t>, care nu au fost incluse la punctul 1 sau 2 din prezenta anexă.</w:t>
            </w:r>
            <w:bookmarkEnd w:id="542"/>
          </w:p>
        </w:tc>
        <w:tc>
          <w:tcPr>
            <w:tcW w:w="450" w:type="pct"/>
          </w:tcPr>
          <w:p w14:paraId="341D7922" w14:textId="48293327" w:rsidR="009D7356" w:rsidRPr="00FE4289" w:rsidRDefault="003C79CF" w:rsidP="009D7356">
            <w:pPr>
              <w:spacing w:line="276" w:lineRule="auto"/>
              <w:jc w:val="both"/>
              <w:rPr>
                <w:rFonts w:ascii="Times New Roman" w:hAnsi="Times New Roman" w:cs="Times New Roman"/>
                <w:color w:val="000000" w:themeColor="text1"/>
                <w:lang w:val="ro-MD"/>
              </w:rPr>
            </w:pPr>
            <w:r w:rsidRPr="00C011B2">
              <w:rPr>
                <w:rFonts w:ascii="Times New Roman" w:hAnsi="Times New Roman" w:cs="Times New Roman"/>
                <w:color w:val="000000" w:themeColor="text1"/>
                <w:lang w:val="ro-MD"/>
              </w:rPr>
              <w:lastRenderedPageBreak/>
              <w:t>compatibil</w:t>
            </w:r>
          </w:p>
        </w:tc>
        <w:tc>
          <w:tcPr>
            <w:tcW w:w="1261" w:type="pct"/>
          </w:tcPr>
          <w:p w14:paraId="69BCCE9D" w14:textId="77777777" w:rsidR="009D7356" w:rsidRPr="00FE4289" w:rsidRDefault="009D7356" w:rsidP="009D7356">
            <w:pPr>
              <w:spacing w:line="276" w:lineRule="auto"/>
              <w:jc w:val="both"/>
              <w:rPr>
                <w:rFonts w:ascii="Times New Roman" w:hAnsi="Times New Roman" w:cs="Times New Roman"/>
                <w:color w:val="000000" w:themeColor="text1"/>
                <w:lang w:val="ro-MD"/>
              </w:rPr>
            </w:pPr>
          </w:p>
        </w:tc>
      </w:tr>
    </w:tbl>
    <w:p w14:paraId="160829AF" w14:textId="77777777" w:rsidR="00C75135" w:rsidRPr="00AC08C7" w:rsidRDefault="00C75135">
      <w:pPr>
        <w:rPr>
          <w:lang w:val="ro-MD"/>
        </w:rPr>
      </w:pPr>
    </w:p>
    <w:sectPr w:rsidR="00C75135" w:rsidRPr="00AC08C7" w:rsidSect="002340E1">
      <w:headerReference w:type="even" r:id="rId272"/>
      <w:headerReference w:type="default" r:id="rId273"/>
      <w:footerReference w:type="even" r:id="rId274"/>
      <w:footerReference w:type="default" r:id="rId275"/>
      <w:headerReference w:type="first" r:id="rId276"/>
      <w:footerReference w:type="first" r:id="rId277"/>
      <w:pgSz w:w="16838" w:h="11906" w:orient="landscape"/>
      <w:pgMar w:top="1701" w:right="1134" w:bottom="850"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Tatiana I. Chicu" w:date="2025-06-12T09:32:00Z" w:initials="TC">
    <w:p w14:paraId="14B63168" w14:textId="20DE8C98" w:rsidR="005E0781" w:rsidRDefault="005E0781" w:rsidP="005E0781">
      <w:pPr>
        <w:pStyle w:val="CommentText"/>
      </w:pPr>
      <w:r>
        <w:rPr>
          <w:rStyle w:val="CommentReference"/>
        </w:rPr>
        <w:annotationRef/>
      </w:r>
      <w:r>
        <w:t>Autoritatea europeană de supraveghere (Autoritatea</w:t>
      </w:r>
      <w:r>
        <w:rPr>
          <w:lang w:val="ro-RO"/>
        </w:rPr>
        <w:t xml:space="preserve"> </w:t>
      </w:r>
      <w:r>
        <w:t>europeană pentru valori mobiliare și pieţe) (AEVMP)</w:t>
      </w:r>
    </w:p>
  </w:comment>
  <w:comment w:id="25" w:author="Tatiana I. Chicu" w:date="2025-05-29T13:45:00Z" w:initials="TC">
    <w:p w14:paraId="760621D6" w14:textId="3A1D6073" w:rsidR="00514D42" w:rsidRDefault="00514D42" w:rsidP="00514D42">
      <w:pPr>
        <w:pStyle w:val="CommentText"/>
      </w:pPr>
      <w:r>
        <w:rPr>
          <w:rStyle w:val="CommentReference"/>
        </w:rPr>
        <w:annotationRef/>
      </w:r>
      <w:r>
        <w:rPr>
          <w:lang w:val="ro-RO"/>
        </w:rPr>
        <w:t>De introdus def în R 322/2018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B63168" w15:done="0"/>
  <w15:commentEx w15:paraId="760621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F51D26" w16cex:dateUtc="2025-06-12T06:32:00Z"/>
  <w16cex:commentExtensible w16cex:durableId="2BE2E36C" w16cex:dateUtc="2025-05-29T1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B63168" w16cid:durableId="2BF51D26"/>
  <w16cid:commentId w16cid:paraId="760621D6" w16cid:durableId="2BE2E3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610D" w14:textId="77777777" w:rsidR="00716DAB" w:rsidRDefault="00716DAB" w:rsidP="00716DAB">
      <w:pPr>
        <w:spacing w:after="0" w:line="240" w:lineRule="auto"/>
      </w:pPr>
      <w:r>
        <w:separator/>
      </w:r>
    </w:p>
  </w:endnote>
  <w:endnote w:type="continuationSeparator" w:id="0">
    <w:p w14:paraId="20E7A336" w14:textId="77777777" w:rsidR="00716DAB" w:rsidRDefault="00716DAB" w:rsidP="0071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2">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299A" w14:textId="1FB96CB3" w:rsidR="00716DAB" w:rsidRDefault="007776D8">
    <w:pPr>
      <w:pStyle w:val="Footer"/>
    </w:pPr>
    <w:r>
      <w:rPr>
        <w:noProof/>
      </w:rPr>
      <mc:AlternateContent>
        <mc:Choice Requires="wps">
          <w:drawing>
            <wp:anchor distT="0" distB="0" distL="0" distR="0" simplePos="0" relativeHeight="251662336" behindDoc="0" locked="0" layoutInCell="1" allowOverlap="1" wp14:anchorId="39E9278F" wp14:editId="3DBD3C27">
              <wp:simplePos x="0" y="0"/>
              <wp:positionH relativeFrom="page">
                <wp:align>center</wp:align>
              </wp:positionH>
              <wp:positionV relativeFrom="page">
                <wp:align>bottom</wp:align>
              </wp:positionV>
              <wp:extent cx="443865" cy="4438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A8A3864" w14:textId="13A20D0D"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9E9278F" id="_x0000_t202" coordsize="21600,21600" o:spt="202" path="m,l,21600r21600,l21600,xe">
              <v:stroke joinstyle="miter"/>
              <v:path gradientshapeok="t" o:connecttype="rect"/>
            </v:shapetype>
            <v:shape id="Text Box 7" o:spid="_x0000_s1028" type="#_x0000_t202" style="position:absolute;margin-left:0;margin-top:0;width:34.95pt;height:34.9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QyMKFwIAADUEAAAOAAAAZHJzL2Uyb0RvYy54bWysU01v2zAMvQ/YfxB0X+xkbdEZcYqsRYYB QVsgHXqWZSk2JomCpMTOfv0o2U62bqdhF5kmKX6897S867UiR+F8C6ak81lOiTAc6tbsS/rtZfPh lhIfmKmZAiNKehKe3q3ev1t2thALaEDVwhEsYnzR2ZI2IdgiyzxvhGZ+BlYYDEpwmgX8dfusdqzD 6lplizy/yTpwtXXAhffofRiCdJXqSyl4eJLSi0BUSXG2kE6Xziqe2WrJir1jtmn5OAb7hyk0aw02 PZd6YIGRg2v/KKVb7sCDDDMOOgMpWy7SDrjNPH+zza5hVqRdEBxvzzD5/1eWPx539tmR0H+GHglM S3i7Bf7dIzZZZ30x5kRMfeExOy7aS6fjF1cgeBGxPZ3xFH0gHJ1XVx9vb64p4Rga7Vjzctk6H74I 0CQaJXVIVxqAHbc+DKlTSuxlYNMqlShT5jcH1oyeNO4wYZw19FVP2rqki8hz9FRQn3BbB4MQvOWb FltvmQ/PzCHzuAeqOTzhIRV0JYXRoqQB9+Nv/piPhGCUkg6VVFKDUqdEfTVIVBTdZLjJqJIx/5Rf 5xg3B30PqM85PhXLk4leF9RkSgf6FXW+jo0wxAzHdiWtJvM+DJLGd8LFep2SUF+Wha3ZWT7xGrF8 6V+ZsyPgAZl6hElmrHiD+5AbgfZ2fQiIfiLlAuSIOGoz0Tq+oyj+X/9T1uW1r34CAAD//wMAUEsD BBQABgAIAAAAIQA37dH42QAAAAMBAAAPAAAAZHJzL2Rvd25yZXYueG1sTI9BT8MwDIXvSPyHyEjc WMomJlaaTmgSpyGkbVy4eYnXFhqnatyt+/cEOLCLn6xnvfe5WI6+VUfqYxPYwP0kA0Vsg2u4MvC+ e7l7BBUF2WEbmAycKcKyvL4qMHfhxBs6bqVSKYRjjgZqkS7XOtqaPMZJ6IiTdwi9R0lrX2nX4ymF +1ZPs2yuPTacGmrsaFWT/doO3sDDRl6HN97NPsbp+XPdrezssLbG3N6Mz0+ghEb5P4Yf/IQOZWLa h4FdVK2B9Ij8zuTNFwtQ+z/VZaEv2ctvAAAA//8DAFBLAQItABQABgAIAAAAIQC2gziS/gAAAOEB AAATAAAAAAAAAAAAAAAAAAAAAABbQ29udGVudF9UeXBlc10ueG1sUEsBAi0AFAAGAAgAAAAhADj9 If/WAAAAlAEAAAsAAAAAAAAAAAAAAAAALwEAAF9yZWxzLy5yZWxzUEsBAi0AFAAGAAgAAAAhAFJD IwoXAgAANQQAAA4AAAAAAAAAAAAAAAAALgIAAGRycy9lMm9Eb2MueG1sUEsBAi0AFAAGAAgAAAAh ADft0fjZAAAAAwEAAA8AAAAAAAAAAAAAAAAAcQQAAGRycy9kb3ducmV2LnhtbFBLBQYAAAAABAAE APMAAAB3BQAAAAA= " filled="f" stroked="f">
              <v:textbox style="mso-fit-shape-to-text:t" inset="0,0,0,15pt">
                <w:txbxContent>
                  <w:p w14:paraId="2A8A3864" w14:textId="13A20D0D"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925965"/>
      <w:docPartObj>
        <w:docPartGallery w:val="Page Numbers (Bottom of Page)"/>
        <w:docPartUnique/>
      </w:docPartObj>
    </w:sdtPr>
    <w:sdtEndPr>
      <w:rPr>
        <w:noProof/>
      </w:rPr>
    </w:sdtEndPr>
    <w:sdtContent>
      <w:p w14:paraId="6E844025" w14:textId="6FEEEA2D" w:rsidR="00C23F31" w:rsidRDefault="00C23F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B2A15" w14:textId="5CD83C0A" w:rsidR="00716DAB" w:rsidRPr="001F53A9" w:rsidRDefault="00716DAB" w:rsidP="00716DAB">
    <w:pPr>
      <w:pStyle w:val="Footer"/>
      <w:jc w:val="center"/>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B39" w14:textId="3758E48B" w:rsidR="00716DAB" w:rsidRDefault="007776D8">
    <w:pPr>
      <w:pStyle w:val="Footer"/>
    </w:pPr>
    <w:r>
      <w:rPr>
        <w:noProof/>
      </w:rPr>
      <mc:AlternateContent>
        <mc:Choice Requires="wps">
          <w:drawing>
            <wp:anchor distT="0" distB="0" distL="0" distR="0" simplePos="0" relativeHeight="251661312" behindDoc="0" locked="0" layoutInCell="1" allowOverlap="1" wp14:anchorId="7A2611D9" wp14:editId="70639505">
              <wp:simplePos x="0" y="0"/>
              <wp:positionH relativeFrom="page">
                <wp:align>center</wp:align>
              </wp:positionH>
              <wp:positionV relativeFrom="page">
                <wp:align>bottom</wp:align>
              </wp:positionV>
              <wp:extent cx="443865" cy="44386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FFC601E" w14:textId="60001692"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A2611D9" id="_x0000_t202" coordsize="21600,21600" o:spt="202" path="m,l,21600r21600,l21600,xe">
              <v:stroke joinstyle="miter"/>
              <v:path gradientshapeok="t" o:connecttype="rect"/>
            </v:shapetype>
            <v:shape id="Text Box 5" o:spid="_x0000_s1030" type="#_x0000_t202" style="position:absolute;margin-left:0;margin-top:0;width:34.95pt;height:34.95pt;z-index:25166131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wIyHFgIAADUEAAAOAAAAZHJzL2Uyb0RvYy54bWysU01v2zAMvQ/YfxB0X+x0bdEZcYqsRYYB QVsgHXpWZCk2JouCqMTufv0o2U62bqdhF5kmKX6897S47VvDjspjA7bk81nOmbISqsbuS/7tef3h hjMMwlbCgFUlf1XIb5fv3y06V6gLqMFUyjMqYrHoXMnrEFyRZShr1QqcgVOWghp8KwL9+n1WedFR 9dZkF3l+nXXgK+dBKkTy3g9Bvkz1tVYyPGqNKjBTcpotpNOncxfPbLkQxd4LVzdyHEP8wxStaCw1 PZW6F0Gwg2/+KNU20gOCDjMJbQZaN1KlHWibef5mm20tnEq7EDjoTjDh/ysrH45b9+RZ6D9DTwSm JdBtQH5HwibrHBZjTsQUC6TsuGivfRu/tAKji4Tt6wlP1QcmyXl5+fHm+oozSaHRjjXPl53H8EVB y6JRck90pQHEcYNhSJ1SYi8L68aYRJmxvzmoZvSkcYcJ46yh3/Wsqah55Dl6dlC90rYeBiGgk+uG Wm8EhifhiXnag9QcHunQBrqSw2hxVoP/8Td/zCdCKMpZR0oquSWpc2a+WiIqim4y/GTskjH/lF/l FLeH9g5In3N6Kk4mk7w+mMnUHtoX0vkqNqKQsJLalXw3mXdhkDS9E6lWq5RE+nIibOzWyYnXiOVz /yK8GwEPxNQDTDITxRvch9wINLrVIRD6iZQzkCPipM1E6/iOovh//U9Z59e+/AkAAP//AwBQSwME FAAGAAgAAAAhADft0fjZAAAAAwEAAA8AAABkcnMvZG93bnJldi54bWxMj0FPwzAMhe9I/IfISNxY yiYmVppOaBKnIaRtXLh5idcWGqdq3K379wQ4sIufrGe997lYjr5VR+pjE9jA/SQDRWyDa7gy8L57 uXsEFQXZYRuYDJwpwrK8viowd+HEGzpupVIphGOOBmqRLtc62po8xknoiJN3CL1HSWtfadfjKYX7 Vk+zbK49NpwaauxoVZP92g7ewMNGXoc33s0+xun5c92t7Oywtsbc3ozPT6CERvk/hh/8hA5lYtqH gV1UrYH0iPzO5M0XC1D7P9VloS/Zy28AAAD//wMAUEsBAi0AFAAGAAgAAAAhALaDOJL+AAAA4QEA ABMAAAAAAAAAAAAAAAAAAAAAAFtDb250ZW50X1R5cGVzXS54bWxQSwECLQAUAAYACAAAACEAOP0h /9YAAACUAQAACwAAAAAAAAAAAAAAAAAvAQAAX3JlbHMvLnJlbHNQSwECLQAUAAYACAAAACEAPMCM hxYCAAA1BAAADgAAAAAAAAAAAAAAAAAuAgAAZHJzL2Uyb0RvYy54bWxQSwECLQAUAAYACAAAACEA N+3R+NkAAAADAQAADwAAAAAAAAAAAAAAAABwBAAAZHJzL2Rvd25yZXYueG1sUEsFBgAAAAAEAAQA 8wAAAHYFAAAAAA== " filled="f" stroked="f">
              <v:textbox style="mso-fit-shape-to-text:t" inset="0,0,0,15pt">
                <w:txbxContent>
                  <w:p w14:paraId="0FFC601E" w14:textId="60001692"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4CB4B" w14:textId="77777777" w:rsidR="00716DAB" w:rsidRDefault="00716DAB" w:rsidP="00716DAB">
      <w:pPr>
        <w:spacing w:after="0" w:line="240" w:lineRule="auto"/>
      </w:pPr>
      <w:r>
        <w:separator/>
      </w:r>
    </w:p>
  </w:footnote>
  <w:footnote w:type="continuationSeparator" w:id="0">
    <w:p w14:paraId="6C57BF4D" w14:textId="77777777" w:rsidR="00716DAB" w:rsidRDefault="00716DAB" w:rsidP="00716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DF05" w14:textId="4074F921" w:rsidR="00716DAB" w:rsidRDefault="007776D8">
    <w:pPr>
      <w:pStyle w:val="Header"/>
    </w:pPr>
    <w:r>
      <w:rPr>
        <w:noProof/>
      </w:rPr>
      <mc:AlternateContent>
        <mc:Choice Requires="wps">
          <w:drawing>
            <wp:anchor distT="0" distB="0" distL="0" distR="0" simplePos="0" relativeHeight="251659264" behindDoc="0" locked="0" layoutInCell="1" allowOverlap="1" wp14:anchorId="493AA791" wp14:editId="50C569B4">
              <wp:simplePos x="0" y="0"/>
              <wp:positionH relativeFrom="page">
                <wp:align>right</wp:align>
              </wp:positionH>
              <wp:positionV relativeFrom="page">
                <wp:align>top</wp:align>
              </wp:positionV>
              <wp:extent cx="443865" cy="44386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F27FF07" w14:textId="7C6F8170"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93AA791" id="_x0000_t202" coordsize="21600,21600" o:spt="202" path="m,l,21600r21600,l21600,xe">
              <v:stroke joinstyle="miter"/>
              <v:path gradientshapeok="t" o:connecttype="rect"/>
            </v:shapetype>
            <v:shape id="Text Box 11" o:spid="_x0000_s1026" type="#_x0000_t202" style="position:absolute;margin-left:-16.25pt;margin-top:0;width:34.95pt;height:34.95pt;z-index:25165926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CsX+FwIAADMEAAAOAAAAZHJzL2Uyb0RvYy54bWysU01v2zAMvQ/YfxB0X+xkSdEZcYqsRYYB QVsgHXpWZCk2JomCpMTOfv0o2U62bqdhF5mknvnx+LS867QiJ+F8A6ak00lOiTAcqsYcSvrtZfPh lhIfmKmYAiNKehae3q3ev1u2thAzqEFVwhFMYnzR2pLWIdgiyzyvhWZ+AlYYvJTgNAvoukNWOdZi dq2yWZ7fZC24yjrgwnuMPvSXdJXySyl4eJLSi0BUSbG3kE6Xzn08s9WSFQfHbN3woQ32D11o1hgs ekn1wAIjR9f8kUo33IEHGSYcdAZSNlykGXCaaf5mml3NrEizIDneXmjy/y8tfzzt7LMjofsMHS4w DeHtFvh3j9xkrfXFgImc+sIjOg7aSafjF0cg+CNye77wKbpAOAbn84+3NwtKOF4Ndsx5/dk6H74I 0CQaJXW4rtQAO2196KEjJNYysGmUSitT5rcA5oyR1G7fYew1dPsO0dHcQ3XGMR30CvCWbxqsuWU+ PDOHK8cBUMbhCQ+poC0pDBYlNbgff4tHPG4CbylpUUIlNahxStRXgxuKakvG9FO+yNFzyZst5nn0 9iPIHPU9oDqn+FAsT2YEBzWa0oF+RZWvYzW8YoZjzZKG0bwPvaDxlXCxXicQqsuysDU7y8etRiZf ulfm7EB3wD09wigyVrxhvcdGmr1dHwNyn1ZyZXPgG5WZljq8oij9X/2Eur711U8AAAD//wMAUEsD BBQABgAIAAAAIQB3V4RC2gAAAAMBAAAPAAAAZHJzL2Rvd25yZXYueG1sTI9BS8NAEIXvgv9hmYIX sRsVShOzKSIU7MGDrTl4m2SnSWh2Nuxu0+Tfu+pBL/MY3vDeN/lmMr0YyfnOsoL7ZQKCuLa640bB x2F7twbhA7LG3jIpmMnDpri+yjHT9sLvNO5DI2II+wwVtCEMmZS+bsmgX9qBOHpH6wyGuLpGaoeX GG56+ZAkK2mw49jQ4kAvLdWn/dkoKCd3+7ZNd69z9dmNc7IrH9fHUqmbxfT8BCLQFP6O4Rs/okMR mSp7Zu1FryA+En5m9FZpCqL6VVnk8j978QUAAP//AwBQSwECLQAUAAYACAAAACEAtoM4kv4AAADh AQAAEwAAAAAAAAAAAAAAAAAAAAAAW0NvbnRlbnRfVHlwZXNdLnhtbFBLAQItABQABgAIAAAAIQA4 /SH/1gAAAJQBAAALAAAAAAAAAAAAAAAAAC8BAABfcmVscy8ucmVsc1BLAQItABQABgAIAAAAIQCp CsX+FwIAADMEAAAOAAAAAAAAAAAAAAAAAC4CAABkcnMvZTJvRG9jLnhtbFBLAQItABQABgAIAAAA IQB3V4RC2gAAAAMBAAAPAAAAAAAAAAAAAAAAAHEEAABkcnMvZG93bnJldi54bWxQSwUGAAAAAAQA BADzAAAAeAUAAAAA " filled="f" stroked="f">
              <v:textbox style="mso-fit-shape-to-text:t" inset="0,15pt,20pt,0">
                <w:txbxContent>
                  <w:p w14:paraId="3F27FF07" w14:textId="7C6F8170"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708A" w14:textId="47B4B578" w:rsidR="00716DAB" w:rsidRDefault="007776D8" w:rsidP="00716DAB">
    <w:pPr>
      <w:pStyle w:val="Header"/>
      <w:jc w:val="right"/>
    </w:pPr>
    <w:bookmarkStart w:id="543" w:name="TITUS1HeaderPrimary"/>
    <w:r>
      <w:rPr>
        <w:noProof/>
      </w:rPr>
      <mc:AlternateContent>
        <mc:Choice Requires="wps">
          <w:drawing>
            <wp:anchor distT="0" distB="0" distL="0" distR="0" simplePos="0" relativeHeight="251660288" behindDoc="0" locked="0" layoutInCell="1" allowOverlap="1" wp14:anchorId="425FF7C7" wp14:editId="1E94A618">
              <wp:simplePos x="0" y="0"/>
              <wp:positionH relativeFrom="page">
                <wp:align>right</wp:align>
              </wp:positionH>
              <wp:positionV relativeFrom="page">
                <wp:align>top</wp:align>
              </wp:positionV>
              <wp:extent cx="527050" cy="39116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391160"/>
                      </a:xfrm>
                      <a:prstGeom prst="rect">
                        <a:avLst/>
                      </a:prstGeom>
                      <a:noFill/>
                      <a:ln>
                        <a:noFill/>
                      </a:ln>
                    </wps:spPr>
                    <wps:txbx>
                      <w:txbxContent>
                        <w:p w14:paraId="43EC7D37" w14:textId="628C7F05"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25FF7C7" id="_x0000_t202" coordsize="21600,21600" o:spt="202" path="m,l,21600r21600,l21600,xe">
              <v:stroke joinstyle="miter"/>
              <v:path gradientshapeok="t" o:connecttype="rect"/>
            </v:shapetype>
            <v:shape id="Text Box 10" o:spid="_x0000_s1027" type="#_x0000_t202" style="position:absolute;left:0;text-align:left;margin-left:-9.7pt;margin-top:0;width:41.5pt;height:30.8pt;z-index:251660288;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NHlMHwIAADoEAAAOAAAAZHJzL2Uyb0RvYy54bWysU01v2zAMvQ/YfxB0X2xnS7cacYqsRYYB QVsgHXpWZCk2JomCpMTOfv0oxU62rqdiF5kiaX689zS/6bUiB+F8C6aixSSnRBgOdWt2Ff3xtPrw hRIfmKmZAiMqehSe3izev5t3thRTaEDVwhEsYnzZ2Yo2IdgyyzxvhGZ+AlYYDEpwmgW8ul1WO9Zh da2yaZ5fZR242jrgwnv03p2CdJHqSyl4eJDSi0BURXG2kE6Xzm08s8WclTvHbNPyYQz2hik0aw02 PZe6Y4GRvWv/KaVb7sCDDBMOOgMpWy7SDrhNkb/YZtMwK9IuCI63Z5j8/yvL7w8b++hI6L9CjwSm JbxdA//pEZuss74cciKmvvSYHRftpdPxiysQ/BGxPZ7xFH0gHJ2z6ed8hhGOoY/XRXGV8M4uP1vn wzcBmkSjog7pSgOww9qH2J6VY0rsZWDVKpUoU+YvByZGTxr3NGGcNfTbnrR1XAt/ip4t1Efc1sFJ CN7yVYut18yHR+aQeZwW1Rwe8JAKuorCYFHSgPv1mj/mIyEYpaRDJVXUoNQpUd8NEhVFl4ziGrHA m0u36exTHm/bMcns9S2gSAt8L5YnMyYHNZrSgX5GsS9jNwwxw7FnRcNo3oaTrvGxcLFcpiQUmWVh bTaWj+RGQJ/6Z+bsgHpAuu5h1BorX4B/yo1oe7vcB6QgMXNBc4AdBZoIGx5TfAF/3lPW5ckvfgMA AP//AwBQSwMEFAAGAAgAAAAhACndtwHbAAAAAwEAAA8AAABkcnMvZG93bnJldi54bWxMj0FLw0AQ he+C/2EZwYvYTS2EGLMpIhTswYOtOXjbZKdJMDsbdrdp8u8dvejlweMN731TbGc7iAl96B0pWK8S EEiNMz21Cj6Ou/sMRIiajB4coYIFA2zL66tC58Zd6B2nQ2wFl1DItYIuxjGXMjQdWh1WbkTi7OS8 1ZGtb6Xx+sLldpAPSZJKq3vihU6P+NJh83U4WwXV7O/edo/716X+7Kcl2Veb7FQpdXszPz+BiDjH v2P4wWd0KJmpdmcyQQwK+JH4q5xlG3a1gnSdgiwL+Z+9/AYAAP//AwBQSwECLQAUAAYACAAAACEA toM4kv4AAADhAQAAEwAAAAAAAAAAAAAAAAAAAAAAW0NvbnRlbnRfVHlwZXNdLnhtbFBLAQItABQA BgAIAAAAIQA4/SH/1gAAAJQBAAALAAAAAAAAAAAAAAAAAC8BAABfcmVscy8ucmVsc1BLAQItABQA BgAIAAAAIQCiNHlMHwIAADoEAAAOAAAAAAAAAAAAAAAAAC4CAABkcnMvZTJvRG9jLnhtbFBLAQIt ABQABgAIAAAAIQAp3bcB2wAAAAMBAAAPAAAAAAAAAAAAAAAAAHkEAABkcnMvZG93bnJldi54bWxQ SwUGAAAAAAQABADzAAAAgQUAAAAA " filled="f" stroked="f">
              <v:textbox style="mso-fit-shape-to-text:t" inset="0,15pt,20pt,0">
                <w:txbxContent>
                  <w:p w14:paraId="43EC7D37" w14:textId="628C7F05"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v:textbox>
              <w10:wrap anchorx="page" anchory="page"/>
            </v:shape>
          </w:pict>
        </mc:Fallback>
      </mc:AlternateContent>
    </w:r>
    <w:bookmarkEnd w:id="54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1965" w14:textId="6E51E9F9" w:rsidR="00716DAB" w:rsidRDefault="007776D8">
    <w:pPr>
      <w:pStyle w:val="Header"/>
    </w:pPr>
    <w:r>
      <w:rPr>
        <w:noProof/>
      </w:rPr>
      <mc:AlternateContent>
        <mc:Choice Requires="wps">
          <w:drawing>
            <wp:anchor distT="0" distB="0" distL="0" distR="0" simplePos="0" relativeHeight="251658240" behindDoc="0" locked="0" layoutInCell="1" allowOverlap="1" wp14:anchorId="159FB80D" wp14:editId="6BAD3187">
              <wp:simplePos x="0" y="0"/>
              <wp:positionH relativeFrom="page">
                <wp:align>right</wp:align>
              </wp:positionH>
              <wp:positionV relativeFrom="page">
                <wp:align>top</wp:align>
              </wp:positionV>
              <wp:extent cx="443865" cy="4438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2DD7F5A" w14:textId="266B5592"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59FB80D" id="_x0000_t202" coordsize="21600,21600" o:spt="202" path="m,l,21600r21600,l21600,xe">
              <v:stroke joinstyle="miter"/>
              <v:path gradientshapeok="t" o:connecttype="rect"/>
            </v:shapetype>
            <v:shape id="Text Box 6" o:spid="_x0000_s1029"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1iP8HAIAADoEAAAOAAAAZHJzL2Uyb0RvYy54bWysU01v2zAMvQ/YfxB0X+ykSdEacYqsRYYB QVsgHXpWZCk2JomCpMTOfv0o2W62bqdhF5kiaX6897S867QiJ+F8A6ak00lOiTAcqsYcSvrtZfPp hhIfmKmYAiNKehae3q0+fli2thAzqEFVwhEsYnzR2pLWIdgiyzyvhWZ+AlYYDEpwmgW8ukNWOdZi da2yWZ5fZy24yjrgwnv0PvRBukr1pRQ8PEnpRSCqpDhbSKdL5z6e2WrJioNjtm74MAb7hyk0aww2 fSv1wAIjR9f8UUo33IEHGSYcdAZSNlykHXCbaf5um13NrEi7IDjevsHk/19Z/nja2WdHQvcZOiQw LeHtFvh3j9hkrfXFkBMx9YXH7LhoJ52OX1yB4I+I7fkNT9EFwtE5n1/dXC8o4Rga7Fjz8rN1PnwR oEk0SuqQrjQAO2196FPHlNjLwKZRKlGmzG8OrBk9adx+wjhr6PYdaaqSXkWeo2cP1Rm3ddALwVu+ abD1lvnwzBwyj3ugmsMTHlJBW1IYLEpqcD/+5o/5SAhGKWlRSSU1KHVK1FeDREXRJWN6my9yvLl0 my3mebztxyRz1PeAIp3ie7E8mTE5qNGUDvQrin0du2GIGY49SxpG8z70usbHwsV6nZJQZJaFrdlZ PpIbAX3pXpmzA+oB6XqEUWuseAd+nxvR9nZ9DEhBYuaC5gA7CjRxOzym+AJ+vaesy5Nf/QQAAP// AwBQSwMEFAAGAAgAAAAhAHdXhELaAAAAAwEAAA8AAABkcnMvZG93bnJldi54bWxMj0FLw0AQhe+C /2GZghexGxVKE7MpIhTswYOtOXibZKdJaHY27G7T5N+76kEv8xje8N43+WYyvRjJ+c6ygvtlAoK4 trrjRsHHYXu3BuEDssbeMimYycOmuL7KMdP2wu807kMjYgj7DBW0IQyZlL5uyaBf2oE4ekfrDIa4 ukZqh5cYbnr5kCQrabDj2NDiQC8t1af92SgoJ3f7tk13r3P12Y1zsisf18dSqZvF9PwEItAU/o7h Gz+iQxGZKntm7UWvID4Sfmb0VmkKovpVWeTyP3vxBQAA//8DAFBLAQItABQABgAIAAAAIQC2gziS /gAAAOEBAAATAAAAAAAAAAAAAAAAAAAAAABbQ29udGVudF9UeXBlc10ueG1sUEsBAi0AFAAGAAgA AAAhADj9If/WAAAAlAEAAAsAAAAAAAAAAAAAAAAALwEAAF9yZWxzLy5yZWxzUEsBAi0AFAAGAAgA AAAhABPWI/wcAgAAOgQAAA4AAAAAAAAAAAAAAAAALgIAAGRycy9lMm9Eb2MueG1sUEsBAi0AFAAG AAgAAAAhAHdXhELaAAAAAwEAAA8AAAAAAAAAAAAAAAAAdgQAAGRycy9kb3ducmV2LnhtbFBLBQYA AAAABAAEAPMAAAB9BQAAAAA= " filled="f" stroked="f">
              <v:textbox style="mso-fit-shape-to-text:t" inset="0,15pt,20pt,0">
                <w:txbxContent>
                  <w:p w14:paraId="22DD7F5A" w14:textId="266B5592"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35591"/>
    <w:multiLevelType w:val="multilevel"/>
    <w:tmpl w:val="FE943D62"/>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3203E48"/>
    <w:multiLevelType w:val="hybridMultilevel"/>
    <w:tmpl w:val="FC06172C"/>
    <w:lvl w:ilvl="0" w:tplc="0C6A90E4">
      <w:start w:val="3"/>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 w15:restartNumberingAfterBreak="0">
    <w:nsid w:val="3C74797D"/>
    <w:multiLevelType w:val="hybridMultilevel"/>
    <w:tmpl w:val="0E923DA6"/>
    <w:lvl w:ilvl="0" w:tplc="78D88FBA">
      <w:start w:val="1"/>
      <w:numFmt w:val="lowerRoman"/>
      <w:lvlText w:val="%1)"/>
      <w:lvlJc w:val="right"/>
      <w:pPr>
        <w:ind w:left="1020" w:hanging="360"/>
      </w:pPr>
    </w:lvl>
    <w:lvl w:ilvl="1" w:tplc="7AF23BFE">
      <w:start w:val="1"/>
      <w:numFmt w:val="lowerRoman"/>
      <w:lvlText w:val="%2)"/>
      <w:lvlJc w:val="right"/>
      <w:pPr>
        <w:ind w:left="1020" w:hanging="360"/>
      </w:pPr>
    </w:lvl>
    <w:lvl w:ilvl="2" w:tplc="CF1A8F3C">
      <w:start w:val="1"/>
      <w:numFmt w:val="lowerRoman"/>
      <w:lvlText w:val="%3)"/>
      <w:lvlJc w:val="right"/>
      <w:pPr>
        <w:ind w:left="1020" w:hanging="360"/>
      </w:pPr>
    </w:lvl>
    <w:lvl w:ilvl="3" w:tplc="5366D5C2">
      <w:start w:val="1"/>
      <w:numFmt w:val="lowerRoman"/>
      <w:lvlText w:val="%4)"/>
      <w:lvlJc w:val="right"/>
      <w:pPr>
        <w:ind w:left="1020" w:hanging="360"/>
      </w:pPr>
    </w:lvl>
    <w:lvl w:ilvl="4" w:tplc="01A0982C">
      <w:start w:val="1"/>
      <w:numFmt w:val="lowerRoman"/>
      <w:lvlText w:val="%5)"/>
      <w:lvlJc w:val="right"/>
      <w:pPr>
        <w:ind w:left="1020" w:hanging="360"/>
      </w:pPr>
    </w:lvl>
    <w:lvl w:ilvl="5" w:tplc="54B65E2A">
      <w:start w:val="1"/>
      <w:numFmt w:val="lowerRoman"/>
      <w:lvlText w:val="%6)"/>
      <w:lvlJc w:val="right"/>
      <w:pPr>
        <w:ind w:left="1020" w:hanging="360"/>
      </w:pPr>
    </w:lvl>
    <w:lvl w:ilvl="6" w:tplc="0770AED4">
      <w:start w:val="1"/>
      <w:numFmt w:val="lowerRoman"/>
      <w:lvlText w:val="%7)"/>
      <w:lvlJc w:val="right"/>
      <w:pPr>
        <w:ind w:left="1020" w:hanging="360"/>
      </w:pPr>
    </w:lvl>
    <w:lvl w:ilvl="7" w:tplc="69D234B2">
      <w:start w:val="1"/>
      <w:numFmt w:val="lowerRoman"/>
      <w:lvlText w:val="%8)"/>
      <w:lvlJc w:val="right"/>
      <w:pPr>
        <w:ind w:left="1020" w:hanging="360"/>
      </w:pPr>
    </w:lvl>
    <w:lvl w:ilvl="8" w:tplc="1EFADE3C">
      <w:start w:val="1"/>
      <w:numFmt w:val="lowerRoman"/>
      <w:lvlText w:val="%9)"/>
      <w:lvlJc w:val="right"/>
      <w:pPr>
        <w:ind w:left="1020" w:hanging="360"/>
      </w:pPr>
    </w:lvl>
  </w:abstractNum>
  <w:abstractNum w:abstractNumId="3" w15:restartNumberingAfterBreak="0">
    <w:nsid w:val="3FD177B7"/>
    <w:multiLevelType w:val="hybridMultilevel"/>
    <w:tmpl w:val="D010B22E"/>
    <w:lvl w:ilvl="0" w:tplc="3AC64108">
      <w:start w:val="1"/>
      <w:numFmt w:val="lowerRoman"/>
      <w:lvlText w:val="%1)"/>
      <w:lvlJc w:val="right"/>
      <w:pPr>
        <w:ind w:left="1020" w:hanging="360"/>
      </w:pPr>
    </w:lvl>
    <w:lvl w:ilvl="1" w:tplc="3BE408C4">
      <w:start w:val="1"/>
      <w:numFmt w:val="lowerRoman"/>
      <w:lvlText w:val="%2)"/>
      <w:lvlJc w:val="right"/>
      <w:pPr>
        <w:ind w:left="1020" w:hanging="360"/>
      </w:pPr>
    </w:lvl>
    <w:lvl w:ilvl="2" w:tplc="A528A068">
      <w:start w:val="1"/>
      <w:numFmt w:val="lowerRoman"/>
      <w:lvlText w:val="%3)"/>
      <w:lvlJc w:val="right"/>
      <w:pPr>
        <w:ind w:left="1020" w:hanging="360"/>
      </w:pPr>
    </w:lvl>
    <w:lvl w:ilvl="3" w:tplc="1F94DB4C">
      <w:start w:val="1"/>
      <w:numFmt w:val="lowerRoman"/>
      <w:lvlText w:val="%4)"/>
      <w:lvlJc w:val="right"/>
      <w:pPr>
        <w:ind w:left="1020" w:hanging="360"/>
      </w:pPr>
    </w:lvl>
    <w:lvl w:ilvl="4" w:tplc="93E8B1B0">
      <w:start w:val="1"/>
      <w:numFmt w:val="lowerRoman"/>
      <w:lvlText w:val="%5)"/>
      <w:lvlJc w:val="right"/>
      <w:pPr>
        <w:ind w:left="1020" w:hanging="360"/>
      </w:pPr>
    </w:lvl>
    <w:lvl w:ilvl="5" w:tplc="339A0E02">
      <w:start w:val="1"/>
      <w:numFmt w:val="lowerRoman"/>
      <w:lvlText w:val="%6)"/>
      <w:lvlJc w:val="right"/>
      <w:pPr>
        <w:ind w:left="1020" w:hanging="360"/>
      </w:pPr>
    </w:lvl>
    <w:lvl w:ilvl="6" w:tplc="DE1443F8">
      <w:start w:val="1"/>
      <w:numFmt w:val="lowerRoman"/>
      <w:lvlText w:val="%7)"/>
      <w:lvlJc w:val="right"/>
      <w:pPr>
        <w:ind w:left="1020" w:hanging="360"/>
      </w:pPr>
    </w:lvl>
    <w:lvl w:ilvl="7" w:tplc="FD2C388E">
      <w:start w:val="1"/>
      <w:numFmt w:val="lowerRoman"/>
      <w:lvlText w:val="%8)"/>
      <w:lvlJc w:val="right"/>
      <w:pPr>
        <w:ind w:left="1020" w:hanging="360"/>
      </w:pPr>
    </w:lvl>
    <w:lvl w:ilvl="8" w:tplc="F8FEE49A">
      <w:start w:val="1"/>
      <w:numFmt w:val="lowerRoman"/>
      <w:lvlText w:val="%9)"/>
      <w:lvlJc w:val="right"/>
      <w:pPr>
        <w:ind w:left="1020" w:hanging="360"/>
      </w:pPr>
    </w:lvl>
  </w:abstractNum>
  <w:num w:numId="1" w16cid:durableId="1737625705">
    <w:abstractNumId w:val="0"/>
  </w:num>
  <w:num w:numId="2" w16cid:durableId="1181504907">
    <w:abstractNumId w:val="1"/>
  </w:num>
  <w:num w:numId="3" w16cid:durableId="1423599572">
    <w:abstractNumId w:val="3"/>
  </w:num>
  <w:num w:numId="4" w16cid:durableId="61703043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tiana I. Chicu">
    <w15:presenceInfo w15:providerId="AD" w15:userId="S::TIC@bnm.md::0bb36d1b-6dd6-4eaf-ae33-b247922fe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04"/>
    <w:rsid w:val="00000E81"/>
    <w:rsid w:val="00000EFD"/>
    <w:rsid w:val="00002824"/>
    <w:rsid w:val="00003578"/>
    <w:rsid w:val="00005836"/>
    <w:rsid w:val="00005AFE"/>
    <w:rsid w:val="000070C9"/>
    <w:rsid w:val="000137E3"/>
    <w:rsid w:val="00016086"/>
    <w:rsid w:val="00017FE5"/>
    <w:rsid w:val="00020CC4"/>
    <w:rsid w:val="00021ECF"/>
    <w:rsid w:val="00027921"/>
    <w:rsid w:val="00027FE6"/>
    <w:rsid w:val="000305D8"/>
    <w:rsid w:val="00031A08"/>
    <w:rsid w:val="0003623B"/>
    <w:rsid w:val="00036AE9"/>
    <w:rsid w:val="00041A7F"/>
    <w:rsid w:val="00041DEB"/>
    <w:rsid w:val="00046244"/>
    <w:rsid w:val="000473A8"/>
    <w:rsid w:val="0005452F"/>
    <w:rsid w:val="00055E16"/>
    <w:rsid w:val="0005607D"/>
    <w:rsid w:val="00060A1B"/>
    <w:rsid w:val="00062473"/>
    <w:rsid w:val="00065C2E"/>
    <w:rsid w:val="00065E0E"/>
    <w:rsid w:val="00072A0D"/>
    <w:rsid w:val="000731C4"/>
    <w:rsid w:val="0007373E"/>
    <w:rsid w:val="0009072F"/>
    <w:rsid w:val="00090A3E"/>
    <w:rsid w:val="00090C84"/>
    <w:rsid w:val="000925CB"/>
    <w:rsid w:val="00092C36"/>
    <w:rsid w:val="000A2F4D"/>
    <w:rsid w:val="000A4F46"/>
    <w:rsid w:val="000A6CD8"/>
    <w:rsid w:val="000A70C6"/>
    <w:rsid w:val="000B07F3"/>
    <w:rsid w:val="000B2C23"/>
    <w:rsid w:val="000B37D7"/>
    <w:rsid w:val="000B7FAD"/>
    <w:rsid w:val="000C1C17"/>
    <w:rsid w:val="000C5098"/>
    <w:rsid w:val="000C5CC4"/>
    <w:rsid w:val="000C5E54"/>
    <w:rsid w:val="000D1842"/>
    <w:rsid w:val="000D2B8E"/>
    <w:rsid w:val="000D7F5E"/>
    <w:rsid w:val="000E001D"/>
    <w:rsid w:val="000E185D"/>
    <w:rsid w:val="000E2353"/>
    <w:rsid w:val="000E2B18"/>
    <w:rsid w:val="000E4858"/>
    <w:rsid w:val="000E7A88"/>
    <w:rsid w:val="000F1D98"/>
    <w:rsid w:val="000F26AC"/>
    <w:rsid w:val="000F7820"/>
    <w:rsid w:val="00101244"/>
    <w:rsid w:val="00106FB1"/>
    <w:rsid w:val="0011243E"/>
    <w:rsid w:val="00116E4A"/>
    <w:rsid w:val="00120067"/>
    <w:rsid w:val="00124D06"/>
    <w:rsid w:val="00127685"/>
    <w:rsid w:val="001311F9"/>
    <w:rsid w:val="0013212D"/>
    <w:rsid w:val="00132C1A"/>
    <w:rsid w:val="00137743"/>
    <w:rsid w:val="0014013A"/>
    <w:rsid w:val="001431A3"/>
    <w:rsid w:val="00145423"/>
    <w:rsid w:val="001461D3"/>
    <w:rsid w:val="0015095F"/>
    <w:rsid w:val="00154D25"/>
    <w:rsid w:val="001556E4"/>
    <w:rsid w:val="00160729"/>
    <w:rsid w:val="00170D1C"/>
    <w:rsid w:val="00171807"/>
    <w:rsid w:val="0017292A"/>
    <w:rsid w:val="001732B3"/>
    <w:rsid w:val="0017361F"/>
    <w:rsid w:val="0017556B"/>
    <w:rsid w:val="00180B09"/>
    <w:rsid w:val="00180B8D"/>
    <w:rsid w:val="00181CFB"/>
    <w:rsid w:val="0018380A"/>
    <w:rsid w:val="0018631A"/>
    <w:rsid w:val="0018772C"/>
    <w:rsid w:val="001926F1"/>
    <w:rsid w:val="00192704"/>
    <w:rsid w:val="00194347"/>
    <w:rsid w:val="00196B19"/>
    <w:rsid w:val="001A2A38"/>
    <w:rsid w:val="001A47C7"/>
    <w:rsid w:val="001A50FA"/>
    <w:rsid w:val="001A5F3A"/>
    <w:rsid w:val="001A5FC4"/>
    <w:rsid w:val="001A63D8"/>
    <w:rsid w:val="001B1B44"/>
    <w:rsid w:val="001B314E"/>
    <w:rsid w:val="001B373A"/>
    <w:rsid w:val="001B5F8F"/>
    <w:rsid w:val="001D5DA4"/>
    <w:rsid w:val="001D6A57"/>
    <w:rsid w:val="001D784B"/>
    <w:rsid w:val="001D7DFC"/>
    <w:rsid w:val="001E08D0"/>
    <w:rsid w:val="001E58F2"/>
    <w:rsid w:val="001E701C"/>
    <w:rsid w:val="001E785F"/>
    <w:rsid w:val="001F1AF2"/>
    <w:rsid w:val="001F226E"/>
    <w:rsid w:val="001F32AB"/>
    <w:rsid w:val="001F3FCE"/>
    <w:rsid w:val="001F53A9"/>
    <w:rsid w:val="001F5B60"/>
    <w:rsid w:val="001F5D2D"/>
    <w:rsid w:val="001F7164"/>
    <w:rsid w:val="002024D7"/>
    <w:rsid w:val="00204230"/>
    <w:rsid w:val="002051E7"/>
    <w:rsid w:val="00205CA4"/>
    <w:rsid w:val="002111C7"/>
    <w:rsid w:val="002119DC"/>
    <w:rsid w:val="0021356F"/>
    <w:rsid w:val="00220AF3"/>
    <w:rsid w:val="00222034"/>
    <w:rsid w:val="00223065"/>
    <w:rsid w:val="00223F28"/>
    <w:rsid w:val="0022621E"/>
    <w:rsid w:val="002301B4"/>
    <w:rsid w:val="00230FBD"/>
    <w:rsid w:val="002340E1"/>
    <w:rsid w:val="0023469D"/>
    <w:rsid w:val="002348DE"/>
    <w:rsid w:val="00235780"/>
    <w:rsid w:val="00237886"/>
    <w:rsid w:val="002420C8"/>
    <w:rsid w:val="00242877"/>
    <w:rsid w:val="0024293D"/>
    <w:rsid w:val="00243154"/>
    <w:rsid w:val="00243624"/>
    <w:rsid w:val="0024499E"/>
    <w:rsid w:val="002515C2"/>
    <w:rsid w:val="0026005F"/>
    <w:rsid w:val="00264359"/>
    <w:rsid w:val="002767A9"/>
    <w:rsid w:val="00280100"/>
    <w:rsid w:val="002843DF"/>
    <w:rsid w:val="002844B8"/>
    <w:rsid w:val="00295800"/>
    <w:rsid w:val="00295A66"/>
    <w:rsid w:val="00297307"/>
    <w:rsid w:val="00297D2F"/>
    <w:rsid w:val="002A018A"/>
    <w:rsid w:val="002A69AA"/>
    <w:rsid w:val="002A6E8A"/>
    <w:rsid w:val="002B0FD7"/>
    <w:rsid w:val="002B32C5"/>
    <w:rsid w:val="002B36CC"/>
    <w:rsid w:val="002B6BE8"/>
    <w:rsid w:val="002C075D"/>
    <w:rsid w:val="002D157B"/>
    <w:rsid w:val="002D2911"/>
    <w:rsid w:val="002D6679"/>
    <w:rsid w:val="002F414A"/>
    <w:rsid w:val="002F7561"/>
    <w:rsid w:val="002F785E"/>
    <w:rsid w:val="00303B98"/>
    <w:rsid w:val="00305BF7"/>
    <w:rsid w:val="00306585"/>
    <w:rsid w:val="003147C4"/>
    <w:rsid w:val="00314B53"/>
    <w:rsid w:val="00314DC4"/>
    <w:rsid w:val="00315BBF"/>
    <w:rsid w:val="00316CA4"/>
    <w:rsid w:val="00317E14"/>
    <w:rsid w:val="00320910"/>
    <w:rsid w:val="00326451"/>
    <w:rsid w:val="00326A2E"/>
    <w:rsid w:val="00330DA2"/>
    <w:rsid w:val="00331DAF"/>
    <w:rsid w:val="00332C04"/>
    <w:rsid w:val="003418B0"/>
    <w:rsid w:val="00350564"/>
    <w:rsid w:val="00350ADA"/>
    <w:rsid w:val="00352987"/>
    <w:rsid w:val="00360428"/>
    <w:rsid w:val="00366978"/>
    <w:rsid w:val="00374DF3"/>
    <w:rsid w:val="00377AB3"/>
    <w:rsid w:val="0038429B"/>
    <w:rsid w:val="0038641A"/>
    <w:rsid w:val="0039223F"/>
    <w:rsid w:val="003A2736"/>
    <w:rsid w:val="003A4AD4"/>
    <w:rsid w:val="003A6646"/>
    <w:rsid w:val="003A71B9"/>
    <w:rsid w:val="003B215D"/>
    <w:rsid w:val="003B4581"/>
    <w:rsid w:val="003B676C"/>
    <w:rsid w:val="003B7CBA"/>
    <w:rsid w:val="003C5EC6"/>
    <w:rsid w:val="003C79CF"/>
    <w:rsid w:val="003D1830"/>
    <w:rsid w:val="003D2F9B"/>
    <w:rsid w:val="003D3645"/>
    <w:rsid w:val="003E1794"/>
    <w:rsid w:val="003E26E3"/>
    <w:rsid w:val="003E392E"/>
    <w:rsid w:val="003E3DC4"/>
    <w:rsid w:val="003E7B2D"/>
    <w:rsid w:val="003F3C8B"/>
    <w:rsid w:val="003F489C"/>
    <w:rsid w:val="00403074"/>
    <w:rsid w:val="00404712"/>
    <w:rsid w:val="00406E9A"/>
    <w:rsid w:val="00421BE6"/>
    <w:rsid w:val="00422F16"/>
    <w:rsid w:val="00426378"/>
    <w:rsid w:val="00427F00"/>
    <w:rsid w:val="0043485E"/>
    <w:rsid w:val="00434CAA"/>
    <w:rsid w:val="004358B0"/>
    <w:rsid w:val="004374E0"/>
    <w:rsid w:val="00437825"/>
    <w:rsid w:val="0044481D"/>
    <w:rsid w:val="004458D3"/>
    <w:rsid w:val="0045577F"/>
    <w:rsid w:val="00464813"/>
    <w:rsid w:val="00464A5E"/>
    <w:rsid w:val="00474057"/>
    <w:rsid w:val="004778A0"/>
    <w:rsid w:val="00483212"/>
    <w:rsid w:val="004861AC"/>
    <w:rsid w:val="004906C2"/>
    <w:rsid w:val="004923F7"/>
    <w:rsid w:val="004931B6"/>
    <w:rsid w:val="004956A6"/>
    <w:rsid w:val="004A6E49"/>
    <w:rsid w:val="004A7778"/>
    <w:rsid w:val="004B0466"/>
    <w:rsid w:val="004B087A"/>
    <w:rsid w:val="004B22DA"/>
    <w:rsid w:val="004B453B"/>
    <w:rsid w:val="004B5222"/>
    <w:rsid w:val="004B67FC"/>
    <w:rsid w:val="004B6A18"/>
    <w:rsid w:val="004B6B32"/>
    <w:rsid w:val="004B6DCD"/>
    <w:rsid w:val="004C0941"/>
    <w:rsid w:val="004C0B64"/>
    <w:rsid w:val="004C1581"/>
    <w:rsid w:val="004C18EE"/>
    <w:rsid w:val="004C5D0B"/>
    <w:rsid w:val="004C6284"/>
    <w:rsid w:val="004C720B"/>
    <w:rsid w:val="004D1A0E"/>
    <w:rsid w:val="004D4259"/>
    <w:rsid w:val="004D440E"/>
    <w:rsid w:val="004E12DB"/>
    <w:rsid w:val="004F1FF3"/>
    <w:rsid w:val="004F220B"/>
    <w:rsid w:val="004F4336"/>
    <w:rsid w:val="004F7DF7"/>
    <w:rsid w:val="005002A5"/>
    <w:rsid w:val="00510692"/>
    <w:rsid w:val="00514D42"/>
    <w:rsid w:val="00521179"/>
    <w:rsid w:val="00522AEC"/>
    <w:rsid w:val="005266D2"/>
    <w:rsid w:val="00531CDD"/>
    <w:rsid w:val="00533010"/>
    <w:rsid w:val="0053573A"/>
    <w:rsid w:val="00536C3D"/>
    <w:rsid w:val="005375D2"/>
    <w:rsid w:val="00541097"/>
    <w:rsid w:val="00545C96"/>
    <w:rsid w:val="00547E24"/>
    <w:rsid w:val="00554096"/>
    <w:rsid w:val="00557463"/>
    <w:rsid w:val="0056319B"/>
    <w:rsid w:val="0056324C"/>
    <w:rsid w:val="00567C92"/>
    <w:rsid w:val="005721A2"/>
    <w:rsid w:val="005721F9"/>
    <w:rsid w:val="0057484F"/>
    <w:rsid w:val="00576CBD"/>
    <w:rsid w:val="0057783C"/>
    <w:rsid w:val="00581A08"/>
    <w:rsid w:val="00581D7B"/>
    <w:rsid w:val="00583D5E"/>
    <w:rsid w:val="0058539A"/>
    <w:rsid w:val="0059396C"/>
    <w:rsid w:val="00595792"/>
    <w:rsid w:val="005A02AC"/>
    <w:rsid w:val="005A3AE8"/>
    <w:rsid w:val="005A5F18"/>
    <w:rsid w:val="005A67FF"/>
    <w:rsid w:val="005A7723"/>
    <w:rsid w:val="005B62E0"/>
    <w:rsid w:val="005B68B4"/>
    <w:rsid w:val="005B7A23"/>
    <w:rsid w:val="005C5693"/>
    <w:rsid w:val="005C78E6"/>
    <w:rsid w:val="005D2204"/>
    <w:rsid w:val="005D2EBE"/>
    <w:rsid w:val="005E0781"/>
    <w:rsid w:val="005E53E6"/>
    <w:rsid w:val="005F4788"/>
    <w:rsid w:val="0060086D"/>
    <w:rsid w:val="006012B9"/>
    <w:rsid w:val="006025AD"/>
    <w:rsid w:val="006046E8"/>
    <w:rsid w:val="006073AD"/>
    <w:rsid w:val="006208D8"/>
    <w:rsid w:val="00621D80"/>
    <w:rsid w:val="00624A25"/>
    <w:rsid w:val="00627361"/>
    <w:rsid w:val="00633127"/>
    <w:rsid w:val="00633D02"/>
    <w:rsid w:val="00634D9A"/>
    <w:rsid w:val="00636023"/>
    <w:rsid w:val="00636346"/>
    <w:rsid w:val="00640B64"/>
    <w:rsid w:val="00650836"/>
    <w:rsid w:val="0065263D"/>
    <w:rsid w:val="00652C99"/>
    <w:rsid w:val="00656CEE"/>
    <w:rsid w:val="00670708"/>
    <w:rsid w:val="006767F5"/>
    <w:rsid w:val="00680582"/>
    <w:rsid w:val="00682CB9"/>
    <w:rsid w:val="006858EF"/>
    <w:rsid w:val="0068638B"/>
    <w:rsid w:val="00691829"/>
    <w:rsid w:val="00693821"/>
    <w:rsid w:val="00695035"/>
    <w:rsid w:val="00695ADA"/>
    <w:rsid w:val="006A172A"/>
    <w:rsid w:val="006A3B3A"/>
    <w:rsid w:val="006B055C"/>
    <w:rsid w:val="006B3E23"/>
    <w:rsid w:val="006B4A67"/>
    <w:rsid w:val="006C72DC"/>
    <w:rsid w:val="006D69C3"/>
    <w:rsid w:val="006E1213"/>
    <w:rsid w:val="006E7BDA"/>
    <w:rsid w:val="006F0212"/>
    <w:rsid w:val="00700BFB"/>
    <w:rsid w:val="00705978"/>
    <w:rsid w:val="00707412"/>
    <w:rsid w:val="00707DAF"/>
    <w:rsid w:val="007116E1"/>
    <w:rsid w:val="0071405A"/>
    <w:rsid w:val="00714980"/>
    <w:rsid w:val="00715401"/>
    <w:rsid w:val="00716DAB"/>
    <w:rsid w:val="00717370"/>
    <w:rsid w:val="00722D68"/>
    <w:rsid w:val="007316CC"/>
    <w:rsid w:val="00736A89"/>
    <w:rsid w:val="00744DB7"/>
    <w:rsid w:val="007474D5"/>
    <w:rsid w:val="007509BC"/>
    <w:rsid w:val="00755363"/>
    <w:rsid w:val="007608B7"/>
    <w:rsid w:val="00764790"/>
    <w:rsid w:val="00764DA0"/>
    <w:rsid w:val="00770E4B"/>
    <w:rsid w:val="0077404A"/>
    <w:rsid w:val="007776D8"/>
    <w:rsid w:val="00777AF1"/>
    <w:rsid w:val="00781056"/>
    <w:rsid w:val="007825C3"/>
    <w:rsid w:val="00786CB7"/>
    <w:rsid w:val="007908A9"/>
    <w:rsid w:val="00791EC3"/>
    <w:rsid w:val="00792DDA"/>
    <w:rsid w:val="007953D9"/>
    <w:rsid w:val="0079546A"/>
    <w:rsid w:val="007955FA"/>
    <w:rsid w:val="007A5744"/>
    <w:rsid w:val="007B02D8"/>
    <w:rsid w:val="007B2667"/>
    <w:rsid w:val="007B7D94"/>
    <w:rsid w:val="007B7ECE"/>
    <w:rsid w:val="007C00A4"/>
    <w:rsid w:val="007C3745"/>
    <w:rsid w:val="007C531C"/>
    <w:rsid w:val="007C6E3D"/>
    <w:rsid w:val="007C777F"/>
    <w:rsid w:val="007E10F8"/>
    <w:rsid w:val="007E29DC"/>
    <w:rsid w:val="007E3215"/>
    <w:rsid w:val="007F45C4"/>
    <w:rsid w:val="007F5179"/>
    <w:rsid w:val="007F5B66"/>
    <w:rsid w:val="00803375"/>
    <w:rsid w:val="0081173A"/>
    <w:rsid w:val="00811DCB"/>
    <w:rsid w:val="00812DFE"/>
    <w:rsid w:val="0081359B"/>
    <w:rsid w:val="00815C5F"/>
    <w:rsid w:val="00816196"/>
    <w:rsid w:val="00822190"/>
    <w:rsid w:val="008239F6"/>
    <w:rsid w:val="00823AD4"/>
    <w:rsid w:val="00824DB5"/>
    <w:rsid w:val="00825FC8"/>
    <w:rsid w:val="00827712"/>
    <w:rsid w:val="008319EA"/>
    <w:rsid w:val="0084145D"/>
    <w:rsid w:val="0084591F"/>
    <w:rsid w:val="00851DDD"/>
    <w:rsid w:val="0085245C"/>
    <w:rsid w:val="00854B07"/>
    <w:rsid w:val="0086709A"/>
    <w:rsid w:val="0087357C"/>
    <w:rsid w:val="0087785E"/>
    <w:rsid w:val="008802FA"/>
    <w:rsid w:val="00880EF6"/>
    <w:rsid w:val="008833A0"/>
    <w:rsid w:val="008851D2"/>
    <w:rsid w:val="008868E5"/>
    <w:rsid w:val="008A15CB"/>
    <w:rsid w:val="008A1D74"/>
    <w:rsid w:val="008A3314"/>
    <w:rsid w:val="008B2AFA"/>
    <w:rsid w:val="008B3310"/>
    <w:rsid w:val="008C00B4"/>
    <w:rsid w:val="008C11F0"/>
    <w:rsid w:val="008C134A"/>
    <w:rsid w:val="008C531D"/>
    <w:rsid w:val="008C6DA4"/>
    <w:rsid w:val="008D2E4B"/>
    <w:rsid w:val="008E16E0"/>
    <w:rsid w:val="008E4D79"/>
    <w:rsid w:val="008F0958"/>
    <w:rsid w:val="008F14C9"/>
    <w:rsid w:val="008F516E"/>
    <w:rsid w:val="008F58EB"/>
    <w:rsid w:val="00900762"/>
    <w:rsid w:val="009033CD"/>
    <w:rsid w:val="00903B2F"/>
    <w:rsid w:val="00904DAC"/>
    <w:rsid w:val="009058FD"/>
    <w:rsid w:val="0091108F"/>
    <w:rsid w:val="0091119F"/>
    <w:rsid w:val="009203E1"/>
    <w:rsid w:val="00923C3F"/>
    <w:rsid w:val="00931C2D"/>
    <w:rsid w:val="00936613"/>
    <w:rsid w:val="009369FF"/>
    <w:rsid w:val="00936B91"/>
    <w:rsid w:val="0093751E"/>
    <w:rsid w:val="00937B38"/>
    <w:rsid w:val="00941C8E"/>
    <w:rsid w:val="00945B00"/>
    <w:rsid w:val="00951D3F"/>
    <w:rsid w:val="00956F58"/>
    <w:rsid w:val="009618F4"/>
    <w:rsid w:val="00965B75"/>
    <w:rsid w:val="00966CEB"/>
    <w:rsid w:val="00972751"/>
    <w:rsid w:val="00974053"/>
    <w:rsid w:val="00980B75"/>
    <w:rsid w:val="009825FB"/>
    <w:rsid w:val="0098356B"/>
    <w:rsid w:val="009843DD"/>
    <w:rsid w:val="00984C7C"/>
    <w:rsid w:val="009957BC"/>
    <w:rsid w:val="00996273"/>
    <w:rsid w:val="00997CAF"/>
    <w:rsid w:val="009A742F"/>
    <w:rsid w:val="009A7A9D"/>
    <w:rsid w:val="009B26EF"/>
    <w:rsid w:val="009B3E04"/>
    <w:rsid w:val="009C069C"/>
    <w:rsid w:val="009C09FF"/>
    <w:rsid w:val="009C1148"/>
    <w:rsid w:val="009C11BA"/>
    <w:rsid w:val="009C2D83"/>
    <w:rsid w:val="009D1982"/>
    <w:rsid w:val="009D2157"/>
    <w:rsid w:val="009D377C"/>
    <w:rsid w:val="009D5FE4"/>
    <w:rsid w:val="009D7356"/>
    <w:rsid w:val="009E061C"/>
    <w:rsid w:val="009E247F"/>
    <w:rsid w:val="009E2747"/>
    <w:rsid w:val="009E33F6"/>
    <w:rsid w:val="009E6EE1"/>
    <w:rsid w:val="009F091D"/>
    <w:rsid w:val="009F6C63"/>
    <w:rsid w:val="00A029AA"/>
    <w:rsid w:val="00A03AD9"/>
    <w:rsid w:val="00A12CF1"/>
    <w:rsid w:val="00A12FFC"/>
    <w:rsid w:val="00A15E08"/>
    <w:rsid w:val="00A17806"/>
    <w:rsid w:val="00A20C69"/>
    <w:rsid w:val="00A30ECE"/>
    <w:rsid w:val="00A34689"/>
    <w:rsid w:val="00A34CD7"/>
    <w:rsid w:val="00A3797A"/>
    <w:rsid w:val="00A42417"/>
    <w:rsid w:val="00A44CCC"/>
    <w:rsid w:val="00A51DB2"/>
    <w:rsid w:val="00A52162"/>
    <w:rsid w:val="00A55E6A"/>
    <w:rsid w:val="00A6200B"/>
    <w:rsid w:val="00A645D4"/>
    <w:rsid w:val="00A64CAF"/>
    <w:rsid w:val="00A65555"/>
    <w:rsid w:val="00A70D2E"/>
    <w:rsid w:val="00A71C69"/>
    <w:rsid w:val="00A73F6D"/>
    <w:rsid w:val="00A77176"/>
    <w:rsid w:val="00A874D4"/>
    <w:rsid w:val="00A9310E"/>
    <w:rsid w:val="00A953D1"/>
    <w:rsid w:val="00A96F83"/>
    <w:rsid w:val="00A97ECB"/>
    <w:rsid w:val="00AA0110"/>
    <w:rsid w:val="00AA0E86"/>
    <w:rsid w:val="00AA1A50"/>
    <w:rsid w:val="00AA1B6E"/>
    <w:rsid w:val="00AA35BF"/>
    <w:rsid w:val="00AA3CB5"/>
    <w:rsid w:val="00AA5EAD"/>
    <w:rsid w:val="00AA68B4"/>
    <w:rsid w:val="00AB454F"/>
    <w:rsid w:val="00AB5B26"/>
    <w:rsid w:val="00AC0740"/>
    <w:rsid w:val="00AC089E"/>
    <w:rsid w:val="00AC08C7"/>
    <w:rsid w:val="00AC36BA"/>
    <w:rsid w:val="00AC7E2B"/>
    <w:rsid w:val="00AD0302"/>
    <w:rsid w:val="00AD163D"/>
    <w:rsid w:val="00AD2821"/>
    <w:rsid w:val="00AD5639"/>
    <w:rsid w:val="00AE0D1F"/>
    <w:rsid w:val="00AE17EB"/>
    <w:rsid w:val="00AE2C46"/>
    <w:rsid w:val="00AE31EC"/>
    <w:rsid w:val="00AE6090"/>
    <w:rsid w:val="00AF0DB0"/>
    <w:rsid w:val="00AF2492"/>
    <w:rsid w:val="00AF62AF"/>
    <w:rsid w:val="00AF6E91"/>
    <w:rsid w:val="00AF7B8C"/>
    <w:rsid w:val="00B025A2"/>
    <w:rsid w:val="00B02DCB"/>
    <w:rsid w:val="00B03320"/>
    <w:rsid w:val="00B06441"/>
    <w:rsid w:val="00B067D7"/>
    <w:rsid w:val="00B06998"/>
    <w:rsid w:val="00B06CCF"/>
    <w:rsid w:val="00B105CA"/>
    <w:rsid w:val="00B12F96"/>
    <w:rsid w:val="00B14BF1"/>
    <w:rsid w:val="00B16829"/>
    <w:rsid w:val="00B23396"/>
    <w:rsid w:val="00B31E3E"/>
    <w:rsid w:val="00B32454"/>
    <w:rsid w:val="00B33DBB"/>
    <w:rsid w:val="00B34D60"/>
    <w:rsid w:val="00B3526D"/>
    <w:rsid w:val="00B3623A"/>
    <w:rsid w:val="00B415C4"/>
    <w:rsid w:val="00B42316"/>
    <w:rsid w:val="00B45819"/>
    <w:rsid w:val="00B46CAD"/>
    <w:rsid w:val="00B55061"/>
    <w:rsid w:val="00B61D49"/>
    <w:rsid w:val="00B73821"/>
    <w:rsid w:val="00B7704E"/>
    <w:rsid w:val="00B8056D"/>
    <w:rsid w:val="00B80A00"/>
    <w:rsid w:val="00B82F90"/>
    <w:rsid w:val="00B84581"/>
    <w:rsid w:val="00B84B91"/>
    <w:rsid w:val="00B87D7D"/>
    <w:rsid w:val="00B9007C"/>
    <w:rsid w:val="00B948D3"/>
    <w:rsid w:val="00B97687"/>
    <w:rsid w:val="00BA15C0"/>
    <w:rsid w:val="00BA4038"/>
    <w:rsid w:val="00BB78E5"/>
    <w:rsid w:val="00BB7974"/>
    <w:rsid w:val="00BC5EB5"/>
    <w:rsid w:val="00BD0548"/>
    <w:rsid w:val="00BD0EA4"/>
    <w:rsid w:val="00BD1D93"/>
    <w:rsid w:val="00BD2354"/>
    <w:rsid w:val="00BD7D38"/>
    <w:rsid w:val="00BE1F6F"/>
    <w:rsid w:val="00BE5EF6"/>
    <w:rsid w:val="00BE7A81"/>
    <w:rsid w:val="00BF376B"/>
    <w:rsid w:val="00BF4071"/>
    <w:rsid w:val="00BF48CB"/>
    <w:rsid w:val="00BF4976"/>
    <w:rsid w:val="00BF4AC0"/>
    <w:rsid w:val="00BF4C71"/>
    <w:rsid w:val="00BF6DB3"/>
    <w:rsid w:val="00BF7221"/>
    <w:rsid w:val="00C011B2"/>
    <w:rsid w:val="00C022E0"/>
    <w:rsid w:val="00C02C2A"/>
    <w:rsid w:val="00C0305C"/>
    <w:rsid w:val="00C136C0"/>
    <w:rsid w:val="00C153CC"/>
    <w:rsid w:val="00C1591B"/>
    <w:rsid w:val="00C15FBB"/>
    <w:rsid w:val="00C23F31"/>
    <w:rsid w:val="00C24C41"/>
    <w:rsid w:val="00C2769A"/>
    <w:rsid w:val="00C30659"/>
    <w:rsid w:val="00C31477"/>
    <w:rsid w:val="00C3248B"/>
    <w:rsid w:val="00C326AB"/>
    <w:rsid w:val="00C3543A"/>
    <w:rsid w:val="00C35E49"/>
    <w:rsid w:val="00C372A2"/>
    <w:rsid w:val="00C37DAD"/>
    <w:rsid w:val="00C40199"/>
    <w:rsid w:val="00C40488"/>
    <w:rsid w:val="00C40F9F"/>
    <w:rsid w:val="00C411D1"/>
    <w:rsid w:val="00C50065"/>
    <w:rsid w:val="00C5104F"/>
    <w:rsid w:val="00C511B4"/>
    <w:rsid w:val="00C54D28"/>
    <w:rsid w:val="00C569B7"/>
    <w:rsid w:val="00C62C15"/>
    <w:rsid w:val="00C63403"/>
    <w:rsid w:val="00C64C14"/>
    <w:rsid w:val="00C70FEA"/>
    <w:rsid w:val="00C72273"/>
    <w:rsid w:val="00C72332"/>
    <w:rsid w:val="00C75135"/>
    <w:rsid w:val="00C775E4"/>
    <w:rsid w:val="00C8074C"/>
    <w:rsid w:val="00C80930"/>
    <w:rsid w:val="00C84DA8"/>
    <w:rsid w:val="00C903A0"/>
    <w:rsid w:val="00C971C3"/>
    <w:rsid w:val="00CA7528"/>
    <w:rsid w:val="00CB1E40"/>
    <w:rsid w:val="00CB2320"/>
    <w:rsid w:val="00CB614B"/>
    <w:rsid w:val="00CC5971"/>
    <w:rsid w:val="00CC7033"/>
    <w:rsid w:val="00CC70B9"/>
    <w:rsid w:val="00CD0248"/>
    <w:rsid w:val="00CD299B"/>
    <w:rsid w:val="00CD6E50"/>
    <w:rsid w:val="00CD6F5C"/>
    <w:rsid w:val="00CD6FDD"/>
    <w:rsid w:val="00CE0623"/>
    <w:rsid w:val="00CE1282"/>
    <w:rsid w:val="00CF2A62"/>
    <w:rsid w:val="00CF3280"/>
    <w:rsid w:val="00CF4E0D"/>
    <w:rsid w:val="00CF53DC"/>
    <w:rsid w:val="00CF6D23"/>
    <w:rsid w:val="00D0090A"/>
    <w:rsid w:val="00D01157"/>
    <w:rsid w:val="00D05510"/>
    <w:rsid w:val="00D058AA"/>
    <w:rsid w:val="00D12468"/>
    <w:rsid w:val="00D129FA"/>
    <w:rsid w:val="00D13CF9"/>
    <w:rsid w:val="00D143BF"/>
    <w:rsid w:val="00D16345"/>
    <w:rsid w:val="00D22B66"/>
    <w:rsid w:val="00D2357F"/>
    <w:rsid w:val="00D24F65"/>
    <w:rsid w:val="00D33A79"/>
    <w:rsid w:val="00D33FE1"/>
    <w:rsid w:val="00D37774"/>
    <w:rsid w:val="00D42C0E"/>
    <w:rsid w:val="00D475A8"/>
    <w:rsid w:val="00D5251F"/>
    <w:rsid w:val="00D54DA0"/>
    <w:rsid w:val="00D60B29"/>
    <w:rsid w:val="00D66AD2"/>
    <w:rsid w:val="00D7736B"/>
    <w:rsid w:val="00D805C9"/>
    <w:rsid w:val="00D80DA6"/>
    <w:rsid w:val="00D87FC9"/>
    <w:rsid w:val="00D901DD"/>
    <w:rsid w:val="00D916A3"/>
    <w:rsid w:val="00D92794"/>
    <w:rsid w:val="00D92B39"/>
    <w:rsid w:val="00D96A6E"/>
    <w:rsid w:val="00DA3236"/>
    <w:rsid w:val="00DA3FCD"/>
    <w:rsid w:val="00DA436F"/>
    <w:rsid w:val="00DA56D5"/>
    <w:rsid w:val="00DA739B"/>
    <w:rsid w:val="00DB1001"/>
    <w:rsid w:val="00DB3428"/>
    <w:rsid w:val="00DB50E7"/>
    <w:rsid w:val="00DB6E68"/>
    <w:rsid w:val="00DC6494"/>
    <w:rsid w:val="00DD0E7D"/>
    <w:rsid w:val="00DD47BE"/>
    <w:rsid w:val="00DD47D7"/>
    <w:rsid w:val="00DE21DF"/>
    <w:rsid w:val="00DE2CB1"/>
    <w:rsid w:val="00DE5957"/>
    <w:rsid w:val="00DE76A0"/>
    <w:rsid w:val="00DF1F69"/>
    <w:rsid w:val="00DF6E46"/>
    <w:rsid w:val="00DF7588"/>
    <w:rsid w:val="00E039C0"/>
    <w:rsid w:val="00E04033"/>
    <w:rsid w:val="00E04579"/>
    <w:rsid w:val="00E050D4"/>
    <w:rsid w:val="00E10AC6"/>
    <w:rsid w:val="00E11C4A"/>
    <w:rsid w:val="00E149D2"/>
    <w:rsid w:val="00E15F97"/>
    <w:rsid w:val="00E26D2C"/>
    <w:rsid w:val="00E27D2A"/>
    <w:rsid w:val="00E30790"/>
    <w:rsid w:val="00E33BC6"/>
    <w:rsid w:val="00E34468"/>
    <w:rsid w:val="00E3550A"/>
    <w:rsid w:val="00E359DF"/>
    <w:rsid w:val="00E36943"/>
    <w:rsid w:val="00E42428"/>
    <w:rsid w:val="00E43D4C"/>
    <w:rsid w:val="00E47346"/>
    <w:rsid w:val="00E50740"/>
    <w:rsid w:val="00E5543F"/>
    <w:rsid w:val="00E56733"/>
    <w:rsid w:val="00E56970"/>
    <w:rsid w:val="00E61307"/>
    <w:rsid w:val="00E63C25"/>
    <w:rsid w:val="00E65B83"/>
    <w:rsid w:val="00E7249A"/>
    <w:rsid w:val="00E72B71"/>
    <w:rsid w:val="00E735F5"/>
    <w:rsid w:val="00E73876"/>
    <w:rsid w:val="00E73BBA"/>
    <w:rsid w:val="00E85A5B"/>
    <w:rsid w:val="00E8631B"/>
    <w:rsid w:val="00E95367"/>
    <w:rsid w:val="00EA11EB"/>
    <w:rsid w:val="00EA2104"/>
    <w:rsid w:val="00EA3276"/>
    <w:rsid w:val="00EA40F2"/>
    <w:rsid w:val="00EA6AA1"/>
    <w:rsid w:val="00EA7C09"/>
    <w:rsid w:val="00EA7FAB"/>
    <w:rsid w:val="00EB04C3"/>
    <w:rsid w:val="00EB5949"/>
    <w:rsid w:val="00EC135A"/>
    <w:rsid w:val="00EC221B"/>
    <w:rsid w:val="00EC2C84"/>
    <w:rsid w:val="00EC62EC"/>
    <w:rsid w:val="00EC6680"/>
    <w:rsid w:val="00ED01CA"/>
    <w:rsid w:val="00ED1D32"/>
    <w:rsid w:val="00ED3A60"/>
    <w:rsid w:val="00ED5DCE"/>
    <w:rsid w:val="00EE377D"/>
    <w:rsid w:val="00EE3C57"/>
    <w:rsid w:val="00EE4DE3"/>
    <w:rsid w:val="00EE726C"/>
    <w:rsid w:val="00F02156"/>
    <w:rsid w:val="00F05B7F"/>
    <w:rsid w:val="00F10A21"/>
    <w:rsid w:val="00F146DB"/>
    <w:rsid w:val="00F22AEF"/>
    <w:rsid w:val="00F257F0"/>
    <w:rsid w:val="00F262EC"/>
    <w:rsid w:val="00F2779A"/>
    <w:rsid w:val="00F30E88"/>
    <w:rsid w:val="00F310CB"/>
    <w:rsid w:val="00F32CA1"/>
    <w:rsid w:val="00F34E99"/>
    <w:rsid w:val="00F37C49"/>
    <w:rsid w:val="00F411B2"/>
    <w:rsid w:val="00F42D42"/>
    <w:rsid w:val="00F47175"/>
    <w:rsid w:val="00F5258A"/>
    <w:rsid w:val="00F52B1C"/>
    <w:rsid w:val="00F55C7E"/>
    <w:rsid w:val="00F62243"/>
    <w:rsid w:val="00F62378"/>
    <w:rsid w:val="00F67758"/>
    <w:rsid w:val="00F67D03"/>
    <w:rsid w:val="00F726D2"/>
    <w:rsid w:val="00F74DEF"/>
    <w:rsid w:val="00F83D4D"/>
    <w:rsid w:val="00F83DC8"/>
    <w:rsid w:val="00F9015C"/>
    <w:rsid w:val="00F90F35"/>
    <w:rsid w:val="00F92327"/>
    <w:rsid w:val="00F93603"/>
    <w:rsid w:val="00F9621E"/>
    <w:rsid w:val="00F970F5"/>
    <w:rsid w:val="00F971EE"/>
    <w:rsid w:val="00FA1D20"/>
    <w:rsid w:val="00FA33DF"/>
    <w:rsid w:val="00FA7D23"/>
    <w:rsid w:val="00FB3B3E"/>
    <w:rsid w:val="00FB4B38"/>
    <w:rsid w:val="00FB4E0A"/>
    <w:rsid w:val="00FB5B1C"/>
    <w:rsid w:val="00FB716B"/>
    <w:rsid w:val="00FB7EAE"/>
    <w:rsid w:val="00FC35EB"/>
    <w:rsid w:val="00FC5EFD"/>
    <w:rsid w:val="00FC66C0"/>
    <w:rsid w:val="00FD14BF"/>
    <w:rsid w:val="00FD1AD4"/>
    <w:rsid w:val="00FD5A49"/>
    <w:rsid w:val="00FD60E8"/>
    <w:rsid w:val="00FD6D0B"/>
    <w:rsid w:val="00FE380B"/>
    <w:rsid w:val="00FE4289"/>
    <w:rsid w:val="00FE4759"/>
    <w:rsid w:val="00FF30DF"/>
    <w:rsid w:val="00FF4D13"/>
    <w:rsid w:val="00FF7A9D"/>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FB836B"/>
  <w15:docId w15:val="{4F441C99-EA55-4863-9B15-904D50A4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77"/>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BF7"/>
    <w:rPr>
      <w:color w:val="0563C1" w:themeColor="hyperlink"/>
      <w:u w:val="single"/>
    </w:rPr>
  </w:style>
  <w:style w:type="character" w:styleId="UnresolvedMention">
    <w:name w:val="Unresolved Mention"/>
    <w:basedOn w:val="DefaultParagraphFont"/>
    <w:uiPriority w:val="99"/>
    <w:semiHidden/>
    <w:unhideWhenUsed/>
    <w:rsid w:val="00305BF7"/>
    <w:rPr>
      <w:color w:val="605E5C"/>
      <w:shd w:val="clear" w:color="auto" w:fill="E1DFDD"/>
    </w:rPr>
  </w:style>
  <w:style w:type="paragraph" w:styleId="ListParagraph">
    <w:name w:val="List Paragraph"/>
    <w:basedOn w:val="Normal"/>
    <w:uiPriority w:val="34"/>
    <w:qFormat/>
    <w:rsid w:val="00636346"/>
    <w:pPr>
      <w:ind w:left="720"/>
      <w:contextualSpacing/>
    </w:pPr>
  </w:style>
  <w:style w:type="paragraph" w:styleId="Header">
    <w:name w:val="header"/>
    <w:basedOn w:val="Normal"/>
    <w:link w:val="HeaderChar"/>
    <w:uiPriority w:val="99"/>
    <w:unhideWhenUsed/>
    <w:rsid w:val="00716DAB"/>
    <w:pPr>
      <w:tabs>
        <w:tab w:val="center" w:pos="4677"/>
        <w:tab w:val="right" w:pos="9355"/>
      </w:tabs>
      <w:spacing w:after="0" w:line="240" w:lineRule="auto"/>
    </w:pPr>
  </w:style>
  <w:style w:type="character" w:customStyle="1" w:styleId="HeaderChar">
    <w:name w:val="Header Char"/>
    <w:basedOn w:val="DefaultParagraphFont"/>
    <w:link w:val="Header"/>
    <w:uiPriority w:val="99"/>
    <w:rsid w:val="00716DAB"/>
    <w:rPr>
      <w:kern w:val="0"/>
      <w:lang w:val="en-US"/>
    </w:rPr>
  </w:style>
  <w:style w:type="paragraph" w:styleId="Footer">
    <w:name w:val="footer"/>
    <w:basedOn w:val="Normal"/>
    <w:link w:val="FooterChar"/>
    <w:uiPriority w:val="99"/>
    <w:unhideWhenUsed/>
    <w:rsid w:val="00716DAB"/>
    <w:pPr>
      <w:tabs>
        <w:tab w:val="center" w:pos="4677"/>
        <w:tab w:val="right" w:pos="9355"/>
      </w:tabs>
      <w:spacing w:after="0" w:line="240" w:lineRule="auto"/>
    </w:pPr>
  </w:style>
  <w:style w:type="character" w:customStyle="1" w:styleId="FooterChar">
    <w:name w:val="Footer Char"/>
    <w:basedOn w:val="DefaultParagraphFont"/>
    <w:link w:val="Footer"/>
    <w:uiPriority w:val="99"/>
    <w:rsid w:val="00716DAB"/>
    <w:rPr>
      <w:kern w:val="0"/>
      <w:lang w:val="en-US"/>
    </w:rPr>
  </w:style>
  <w:style w:type="paragraph" w:styleId="Revision">
    <w:name w:val="Revision"/>
    <w:hidden/>
    <w:uiPriority w:val="99"/>
    <w:semiHidden/>
    <w:rsid w:val="00422F16"/>
    <w:pPr>
      <w:spacing w:after="0" w:line="240" w:lineRule="auto"/>
    </w:pPr>
    <w:rPr>
      <w:kern w:val="0"/>
      <w:lang w:val="en-US"/>
    </w:rPr>
  </w:style>
  <w:style w:type="character" w:styleId="CommentReference">
    <w:name w:val="annotation reference"/>
    <w:basedOn w:val="DefaultParagraphFont"/>
    <w:uiPriority w:val="99"/>
    <w:semiHidden/>
    <w:unhideWhenUsed/>
    <w:rsid w:val="00C40199"/>
    <w:rPr>
      <w:sz w:val="16"/>
      <w:szCs w:val="16"/>
    </w:rPr>
  </w:style>
  <w:style w:type="paragraph" w:styleId="CommentText">
    <w:name w:val="annotation text"/>
    <w:basedOn w:val="Normal"/>
    <w:link w:val="CommentTextChar"/>
    <w:uiPriority w:val="99"/>
    <w:unhideWhenUsed/>
    <w:rsid w:val="00C40199"/>
    <w:pPr>
      <w:spacing w:line="240" w:lineRule="auto"/>
    </w:pPr>
    <w:rPr>
      <w:sz w:val="20"/>
      <w:szCs w:val="20"/>
    </w:rPr>
  </w:style>
  <w:style w:type="character" w:customStyle="1" w:styleId="CommentTextChar">
    <w:name w:val="Comment Text Char"/>
    <w:basedOn w:val="DefaultParagraphFont"/>
    <w:link w:val="CommentText"/>
    <w:uiPriority w:val="99"/>
    <w:rsid w:val="00C40199"/>
    <w:rPr>
      <w:kern w:val="0"/>
      <w:sz w:val="20"/>
      <w:szCs w:val="20"/>
      <w:lang w:val="en-US"/>
    </w:rPr>
  </w:style>
  <w:style w:type="paragraph" w:styleId="CommentSubject">
    <w:name w:val="annotation subject"/>
    <w:basedOn w:val="CommentText"/>
    <w:next w:val="CommentText"/>
    <w:link w:val="CommentSubjectChar"/>
    <w:uiPriority w:val="99"/>
    <w:semiHidden/>
    <w:unhideWhenUsed/>
    <w:rsid w:val="00C40199"/>
    <w:rPr>
      <w:b/>
      <w:bCs/>
    </w:rPr>
  </w:style>
  <w:style w:type="character" w:customStyle="1" w:styleId="CommentSubjectChar">
    <w:name w:val="Comment Subject Char"/>
    <w:basedOn w:val="CommentTextChar"/>
    <w:link w:val="CommentSubject"/>
    <w:uiPriority w:val="99"/>
    <w:semiHidden/>
    <w:rsid w:val="00C40199"/>
    <w:rPr>
      <w:b/>
      <w:bCs/>
      <w:kern w:val="0"/>
      <w:sz w:val="20"/>
      <w:szCs w:val="20"/>
      <w:lang w:val="en-US"/>
    </w:rPr>
  </w:style>
  <w:style w:type="paragraph" w:customStyle="1" w:styleId="pf0">
    <w:name w:val="pf0"/>
    <w:basedOn w:val="Normal"/>
    <w:rsid w:val="00FF7A9D"/>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cf01">
    <w:name w:val="cf01"/>
    <w:basedOn w:val="DefaultParagraphFont"/>
    <w:rsid w:val="00FF7A9D"/>
    <w:rPr>
      <w:rFonts w:ascii="Segoe UI" w:hAnsi="Segoe UI" w:cs="Segoe UI" w:hint="default"/>
      <w:sz w:val="18"/>
      <w:szCs w:val="18"/>
    </w:rPr>
  </w:style>
  <w:style w:type="paragraph" w:styleId="NormalWeb">
    <w:name w:val="Normal (Web)"/>
    <w:basedOn w:val="Normal"/>
    <w:uiPriority w:val="99"/>
    <w:semiHidden/>
    <w:unhideWhenUsed/>
    <w:rsid w:val="00FF7A9D"/>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cf21">
    <w:name w:val="cf21"/>
    <w:basedOn w:val="DefaultParagraphFont"/>
    <w:rsid w:val="00FF7A9D"/>
    <w:rPr>
      <w:rFonts w:ascii="Segoe UI" w:hAnsi="Segoe UI" w:cs="Segoe UI" w:hint="default"/>
      <w:sz w:val="18"/>
      <w:szCs w:val="18"/>
      <w:shd w:val="clear" w:color="auto" w:fill="FF00FF"/>
    </w:rPr>
  </w:style>
  <w:style w:type="character" w:customStyle="1" w:styleId="BodyTextChar">
    <w:name w:val="Body Text Char"/>
    <w:basedOn w:val="DefaultParagraphFont"/>
    <w:link w:val="BodyText"/>
    <w:rsid w:val="002B36CC"/>
    <w:rPr>
      <w:rFonts w:ascii="Times New Roman" w:eastAsia="Times New Roman" w:hAnsi="Times New Roman" w:cs="Times New Roman"/>
      <w:color w:val="141414"/>
      <w:sz w:val="19"/>
      <w:szCs w:val="19"/>
    </w:rPr>
  </w:style>
  <w:style w:type="paragraph" w:styleId="BodyText">
    <w:name w:val="Body Text"/>
    <w:basedOn w:val="Normal"/>
    <w:link w:val="BodyTextChar"/>
    <w:qFormat/>
    <w:rsid w:val="002B36CC"/>
    <w:pPr>
      <w:widowControl w:val="0"/>
      <w:spacing w:after="0" w:line="290" w:lineRule="auto"/>
      <w:jc w:val="center"/>
    </w:pPr>
    <w:rPr>
      <w:rFonts w:ascii="Times New Roman" w:eastAsia="Times New Roman" w:hAnsi="Times New Roman" w:cs="Times New Roman"/>
      <w:color w:val="141414"/>
      <w:kern w:val="2"/>
      <w:sz w:val="19"/>
      <w:szCs w:val="19"/>
      <w:lang w:val="ro-MD"/>
    </w:rPr>
  </w:style>
  <w:style w:type="character" w:customStyle="1" w:styleId="BodyTextChar1">
    <w:name w:val="Body Text Char1"/>
    <w:basedOn w:val="DefaultParagraphFont"/>
    <w:uiPriority w:val="99"/>
    <w:semiHidden/>
    <w:rsid w:val="002B36CC"/>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489">
      <w:bodyDiv w:val="1"/>
      <w:marLeft w:val="0"/>
      <w:marRight w:val="0"/>
      <w:marTop w:val="0"/>
      <w:marBottom w:val="0"/>
      <w:divBdr>
        <w:top w:val="none" w:sz="0" w:space="0" w:color="auto"/>
        <w:left w:val="none" w:sz="0" w:space="0" w:color="auto"/>
        <w:bottom w:val="none" w:sz="0" w:space="0" w:color="auto"/>
        <w:right w:val="none" w:sz="0" w:space="0" w:color="auto"/>
      </w:divBdr>
      <w:divsChild>
        <w:div w:id="1319727462">
          <w:marLeft w:val="0"/>
          <w:marRight w:val="0"/>
          <w:marTop w:val="0"/>
          <w:marBottom w:val="0"/>
          <w:divBdr>
            <w:top w:val="none" w:sz="0" w:space="0" w:color="auto"/>
            <w:left w:val="none" w:sz="0" w:space="0" w:color="auto"/>
            <w:bottom w:val="none" w:sz="0" w:space="0" w:color="auto"/>
            <w:right w:val="none" w:sz="0" w:space="0" w:color="auto"/>
          </w:divBdr>
          <w:divsChild>
            <w:div w:id="149842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38">
      <w:bodyDiv w:val="1"/>
      <w:marLeft w:val="0"/>
      <w:marRight w:val="0"/>
      <w:marTop w:val="0"/>
      <w:marBottom w:val="0"/>
      <w:divBdr>
        <w:top w:val="none" w:sz="0" w:space="0" w:color="auto"/>
        <w:left w:val="none" w:sz="0" w:space="0" w:color="auto"/>
        <w:bottom w:val="none" w:sz="0" w:space="0" w:color="auto"/>
        <w:right w:val="none" w:sz="0" w:space="0" w:color="auto"/>
      </w:divBdr>
      <w:divsChild>
        <w:div w:id="129594968">
          <w:marLeft w:val="0"/>
          <w:marRight w:val="0"/>
          <w:marTop w:val="0"/>
          <w:marBottom w:val="0"/>
          <w:divBdr>
            <w:top w:val="none" w:sz="0" w:space="0" w:color="auto"/>
            <w:left w:val="none" w:sz="0" w:space="0" w:color="auto"/>
            <w:bottom w:val="none" w:sz="0" w:space="0" w:color="auto"/>
            <w:right w:val="none" w:sz="0" w:space="0" w:color="auto"/>
          </w:divBdr>
          <w:divsChild>
            <w:div w:id="776606855">
              <w:marLeft w:val="0"/>
              <w:marRight w:val="0"/>
              <w:marTop w:val="0"/>
              <w:marBottom w:val="0"/>
              <w:divBdr>
                <w:top w:val="none" w:sz="0" w:space="0" w:color="auto"/>
                <w:left w:val="none" w:sz="0" w:space="0" w:color="auto"/>
                <w:bottom w:val="none" w:sz="0" w:space="0" w:color="auto"/>
                <w:right w:val="none" w:sz="0" w:space="0" w:color="auto"/>
              </w:divBdr>
              <w:divsChild>
                <w:div w:id="176844424">
                  <w:marLeft w:val="0"/>
                  <w:marRight w:val="0"/>
                  <w:marTop w:val="0"/>
                  <w:marBottom w:val="0"/>
                  <w:divBdr>
                    <w:top w:val="none" w:sz="0" w:space="0" w:color="auto"/>
                    <w:left w:val="none" w:sz="0" w:space="0" w:color="auto"/>
                    <w:bottom w:val="none" w:sz="0" w:space="0" w:color="auto"/>
                    <w:right w:val="none" w:sz="0" w:space="0" w:color="auto"/>
                  </w:divBdr>
                  <w:divsChild>
                    <w:div w:id="586622615">
                      <w:marLeft w:val="0"/>
                      <w:marRight w:val="0"/>
                      <w:marTop w:val="0"/>
                      <w:marBottom w:val="0"/>
                      <w:divBdr>
                        <w:top w:val="none" w:sz="0" w:space="0" w:color="auto"/>
                        <w:left w:val="none" w:sz="0" w:space="0" w:color="auto"/>
                        <w:bottom w:val="none" w:sz="0" w:space="0" w:color="auto"/>
                        <w:right w:val="none" w:sz="0" w:space="0" w:color="auto"/>
                      </w:divBdr>
                    </w:div>
                    <w:div w:id="764574186">
                      <w:marLeft w:val="0"/>
                      <w:marRight w:val="0"/>
                      <w:marTop w:val="120"/>
                      <w:marBottom w:val="0"/>
                      <w:divBdr>
                        <w:top w:val="none" w:sz="0" w:space="0" w:color="auto"/>
                        <w:left w:val="none" w:sz="0" w:space="0" w:color="auto"/>
                        <w:bottom w:val="none" w:sz="0" w:space="0" w:color="auto"/>
                        <w:right w:val="none" w:sz="0" w:space="0" w:color="auto"/>
                      </w:divBdr>
                    </w:div>
                  </w:divsChild>
                </w:div>
                <w:div w:id="1886217688">
                  <w:marLeft w:val="0"/>
                  <w:marRight w:val="0"/>
                  <w:marTop w:val="0"/>
                  <w:marBottom w:val="0"/>
                  <w:divBdr>
                    <w:top w:val="none" w:sz="0" w:space="0" w:color="auto"/>
                    <w:left w:val="none" w:sz="0" w:space="0" w:color="auto"/>
                    <w:bottom w:val="none" w:sz="0" w:space="0" w:color="auto"/>
                    <w:right w:val="none" w:sz="0" w:space="0" w:color="auto"/>
                  </w:divBdr>
                  <w:divsChild>
                    <w:div w:id="81412931">
                      <w:marLeft w:val="0"/>
                      <w:marRight w:val="0"/>
                      <w:marTop w:val="0"/>
                      <w:marBottom w:val="0"/>
                      <w:divBdr>
                        <w:top w:val="none" w:sz="0" w:space="0" w:color="auto"/>
                        <w:left w:val="none" w:sz="0" w:space="0" w:color="auto"/>
                        <w:bottom w:val="none" w:sz="0" w:space="0" w:color="auto"/>
                        <w:right w:val="none" w:sz="0" w:space="0" w:color="auto"/>
                      </w:divBdr>
                    </w:div>
                    <w:div w:id="240019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44439918">
          <w:marLeft w:val="0"/>
          <w:marRight w:val="0"/>
          <w:marTop w:val="0"/>
          <w:marBottom w:val="0"/>
          <w:divBdr>
            <w:top w:val="none" w:sz="0" w:space="0" w:color="auto"/>
            <w:left w:val="none" w:sz="0" w:space="0" w:color="auto"/>
            <w:bottom w:val="none" w:sz="0" w:space="0" w:color="auto"/>
            <w:right w:val="none" w:sz="0" w:space="0" w:color="auto"/>
          </w:divBdr>
          <w:divsChild>
            <w:div w:id="804154727">
              <w:marLeft w:val="0"/>
              <w:marRight w:val="0"/>
              <w:marTop w:val="0"/>
              <w:marBottom w:val="0"/>
              <w:divBdr>
                <w:top w:val="none" w:sz="0" w:space="0" w:color="auto"/>
                <w:left w:val="none" w:sz="0" w:space="0" w:color="auto"/>
                <w:bottom w:val="none" w:sz="0" w:space="0" w:color="auto"/>
                <w:right w:val="none" w:sz="0" w:space="0" w:color="auto"/>
              </w:divBdr>
            </w:div>
          </w:divsChild>
        </w:div>
        <w:div w:id="875848805">
          <w:marLeft w:val="0"/>
          <w:marRight w:val="0"/>
          <w:marTop w:val="0"/>
          <w:marBottom w:val="0"/>
          <w:divBdr>
            <w:top w:val="none" w:sz="0" w:space="0" w:color="auto"/>
            <w:left w:val="none" w:sz="0" w:space="0" w:color="auto"/>
            <w:bottom w:val="none" w:sz="0" w:space="0" w:color="auto"/>
            <w:right w:val="none" w:sz="0" w:space="0" w:color="auto"/>
          </w:divBdr>
          <w:divsChild>
            <w:div w:id="108593500">
              <w:marLeft w:val="0"/>
              <w:marRight w:val="0"/>
              <w:marTop w:val="0"/>
              <w:marBottom w:val="0"/>
              <w:divBdr>
                <w:top w:val="none" w:sz="0" w:space="0" w:color="auto"/>
                <w:left w:val="none" w:sz="0" w:space="0" w:color="auto"/>
                <w:bottom w:val="none" w:sz="0" w:space="0" w:color="auto"/>
                <w:right w:val="none" w:sz="0" w:space="0" w:color="auto"/>
              </w:divBdr>
              <w:divsChild>
                <w:div w:id="52697170">
                  <w:marLeft w:val="0"/>
                  <w:marRight w:val="0"/>
                  <w:marTop w:val="0"/>
                  <w:marBottom w:val="0"/>
                  <w:divBdr>
                    <w:top w:val="none" w:sz="0" w:space="0" w:color="auto"/>
                    <w:left w:val="none" w:sz="0" w:space="0" w:color="auto"/>
                    <w:bottom w:val="none" w:sz="0" w:space="0" w:color="auto"/>
                    <w:right w:val="none" w:sz="0" w:space="0" w:color="auto"/>
                  </w:divBdr>
                  <w:divsChild>
                    <w:div w:id="697849394">
                      <w:marLeft w:val="0"/>
                      <w:marRight w:val="0"/>
                      <w:marTop w:val="120"/>
                      <w:marBottom w:val="0"/>
                      <w:divBdr>
                        <w:top w:val="none" w:sz="0" w:space="0" w:color="auto"/>
                        <w:left w:val="none" w:sz="0" w:space="0" w:color="auto"/>
                        <w:bottom w:val="none" w:sz="0" w:space="0" w:color="auto"/>
                        <w:right w:val="none" w:sz="0" w:space="0" w:color="auto"/>
                      </w:divBdr>
                    </w:div>
                    <w:div w:id="1614363799">
                      <w:marLeft w:val="0"/>
                      <w:marRight w:val="0"/>
                      <w:marTop w:val="0"/>
                      <w:marBottom w:val="0"/>
                      <w:divBdr>
                        <w:top w:val="none" w:sz="0" w:space="0" w:color="auto"/>
                        <w:left w:val="none" w:sz="0" w:space="0" w:color="auto"/>
                        <w:bottom w:val="none" w:sz="0" w:space="0" w:color="auto"/>
                        <w:right w:val="none" w:sz="0" w:space="0" w:color="auto"/>
                      </w:divBdr>
                    </w:div>
                  </w:divsChild>
                </w:div>
                <w:div w:id="1482037343">
                  <w:marLeft w:val="0"/>
                  <w:marRight w:val="0"/>
                  <w:marTop w:val="0"/>
                  <w:marBottom w:val="0"/>
                  <w:divBdr>
                    <w:top w:val="none" w:sz="0" w:space="0" w:color="auto"/>
                    <w:left w:val="none" w:sz="0" w:space="0" w:color="auto"/>
                    <w:bottom w:val="none" w:sz="0" w:space="0" w:color="auto"/>
                    <w:right w:val="none" w:sz="0" w:space="0" w:color="auto"/>
                  </w:divBdr>
                  <w:divsChild>
                    <w:div w:id="418529670">
                      <w:marLeft w:val="0"/>
                      <w:marRight w:val="0"/>
                      <w:marTop w:val="120"/>
                      <w:marBottom w:val="0"/>
                      <w:divBdr>
                        <w:top w:val="none" w:sz="0" w:space="0" w:color="auto"/>
                        <w:left w:val="none" w:sz="0" w:space="0" w:color="auto"/>
                        <w:bottom w:val="none" w:sz="0" w:space="0" w:color="auto"/>
                        <w:right w:val="none" w:sz="0" w:space="0" w:color="auto"/>
                      </w:divBdr>
                    </w:div>
                    <w:div w:id="1274630886">
                      <w:marLeft w:val="0"/>
                      <w:marRight w:val="0"/>
                      <w:marTop w:val="0"/>
                      <w:marBottom w:val="0"/>
                      <w:divBdr>
                        <w:top w:val="none" w:sz="0" w:space="0" w:color="auto"/>
                        <w:left w:val="none" w:sz="0" w:space="0" w:color="auto"/>
                        <w:bottom w:val="none" w:sz="0" w:space="0" w:color="auto"/>
                        <w:right w:val="none" w:sz="0" w:space="0" w:color="auto"/>
                      </w:divBdr>
                    </w:div>
                  </w:divsChild>
                </w:div>
                <w:div w:id="1896114367">
                  <w:marLeft w:val="0"/>
                  <w:marRight w:val="0"/>
                  <w:marTop w:val="0"/>
                  <w:marBottom w:val="0"/>
                  <w:divBdr>
                    <w:top w:val="none" w:sz="0" w:space="0" w:color="auto"/>
                    <w:left w:val="none" w:sz="0" w:space="0" w:color="auto"/>
                    <w:bottom w:val="none" w:sz="0" w:space="0" w:color="auto"/>
                    <w:right w:val="none" w:sz="0" w:space="0" w:color="auto"/>
                  </w:divBdr>
                  <w:divsChild>
                    <w:div w:id="1817869410">
                      <w:marLeft w:val="0"/>
                      <w:marRight w:val="0"/>
                      <w:marTop w:val="0"/>
                      <w:marBottom w:val="0"/>
                      <w:divBdr>
                        <w:top w:val="none" w:sz="0" w:space="0" w:color="auto"/>
                        <w:left w:val="none" w:sz="0" w:space="0" w:color="auto"/>
                        <w:bottom w:val="none" w:sz="0" w:space="0" w:color="auto"/>
                        <w:right w:val="none" w:sz="0" w:space="0" w:color="auto"/>
                      </w:divBdr>
                    </w:div>
                    <w:div w:id="21463113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5357587">
          <w:marLeft w:val="0"/>
          <w:marRight w:val="0"/>
          <w:marTop w:val="0"/>
          <w:marBottom w:val="0"/>
          <w:divBdr>
            <w:top w:val="none" w:sz="0" w:space="0" w:color="auto"/>
            <w:left w:val="none" w:sz="0" w:space="0" w:color="auto"/>
            <w:bottom w:val="none" w:sz="0" w:space="0" w:color="auto"/>
            <w:right w:val="none" w:sz="0" w:space="0" w:color="auto"/>
          </w:divBdr>
          <w:divsChild>
            <w:div w:id="541406754">
              <w:marLeft w:val="0"/>
              <w:marRight w:val="0"/>
              <w:marTop w:val="0"/>
              <w:marBottom w:val="0"/>
              <w:divBdr>
                <w:top w:val="none" w:sz="0" w:space="0" w:color="auto"/>
                <w:left w:val="none" w:sz="0" w:space="0" w:color="auto"/>
                <w:bottom w:val="none" w:sz="0" w:space="0" w:color="auto"/>
                <w:right w:val="none" w:sz="0" w:space="0" w:color="auto"/>
              </w:divBdr>
            </w:div>
          </w:divsChild>
        </w:div>
        <w:div w:id="1612468414">
          <w:marLeft w:val="0"/>
          <w:marRight w:val="0"/>
          <w:marTop w:val="0"/>
          <w:marBottom w:val="0"/>
          <w:divBdr>
            <w:top w:val="none" w:sz="0" w:space="0" w:color="auto"/>
            <w:left w:val="none" w:sz="0" w:space="0" w:color="auto"/>
            <w:bottom w:val="none" w:sz="0" w:space="0" w:color="auto"/>
            <w:right w:val="none" w:sz="0" w:space="0" w:color="auto"/>
          </w:divBdr>
          <w:divsChild>
            <w:div w:id="27722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3847">
      <w:bodyDiv w:val="1"/>
      <w:marLeft w:val="0"/>
      <w:marRight w:val="0"/>
      <w:marTop w:val="0"/>
      <w:marBottom w:val="0"/>
      <w:divBdr>
        <w:top w:val="none" w:sz="0" w:space="0" w:color="auto"/>
        <w:left w:val="none" w:sz="0" w:space="0" w:color="auto"/>
        <w:bottom w:val="none" w:sz="0" w:space="0" w:color="auto"/>
        <w:right w:val="none" w:sz="0" w:space="0" w:color="auto"/>
      </w:divBdr>
      <w:divsChild>
        <w:div w:id="1046445101">
          <w:marLeft w:val="0"/>
          <w:marRight w:val="0"/>
          <w:marTop w:val="0"/>
          <w:marBottom w:val="0"/>
          <w:divBdr>
            <w:top w:val="none" w:sz="0" w:space="0" w:color="auto"/>
            <w:left w:val="none" w:sz="0" w:space="0" w:color="auto"/>
            <w:bottom w:val="none" w:sz="0" w:space="0" w:color="auto"/>
            <w:right w:val="none" w:sz="0" w:space="0" w:color="auto"/>
          </w:divBdr>
        </w:div>
      </w:divsChild>
    </w:div>
    <w:div w:id="17781746">
      <w:bodyDiv w:val="1"/>
      <w:marLeft w:val="0"/>
      <w:marRight w:val="0"/>
      <w:marTop w:val="0"/>
      <w:marBottom w:val="0"/>
      <w:divBdr>
        <w:top w:val="none" w:sz="0" w:space="0" w:color="auto"/>
        <w:left w:val="none" w:sz="0" w:space="0" w:color="auto"/>
        <w:bottom w:val="none" w:sz="0" w:space="0" w:color="auto"/>
        <w:right w:val="none" w:sz="0" w:space="0" w:color="auto"/>
      </w:divBdr>
      <w:divsChild>
        <w:div w:id="801846245">
          <w:marLeft w:val="0"/>
          <w:marRight w:val="0"/>
          <w:marTop w:val="0"/>
          <w:marBottom w:val="0"/>
          <w:divBdr>
            <w:top w:val="none" w:sz="0" w:space="0" w:color="auto"/>
            <w:left w:val="none" w:sz="0" w:space="0" w:color="auto"/>
            <w:bottom w:val="none" w:sz="0" w:space="0" w:color="auto"/>
            <w:right w:val="none" w:sz="0" w:space="0" w:color="auto"/>
          </w:divBdr>
        </w:div>
      </w:divsChild>
    </w:div>
    <w:div w:id="19670036">
      <w:bodyDiv w:val="1"/>
      <w:marLeft w:val="0"/>
      <w:marRight w:val="0"/>
      <w:marTop w:val="0"/>
      <w:marBottom w:val="0"/>
      <w:divBdr>
        <w:top w:val="none" w:sz="0" w:space="0" w:color="auto"/>
        <w:left w:val="none" w:sz="0" w:space="0" w:color="auto"/>
        <w:bottom w:val="none" w:sz="0" w:space="0" w:color="auto"/>
        <w:right w:val="none" w:sz="0" w:space="0" w:color="auto"/>
      </w:divBdr>
    </w:div>
    <w:div w:id="26685825">
      <w:bodyDiv w:val="1"/>
      <w:marLeft w:val="0"/>
      <w:marRight w:val="0"/>
      <w:marTop w:val="0"/>
      <w:marBottom w:val="0"/>
      <w:divBdr>
        <w:top w:val="none" w:sz="0" w:space="0" w:color="auto"/>
        <w:left w:val="none" w:sz="0" w:space="0" w:color="auto"/>
        <w:bottom w:val="none" w:sz="0" w:space="0" w:color="auto"/>
        <w:right w:val="none" w:sz="0" w:space="0" w:color="auto"/>
      </w:divBdr>
      <w:divsChild>
        <w:div w:id="1261257309">
          <w:marLeft w:val="0"/>
          <w:marRight w:val="0"/>
          <w:marTop w:val="0"/>
          <w:marBottom w:val="0"/>
          <w:divBdr>
            <w:top w:val="none" w:sz="0" w:space="0" w:color="auto"/>
            <w:left w:val="none" w:sz="0" w:space="0" w:color="auto"/>
            <w:bottom w:val="none" w:sz="0" w:space="0" w:color="auto"/>
            <w:right w:val="none" w:sz="0" w:space="0" w:color="auto"/>
          </w:divBdr>
          <w:divsChild>
            <w:div w:id="142876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2766">
      <w:bodyDiv w:val="1"/>
      <w:marLeft w:val="0"/>
      <w:marRight w:val="0"/>
      <w:marTop w:val="0"/>
      <w:marBottom w:val="0"/>
      <w:divBdr>
        <w:top w:val="none" w:sz="0" w:space="0" w:color="auto"/>
        <w:left w:val="none" w:sz="0" w:space="0" w:color="auto"/>
        <w:bottom w:val="none" w:sz="0" w:space="0" w:color="auto"/>
        <w:right w:val="none" w:sz="0" w:space="0" w:color="auto"/>
      </w:divBdr>
      <w:divsChild>
        <w:div w:id="393937296">
          <w:marLeft w:val="0"/>
          <w:marRight w:val="0"/>
          <w:marTop w:val="0"/>
          <w:marBottom w:val="0"/>
          <w:divBdr>
            <w:top w:val="none" w:sz="0" w:space="0" w:color="auto"/>
            <w:left w:val="none" w:sz="0" w:space="0" w:color="auto"/>
            <w:bottom w:val="none" w:sz="0" w:space="0" w:color="auto"/>
            <w:right w:val="none" w:sz="0" w:space="0" w:color="auto"/>
          </w:divBdr>
        </w:div>
      </w:divsChild>
    </w:div>
    <w:div w:id="29190451">
      <w:bodyDiv w:val="1"/>
      <w:marLeft w:val="0"/>
      <w:marRight w:val="0"/>
      <w:marTop w:val="0"/>
      <w:marBottom w:val="0"/>
      <w:divBdr>
        <w:top w:val="none" w:sz="0" w:space="0" w:color="auto"/>
        <w:left w:val="none" w:sz="0" w:space="0" w:color="auto"/>
        <w:bottom w:val="none" w:sz="0" w:space="0" w:color="auto"/>
        <w:right w:val="none" w:sz="0" w:space="0" w:color="auto"/>
      </w:divBdr>
      <w:divsChild>
        <w:div w:id="2076857907">
          <w:marLeft w:val="0"/>
          <w:marRight w:val="0"/>
          <w:marTop w:val="0"/>
          <w:marBottom w:val="0"/>
          <w:divBdr>
            <w:top w:val="none" w:sz="0" w:space="0" w:color="auto"/>
            <w:left w:val="none" w:sz="0" w:space="0" w:color="auto"/>
            <w:bottom w:val="none" w:sz="0" w:space="0" w:color="auto"/>
            <w:right w:val="none" w:sz="0" w:space="0" w:color="auto"/>
          </w:divBdr>
          <w:divsChild>
            <w:div w:id="1025012564">
              <w:marLeft w:val="0"/>
              <w:marRight w:val="0"/>
              <w:marTop w:val="0"/>
              <w:marBottom w:val="0"/>
              <w:divBdr>
                <w:top w:val="none" w:sz="0" w:space="0" w:color="auto"/>
                <w:left w:val="none" w:sz="0" w:space="0" w:color="auto"/>
                <w:bottom w:val="none" w:sz="0" w:space="0" w:color="auto"/>
                <w:right w:val="none" w:sz="0" w:space="0" w:color="auto"/>
              </w:divBdr>
              <w:divsChild>
                <w:div w:id="123040732">
                  <w:marLeft w:val="0"/>
                  <w:marRight w:val="0"/>
                  <w:marTop w:val="0"/>
                  <w:marBottom w:val="0"/>
                  <w:divBdr>
                    <w:top w:val="none" w:sz="0" w:space="0" w:color="auto"/>
                    <w:left w:val="none" w:sz="0" w:space="0" w:color="auto"/>
                    <w:bottom w:val="none" w:sz="0" w:space="0" w:color="auto"/>
                    <w:right w:val="none" w:sz="0" w:space="0" w:color="auto"/>
                  </w:divBdr>
                  <w:divsChild>
                    <w:div w:id="170074345">
                      <w:marLeft w:val="0"/>
                      <w:marRight w:val="0"/>
                      <w:marTop w:val="120"/>
                      <w:marBottom w:val="0"/>
                      <w:divBdr>
                        <w:top w:val="none" w:sz="0" w:space="0" w:color="auto"/>
                        <w:left w:val="none" w:sz="0" w:space="0" w:color="auto"/>
                        <w:bottom w:val="none" w:sz="0" w:space="0" w:color="auto"/>
                        <w:right w:val="none" w:sz="0" w:space="0" w:color="auto"/>
                      </w:divBdr>
                    </w:div>
                    <w:div w:id="667439877">
                      <w:marLeft w:val="0"/>
                      <w:marRight w:val="0"/>
                      <w:marTop w:val="0"/>
                      <w:marBottom w:val="0"/>
                      <w:divBdr>
                        <w:top w:val="none" w:sz="0" w:space="0" w:color="auto"/>
                        <w:left w:val="none" w:sz="0" w:space="0" w:color="auto"/>
                        <w:bottom w:val="none" w:sz="0" w:space="0" w:color="auto"/>
                        <w:right w:val="none" w:sz="0" w:space="0" w:color="auto"/>
                      </w:divBdr>
                    </w:div>
                  </w:divsChild>
                </w:div>
                <w:div w:id="224874083">
                  <w:marLeft w:val="0"/>
                  <w:marRight w:val="0"/>
                  <w:marTop w:val="0"/>
                  <w:marBottom w:val="0"/>
                  <w:divBdr>
                    <w:top w:val="none" w:sz="0" w:space="0" w:color="auto"/>
                    <w:left w:val="none" w:sz="0" w:space="0" w:color="auto"/>
                    <w:bottom w:val="none" w:sz="0" w:space="0" w:color="auto"/>
                    <w:right w:val="none" w:sz="0" w:space="0" w:color="auto"/>
                  </w:divBdr>
                  <w:divsChild>
                    <w:div w:id="20863372">
                      <w:marLeft w:val="0"/>
                      <w:marRight w:val="0"/>
                      <w:marTop w:val="120"/>
                      <w:marBottom w:val="0"/>
                      <w:divBdr>
                        <w:top w:val="none" w:sz="0" w:space="0" w:color="auto"/>
                        <w:left w:val="none" w:sz="0" w:space="0" w:color="auto"/>
                        <w:bottom w:val="none" w:sz="0" w:space="0" w:color="auto"/>
                        <w:right w:val="none" w:sz="0" w:space="0" w:color="auto"/>
                      </w:divBdr>
                    </w:div>
                    <w:div w:id="48890133">
                      <w:marLeft w:val="0"/>
                      <w:marRight w:val="0"/>
                      <w:marTop w:val="0"/>
                      <w:marBottom w:val="0"/>
                      <w:divBdr>
                        <w:top w:val="none" w:sz="0" w:space="0" w:color="auto"/>
                        <w:left w:val="none" w:sz="0" w:space="0" w:color="auto"/>
                        <w:bottom w:val="none" w:sz="0" w:space="0" w:color="auto"/>
                        <w:right w:val="none" w:sz="0" w:space="0" w:color="auto"/>
                      </w:divBdr>
                    </w:div>
                  </w:divsChild>
                </w:div>
                <w:div w:id="1048454245">
                  <w:marLeft w:val="0"/>
                  <w:marRight w:val="0"/>
                  <w:marTop w:val="0"/>
                  <w:marBottom w:val="0"/>
                  <w:divBdr>
                    <w:top w:val="none" w:sz="0" w:space="0" w:color="auto"/>
                    <w:left w:val="none" w:sz="0" w:space="0" w:color="auto"/>
                    <w:bottom w:val="none" w:sz="0" w:space="0" w:color="auto"/>
                    <w:right w:val="none" w:sz="0" w:space="0" w:color="auto"/>
                  </w:divBdr>
                  <w:divsChild>
                    <w:div w:id="1148938176">
                      <w:marLeft w:val="0"/>
                      <w:marRight w:val="0"/>
                      <w:marTop w:val="120"/>
                      <w:marBottom w:val="0"/>
                      <w:divBdr>
                        <w:top w:val="none" w:sz="0" w:space="0" w:color="auto"/>
                        <w:left w:val="none" w:sz="0" w:space="0" w:color="auto"/>
                        <w:bottom w:val="none" w:sz="0" w:space="0" w:color="auto"/>
                        <w:right w:val="none" w:sz="0" w:space="0" w:color="auto"/>
                      </w:divBdr>
                    </w:div>
                    <w:div w:id="1545092962">
                      <w:marLeft w:val="0"/>
                      <w:marRight w:val="0"/>
                      <w:marTop w:val="0"/>
                      <w:marBottom w:val="0"/>
                      <w:divBdr>
                        <w:top w:val="none" w:sz="0" w:space="0" w:color="auto"/>
                        <w:left w:val="none" w:sz="0" w:space="0" w:color="auto"/>
                        <w:bottom w:val="none" w:sz="0" w:space="0" w:color="auto"/>
                        <w:right w:val="none" w:sz="0" w:space="0" w:color="auto"/>
                      </w:divBdr>
                    </w:div>
                  </w:divsChild>
                </w:div>
                <w:div w:id="1605115255">
                  <w:marLeft w:val="0"/>
                  <w:marRight w:val="0"/>
                  <w:marTop w:val="0"/>
                  <w:marBottom w:val="0"/>
                  <w:divBdr>
                    <w:top w:val="none" w:sz="0" w:space="0" w:color="auto"/>
                    <w:left w:val="none" w:sz="0" w:space="0" w:color="auto"/>
                    <w:bottom w:val="none" w:sz="0" w:space="0" w:color="auto"/>
                    <w:right w:val="none" w:sz="0" w:space="0" w:color="auto"/>
                  </w:divBdr>
                  <w:divsChild>
                    <w:div w:id="1547254260">
                      <w:marLeft w:val="0"/>
                      <w:marRight w:val="0"/>
                      <w:marTop w:val="120"/>
                      <w:marBottom w:val="0"/>
                      <w:divBdr>
                        <w:top w:val="none" w:sz="0" w:space="0" w:color="auto"/>
                        <w:left w:val="none" w:sz="0" w:space="0" w:color="auto"/>
                        <w:bottom w:val="none" w:sz="0" w:space="0" w:color="auto"/>
                        <w:right w:val="none" w:sz="0" w:space="0" w:color="auto"/>
                      </w:divBdr>
                    </w:div>
                    <w:div w:id="17873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985">
      <w:bodyDiv w:val="1"/>
      <w:marLeft w:val="0"/>
      <w:marRight w:val="0"/>
      <w:marTop w:val="0"/>
      <w:marBottom w:val="0"/>
      <w:divBdr>
        <w:top w:val="none" w:sz="0" w:space="0" w:color="auto"/>
        <w:left w:val="none" w:sz="0" w:space="0" w:color="auto"/>
        <w:bottom w:val="none" w:sz="0" w:space="0" w:color="auto"/>
        <w:right w:val="none" w:sz="0" w:space="0" w:color="auto"/>
      </w:divBdr>
      <w:divsChild>
        <w:div w:id="215316606">
          <w:marLeft w:val="0"/>
          <w:marRight w:val="0"/>
          <w:marTop w:val="0"/>
          <w:marBottom w:val="0"/>
          <w:divBdr>
            <w:top w:val="none" w:sz="0" w:space="0" w:color="auto"/>
            <w:left w:val="none" w:sz="0" w:space="0" w:color="auto"/>
            <w:bottom w:val="none" w:sz="0" w:space="0" w:color="auto"/>
            <w:right w:val="none" w:sz="0" w:space="0" w:color="auto"/>
          </w:divBdr>
        </w:div>
        <w:div w:id="295650162">
          <w:marLeft w:val="0"/>
          <w:marRight w:val="0"/>
          <w:marTop w:val="0"/>
          <w:marBottom w:val="0"/>
          <w:divBdr>
            <w:top w:val="none" w:sz="0" w:space="0" w:color="auto"/>
            <w:left w:val="none" w:sz="0" w:space="0" w:color="auto"/>
            <w:bottom w:val="none" w:sz="0" w:space="0" w:color="auto"/>
            <w:right w:val="none" w:sz="0" w:space="0" w:color="auto"/>
          </w:divBdr>
          <w:divsChild>
            <w:div w:id="7258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1168">
      <w:bodyDiv w:val="1"/>
      <w:marLeft w:val="0"/>
      <w:marRight w:val="0"/>
      <w:marTop w:val="0"/>
      <w:marBottom w:val="0"/>
      <w:divBdr>
        <w:top w:val="none" w:sz="0" w:space="0" w:color="auto"/>
        <w:left w:val="none" w:sz="0" w:space="0" w:color="auto"/>
        <w:bottom w:val="none" w:sz="0" w:space="0" w:color="auto"/>
        <w:right w:val="none" w:sz="0" w:space="0" w:color="auto"/>
      </w:divBdr>
      <w:divsChild>
        <w:div w:id="1510101415">
          <w:marLeft w:val="0"/>
          <w:marRight w:val="0"/>
          <w:marTop w:val="0"/>
          <w:marBottom w:val="0"/>
          <w:divBdr>
            <w:top w:val="none" w:sz="0" w:space="0" w:color="auto"/>
            <w:left w:val="none" w:sz="0" w:space="0" w:color="auto"/>
            <w:bottom w:val="none" w:sz="0" w:space="0" w:color="auto"/>
            <w:right w:val="none" w:sz="0" w:space="0" w:color="auto"/>
          </w:divBdr>
        </w:div>
      </w:divsChild>
    </w:div>
    <w:div w:id="60256918">
      <w:bodyDiv w:val="1"/>
      <w:marLeft w:val="0"/>
      <w:marRight w:val="0"/>
      <w:marTop w:val="0"/>
      <w:marBottom w:val="0"/>
      <w:divBdr>
        <w:top w:val="none" w:sz="0" w:space="0" w:color="auto"/>
        <w:left w:val="none" w:sz="0" w:space="0" w:color="auto"/>
        <w:bottom w:val="none" w:sz="0" w:space="0" w:color="auto"/>
        <w:right w:val="none" w:sz="0" w:space="0" w:color="auto"/>
      </w:divBdr>
      <w:divsChild>
        <w:div w:id="1436054212">
          <w:marLeft w:val="0"/>
          <w:marRight w:val="0"/>
          <w:marTop w:val="0"/>
          <w:marBottom w:val="0"/>
          <w:divBdr>
            <w:top w:val="none" w:sz="0" w:space="0" w:color="auto"/>
            <w:left w:val="none" w:sz="0" w:space="0" w:color="auto"/>
            <w:bottom w:val="none" w:sz="0" w:space="0" w:color="auto"/>
            <w:right w:val="none" w:sz="0" w:space="0" w:color="auto"/>
          </w:divBdr>
          <w:divsChild>
            <w:div w:id="15176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6666">
      <w:bodyDiv w:val="1"/>
      <w:marLeft w:val="0"/>
      <w:marRight w:val="0"/>
      <w:marTop w:val="0"/>
      <w:marBottom w:val="0"/>
      <w:divBdr>
        <w:top w:val="none" w:sz="0" w:space="0" w:color="auto"/>
        <w:left w:val="none" w:sz="0" w:space="0" w:color="auto"/>
        <w:bottom w:val="none" w:sz="0" w:space="0" w:color="auto"/>
        <w:right w:val="none" w:sz="0" w:space="0" w:color="auto"/>
      </w:divBdr>
      <w:divsChild>
        <w:div w:id="1602715253">
          <w:marLeft w:val="0"/>
          <w:marRight w:val="0"/>
          <w:marTop w:val="0"/>
          <w:marBottom w:val="0"/>
          <w:divBdr>
            <w:top w:val="none" w:sz="0" w:space="0" w:color="auto"/>
            <w:left w:val="none" w:sz="0" w:space="0" w:color="auto"/>
            <w:bottom w:val="none" w:sz="0" w:space="0" w:color="auto"/>
            <w:right w:val="none" w:sz="0" w:space="0" w:color="auto"/>
          </w:divBdr>
        </w:div>
      </w:divsChild>
    </w:div>
    <w:div w:id="65763952">
      <w:bodyDiv w:val="1"/>
      <w:marLeft w:val="0"/>
      <w:marRight w:val="0"/>
      <w:marTop w:val="0"/>
      <w:marBottom w:val="0"/>
      <w:divBdr>
        <w:top w:val="none" w:sz="0" w:space="0" w:color="auto"/>
        <w:left w:val="none" w:sz="0" w:space="0" w:color="auto"/>
        <w:bottom w:val="none" w:sz="0" w:space="0" w:color="auto"/>
        <w:right w:val="none" w:sz="0" w:space="0" w:color="auto"/>
      </w:divBdr>
      <w:divsChild>
        <w:div w:id="115149077">
          <w:marLeft w:val="0"/>
          <w:marRight w:val="0"/>
          <w:marTop w:val="0"/>
          <w:marBottom w:val="0"/>
          <w:divBdr>
            <w:top w:val="none" w:sz="0" w:space="0" w:color="auto"/>
            <w:left w:val="none" w:sz="0" w:space="0" w:color="auto"/>
            <w:bottom w:val="none" w:sz="0" w:space="0" w:color="auto"/>
            <w:right w:val="none" w:sz="0" w:space="0" w:color="auto"/>
          </w:divBdr>
        </w:div>
      </w:divsChild>
    </w:div>
    <w:div w:id="69540862">
      <w:bodyDiv w:val="1"/>
      <w:marLeft w:val="0"/>
      <w:marRight w:val="0"/>
      <w:marTop w:val="0"/>
      <w:marBottom w:val="0"/>
      <w:divBdr>
        <w:top w:val="none" w:sz="0" w:space="0" w:color="auto"/>
        <w:left w:val="none" w:sz="0" w:space="0" w:color="auto"/>
        <w:bottom w:val="none" w:sz="0" w:space="0" w:color="auto"/>
        <w:right w:val="none" w:sz="0" w:space="0" w:color="auto"/>
      </w:divBdr>
      <w:divsChild>
        <w:div w:id="1662196871">
          <w:marLeft w:val="0"/>
          <w:marRight w:val="0"/>
          <w:marTop w:val="0"/>
          <w:marBottom w:val="0"/>
          <w:divBdr>
            <w:top w:val="none" w:sz="0" w:space="0" w:color="auto"/>
            <w:left w:val="none" w:sz="0" w:space="0" w:color="auto"/>
            <w:bottom w:val="none" w:sz="0" w:space="0" w:color="auto"/>
            <w:right w:val="none" w:sz="0" w:space="0" w:color="auto"/>
          </w:divBdr>
        </w:div>
      </w:divsChild>
    </w:div>
    <w:div w:id="71895572">
      <w:bodyDiv w:val="1"/>
      <w:marLeft w:val="0"/>
      <w:marRight w:val="0"/>
      <w:marTop w:val="0"/>
      <w:marBottom w:val="0"/>
      <w:divBdr>
        <w:top w:val="none" w:sz="0" w:space="0" w:color="auto"/>
        <w:left w:val="none" w:sz="0" w:space="0" w:color="auto"/>
        <w:bottom w:val="none" w:sz="0" w:space="0" w:color="auto"/>
        <w:right w:val="none" w:sz="0" w:space="0" w:color="auto"/>
      </w:divBdr>
      <w:divsChild>
        <w:div w:id="317542005">
          <w:marLeft w:val="0"/>
          <w:marRight w:val="0"/>
          <w:marTop w:val="0"/>
          <w:marBottom w:val="0"/>
          <w:divBdr>
            <w:top w:val="none" w:sz="0" w:space="0" w:color="auto"/>
            <w:left w:val="none" w:sz="0" w:space="0" w:color="auto"/>
            <w:bottom w:val="none" w:sz="0" w:space="0" w:color="auto"/>
            <w:right w:val="none" w:sz="0" w:space="0" w:color="auto"/>
          </w:divBdr>
          <w:divsChild>
            <w:div w:id="2076389043">
              <w:marLeft w:val="0"/>
              <w:marRight w:val="0"/>
              <w:marTop w:val="0"/>
              <w:marBottom w:val="0"/>
              <w:divBdr>
                <w:top w:val="none" w:sz="0" w:space="0" w:color="auto"/>
                <w:left w:val="none" w:sz="0" w:space="0" w:color="auto"/>
                <w:bottom w:val="none" w:sz="0" w:space="0" w:color="auto"/>
                <w:right w:val="none" w:sz="0" w:space="0" w:color="auto"/>
              </w:divBdr>
              <w:divsChild>
                <w:div w:id="519709909">
                  <w:marLeft w:val="0"/>
                  <w:marRight w:val="0"/>
                  <w:marTop w:val="0"/>
                  <w:marBottom w:val="0"/>
                  <w:divBdr>
                    <w:top w:val="none" w:sz="0" w:space="0" w:color="auto"/>
                    <w:left w:val="none" w:sz="0" w:space="0" w:color="auto"/>
                    <w:bottom w:val="none" w:sz="0" w:space="0" w:color="auto"/>
                    <w:right w:val="none" w:sz="0" w:space="0" w:color="auto"/>
                  </w:divBdr>
                  <w:divsChild>
                    <w:div w:id="743646161">
                      <w:marLeft w:val="0"/>
                      <w:marRight w:val="0"/>
                      <w:marTop w:val="0"/>
                      <w:marBottom w:val="0"/>
                      <w:divBdr>
                        <w:top w:val="none" w:sz="0" w:space="0" w:color="auto"/>
                        <w:left w:val="none" w:sz="0" w:space="0" w:color="auto"/>
                        <w:bottom w:val="none" w:sz="0" w:space="0" w:color="auto"/>
                        <w:right w:val="none" w:sz="0" w:space="0" w:color="auto"/>
                      </w:divBdr>
                      <w:divsChild>
                        <w:div w:id="634793515">
                          <w:marLeft w:val="0"/>
                          <w:marRight w:val="0"/>
                          <w:marTop w:val="0"/>
                          <w:marBottom w:val="0"/>
                          <w:divBdr>
                            <w:top w:val="none" w:sz="0" w:space="0" w:color="auto"/>
                            <w:left w:val="none" w:sz="0" w:space="0" w:color="auto"/>
                            <w:bottom w:val="none" w:sz="0" w:space="0" w:color="auto"/>
                            <w:right w:val="none" w:sz="0" w:space="0" w:color="auto"/>
                          </w:divBdr>
                          <w:divsChild>
                            <w:div w:id="188841258">
                              <w:marLeft w:val="0"/>
                              <w:marRight w:val="0"/>
                              <w:marTop w:val="120"/>
                              <w:marBottom w:val="0"/>
                              <w:divBdr>
                                <w:top w:val="none" w:sz="0" w:space="0" w:color="auto"/>
                                <w:left w:val="none" w:sz="0" w:space="0" w:color="auto"/>
                                <w:bottom w:val="none" w:sz="0" w:space="0" w:color="auto"/>
                                <w:right w:val="none" w:sz="0" w:space="0" w:color="auto"/>
                              </w:divBdr>
                            </w:div>
                            <w:div w:id="1345282556">
                              <w:marLeft w:val="0"/>
                              <w:marRight w:val="0"/>
                              <w:marTop w:val="0"/>
                              <w:marBottom w:val="0"/>
                              <w:divBdr>
                                <w:top w:val="none" w:sz="0" w:space="0" w:color="auto"/>
                                <w:left w:val="none" w:sz="0" w:space="0" w:color="auto"/>
                                <w:bottom w:val="none" w:sz="0" w:space="0" w:color="auto"/>
                                <w:right w:val="none" w:sz="0" w:space="0" w:color="auto"/>
                              </w:divBdr>
                            </w:div>
                          </w:divsChild>
                        </w:div>
                        <w:div w:id="1272710942">
                          <w:marLeft w:val="0"/>
                          <w:marRight w:val="0"/>
                          <w:marTop w:val="0"/>
                          <w:marBottom w:val="0"/>
                          <w:divBdr>
                            <w:top w:val="none" w:sz="0" w:space="0" w:color="auto"/>
                            <w:left w:val="none" w:sz="0" w:space="0" w:color="auto"/>
                            <w:bottom w:val="none" w:sz="0" w:space="0" w:color="auto"/>
                            <w:right w:val="none" w:sz="0" w:space="0" w:color="auto"/>
                          </w:divBdr>
                          <w:divsChild>
                            <w:div w:id="1563101603">
                              <w:marLeft w:val="0"/>
                              <w:marRight w:val="0"/>
                              <w:marTop w:val="0"/>
                              <w:marBottom w:val="0"/>
                              <w:divBdr>
                                <w:top w:val="none" w:sz="0" w:space="0" w:color="auto"/>
                                <w:left w:val="none" w:sz="0" w:space="0" w:color="auto"/>
                                <w:bottom w:val="none" w:sz="0" w:space="0" w:color="auto"/>
                                <w:right w:val="none" w:sz="0" w:space="0" w:color="auto"/>
                              </w:divBdr>
                            </w:div>
                            <w:div w:id="1960338688">
                              <w:marLeft w:val="0"/>
                              <w:marRight w:val="0"/>
                              <w:marTop w:val="120"/>
                              <w:marBottom w:val="0"/>
                              <w:divBdr>
                                <w:top w:val="none" w:sz="0" w:space="0" w:color="auto"/>
                                <w:left w:val="none" w:sz="0" w:space="0" w:color="auto"/>
                                <w:bottom w:val="none" w:sz="0" w:space="0" w:color="auto"/>
                                <w:right w:val="none" w:sz="0" w:space="0" w:color="auto"/>
                              </w:divBdr>
                            </w:div>
                          </w:divsChild>
                        </w:div>
                        <w:div w:id="1952738898">
                          <w:marLeft w:val="0"/>
                          <w:marRight w:val="0"/>
                          <w:marTop w:val="0"/>
                          <w:marBottom w:val="0"/>
                          <w:divBdr>
                            <w:top w:val="none" w:sz="0" w:space="0" w:color="auto"/>
                            <w:left w:val="none" w:sz="0" w:space="0" w:color="auto"/>
                            <w:bottom w:val="none" w:sz="0" w:space="0" w:color="auto"/>
                            <w:right w:val="none" w:sz="0" w:space="0" w:color="auto"/>
                          </w:divBdr>
                          <w:divsChild>
                            <w:div w:id="600383261">
                              <w:marLeft w:val="0"/>
                              <w:marRight w:val="0"/>
                              <w:marTop w:val="120"/>
                              <w:marBottom w:val="0"/>
                              <w:divBdr>
                                <w:top w:val="none" w:sz="0" w:space="0" w:color="auto"/>
                                <w:left w:val="none" w:sz="0" w:space="0" w:color="auto"/>
                                <w:bottom w:val="none" w:sz="0" w:space="0" w:color="auto"/>
                                <w:right w:val="none" w:sz="0" w:space="0" w:color="auto"/>
                              </w:divBdr>
                            </w:div>
                            <w:div w:id="7397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5722">
                      <w:marLeft w:val="0"/>
                      <w:marRight w:val="0"/>
                      <w:marTop w:val="120"/>
                      <w:marBottom w:val="0"/>
                      <w:divBdr>
                        <w:top w:val="none" w:sz="0" w:space="0" w:color="auto"/>
                        <w:left w:val="none" w:sz="0" w:space="0" w:color="auto"/>
                        <w:bottom w:val="none" w:sz="0" w:space="0" w:color="auto"/>
                        <w:right w:val="none" w:sz="0" w:space="0" w:color="auto"/>
                      </w:divBdr>
                    </w:div>
                  </w:divsChild>
                </w:div>
                <w:div w:id="1194031426">
                  <w:marLeft w:val="0"/>
                  <w:marRight w:val="0"/>
                  <w:marTop w:val="0"/>
                  <w:marBottom w:val="0"/>
                  <w:divBdr>
                    <w:top w:val="none" w:sz="0" w:space="0" w:color="auto"/>
                    <w:left w:val="none" w:sz="0" w:space="0" w:color="auto"/>
                    <w:bottom w:val="none" w:sz="0" w:space="0" w:color="auto"/>
                    <w:right w:val="none" w:sz="0" w:space="0" w:color="auto"/>
                  </w:divBdr>
                  <w:divsChild>
                    <w:div w:id="275453134">
                      <w:marLeft w:val="0"/>
                      <w:marRight w:val="0"/>
                      <w:marTop w:val="120"/>
                      <w:marBottom w:val="0"/>
                      <w:divBdr>
                        <w:top w:val="none" w:sz="0" w:space="0" w:color="auto"/>
                        <w:left w:val="none" w:sz="0" w:space="0" w:color="auto"/>
                        <w:bottom w:val="none" w:sz="0" w:space="0" w:color="auto"/>
                        <w:right w:val="none" w:sz="0" w:space="0" w:color="auto"/>
                      </w:divBdr>
                    </w:div>
                    <w:div w:id="706490069">
                      <w:marLeft w:val="0"/>
                      <w:marRight w:val="0"/>
                      <w:marTop w:val="0"/>
                      <w:marBottom w:val="0"/>
                      <w:divBdr>
                        <w:top w:val="none" w:sz="0" w:space="0" w:color="auto"/>
                        <w:left w:val="none" w:sz="0" w:space="0" w:color="auto"/>
                        <w:bottom w:val="none" w:sz="0" w:space="0" w:color="auto"/>
                        <w:right w:val="none" w:sz="0" w:space="0" w:color="auto"/>
                      </w:divBdr>
                    </w:div>
                  </w:divsChild>
                </w:div>
                <w:div w:id="1472210840">
                  <w:marLeft w:val="0"/>
                  <w:marRight w:val="0"/>
                  <w:marTop w:val="0"/>
                  <w:marBottom w:val="0"/>
                  <w:divBdr>
                    <w:top w:val="none" w:sz="0" w:space="0" w:color="auto"/>
                    <w:left w:val="none" w:sz="0" w:space="0" w:color="auto"/>
                    <w:bottom w:val="none" w:sz="0" w:space="0" w:color="auto"/>
                    <w:right w:val="none" w:sz="0" w:space="0" w:color="auto"/>
                  </w:divBdr>
                  <w:divsChild>
                    <w:div w:id="98768133">
                      <w:marLeft w:val="0"/>
                      <w:marRight w:val="0"/>
                      <w:marTop w:val="120"/>
                      <w:marBottom w:val="0"/>
                      <w:divBdr>
                        <w:top w:val="none" w:sz="0" w:space="0" w:color="auto"/>
                        <w:left w:val="none" w:sz="0" w:space="0" w:color="auto"/>
                        <w:bottom w:val="none" w:sz="0" w:space="0" w:color="auto"/>
                        <w:right w:val="none" w:sz="0" w:space="0" w:color="auto"/>
                      </w:divBdr>
                    </w:div>
                    <w:div w:id="18174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52490">
      <w:bodyDiv w:val="1"/>
      <w:marLeft w:val="0"/>
      <w:marRight w:val="0"/>
      <w:marTop w:val="0"/>
      <w:marBottom w:val="0"/>
      <w:divBdr>
        <w:top w:val="none" w:sz="0" w:space="0" w:color="auto"/>
        <w:left w:val="none" w:sz="0" w:space="0" w:color="auto"/>
        <w:bottom w:val="none" w:sz="0" w:space="0" w:color="auto"/>
        <w:right w:val="none" w:sz="0" w:space="0" w:color="auto"/>
      </w:divBdr>
      <w:divsChild>
        <w:div w:id="1593513488">
          <w:marLeft w:val="0"/>
          <w:marRight w:val="0"/>
          <w:marTop w:val="0"/>
          <w:marBottom w:val="0"/>
          <w:divBdr>
            <w:top w:val="none" w:sz="0" w:space="0" w:color="auto"/>
            <w:left w:val="none" w:sz="0" w:space="0" w:color="auto"/>
            <w:bottom w:val="none" w:sz="0" w:space="0" w:color="auto"/>
            <w:right w:val="none" w:sz="0" w:space="0" w:color="auto"/>
          </w:divBdr>
          <w:divsChild>
            <w:div w:id="1078408572">
              <w:marLeft w:val="0"/>
              <w:marRight w:val="0"/>
              <w:marTop w:val="0"/>
              <w:marBottom w:val="0"/>
              <w:divBdr>
                <w:top w:val="none" w:sz="0" w:space="0" w:color="auto"/>
                <w:left w:val="none" w:sz="0" w:space="0" w:color="auto"/>
                <w:bottom w:val="none" w:sz="0" w:space="0" w:color="auto"/>
                <w:right w:val="none" w:sz="0" w:space="0" w:color="auto"/>
              </w:divBdr>
              <w:divsChild>
                <w:div w:id="483469094">
                  <w:marLeft w:val="0"/>
                  <w:marRight w:val="0"/>
                  <w:marTop w:val="0"/>
                  <w:marBottom w:val="0"/>
                  <w:divBdr>
                    <w:top w:val="none" w:sz="0" w:space="0" w:color="auto"/>
                    <w:left w:val="none" w:sz="0" w:space="0" w:color="auto"/>
                    <w:bottom w:val="none" w:sz="0" w:space="0" w:color="auto"/>
                    <w:right w:val="none" w:sz="0" w:space="0" w:color="auto"/>
                  </w:divBdr>
                  <w:divsChild>
                    <w:div w:id="436874781">
                      <w:marLeft w:val="0"/>
                      <w:marRight w:val="0"/>
                      <w:marTop w:val="0"/>
                      <w:marBottom w:val="0"/>
                      <w:divBdr>
                        <w:top w:val="none" w:sz="0" w:space="0" w:color="auto"/>
                        <w:left w:val="none" w:sz="0" w:space="0" w:color="auto"/>
                        <w:bottom w:val="none" w:sz="0" w:space="0" w:color="auto"/>
                        <w:right w:val="none" w:sz="0" w:space="0" w:color="auto"/>
                      </w:divBdr>
                    </w:div>
                    <w:div w:id="723602508">
                      <w:marLeft w:val="0"/>
                      <w:marRight w:val="0"/>
                      <w:marTop w:val="120"/>
                      <w:marBottom w:val="0"/>
                      <w:divBdr>
                        <w:top w:val="none" w:sz="0" w:space="0" w:color="auto"/>
                        <w:left w:val="none" w:sz="0" w:space="0" w:color="auto"/>
                        <w:bottom w:val="none" w:sz="0" w:space="0" w:color="auto"/>
                        <w:right w:val="none" w:sz="0" w:space="0" w:color="auto"/>
                      </w:divBdr>
                    </w:div>
                  </w:divsChild>
                </w:div>
                <w:div w:id="1790469399">
                  <w:marLeft w:val="0"/>
                  <w:marRight w:val="0"/>
                  <w:marTop w:val="0"/>
                  <w:marBottom w:val="0"/>
                  <w:divBdr>
                    <w:top w:val="none" w:sz="0" w:space="0" w:color="auto"/>
                    <w:left w:val="none" w:sz="0" w:space="0" w:color="auto"/>
                    <w:bottom w:val="none" w:sz="0" w:space="0" w:color="auto"/>
                    <w:right w:val="none" w:sz="0" w:space="0" w:color="auto"/>
                  </w:divBdr>
                  <w:divsChild>
                    <w:div w:id="507060783">
                      <w:marLeft w:val="0"/>
                      <w:marRight w:val="0"/>
                      <w:marTop w:val="0"/>
                      <w:marBottom w:val="0"/>
                      <w:divBdr>
                        <w:top w:val="none" w:sz="0" w:space="0" w:color="auto"/>
                        <w:left w:val="none" w:sz="0" w:space="0" w:color="auto"/>
                        <w:bottom w:val="none" w:sz="0" w:space="0" w:color="auto"/>
                        <w:right w:val="none" w:sz="0" w:space="0" w:color="auto"/>
                      </w:divBdr>
                    </w:div>
                    <w:div w:id="20937732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76946578">
      <w:bodyDiv w:val="1"/>
      <w:marLeft w:val="0"/>
      <w:marRight w:val="0"/>
      <w:marTop w:val="0"/>
      <w:marBottom w:val="0"/>
      <w:divBdr>
        <w:top w:val="none" w:sz="0" w:space="0" w:color="auto"/>
        <w:left w:val="none" w:sz="0" w:space="0" w:color="auto"/>
        <w:bottom w:val="none" w:sz="0" w:space="0" w:color="auto"/>
        <w:right w:val="none" w:sz="0" w:space="0" w:color="auto"/>
      </w:divBdr>
      <w:divsChild>
        <w:div w:id="1429884713">
          <w:marLeft w:val="0"/>
          <w:marRight w:val="0"/>
          <w:marTop w:val="0"/>
          <w:marBottom w:val="0"/>
          <w:divBdr>
            <w:top w:val="none" w:sz="0" w:space="0" w:color="auto"/>
            <w:left w:val="none" w:sz="0" w:space="0" w:color="auto"/>
            <w:bottom w:val="none" w:sz="0" w:space="0" w:color="auto"/>
            <w:right w:val="none" w:sz="0" w:space="0" w:color="auto"/>
          </w:divBdr>
          <w:divsChild>
            <w:div w:id="1436167176">
              <w:marLeft w:val="0"/>
              <w:marRight w:val="0"/>
              <w:marTop w:val="0"/>
              <w:marBottom w:val="0"/>
              <w:divBdr>
                <w:top w:val="none" w:sz="0" w:space="0" w:color="auto"/>
                <w:left w:val="none" w:sz="0" w:space="0" w:color="auto"/>
                <w:bottom w:val="none" w:sz="0" w:space="0" w:color="auto"/>
                <w:right w:val="none" w:sz="0" w:space="0" w:color="auto"/>
              </w:divBdr>
              <w:divsChild>
                <w:div w:id="1166632885">
                  <w:marLeft w:val="0"/>
                  <w:marRight w:val="0"/>
                  <w:marTop w:val="0"/>
                  <w:marBottom w:val="0"/>
                  <w:divBdr>
                    <w:top w:val="none" w:sz="0" w:space="0" w:color="auto"/>
                    <w:left w:val="none" w:sz="0" w:space="0" w:color="auto"/>
                    <w:bottom w:val="none" w:sz="0" w:space="0" w:color="auto"/>
                    <w:right w:val="none" w:sz="0" w:space="0" w:color="auto"/>
                  </w:divBdr>
                  <w:divsChild>
                    <w:div w:id="1210609760">
                      <w:marLeft w:val="0"/>
                      <w:marRight w:val="0"/>
                      <w:marTop w:val="0"/>
                      <w:marBottom w:val="0"/>
                      <w:divBdr>
                        <w:top w:val="none" w:sz="0" w:space="0" w:color="auto"/>
                        <w:left w:val="none" w:sz="0" w:space="0" w:color="auto"/>
                        <w:bottom w:val="none" w:sz="0" w:space="0" w:color="auto"/>
                        <w:right w:val="none" w:sz="0" w:space="0" w:color="auto"/>
                      </w:divBdr>
                    </w:div>
                    <w:div w:id="1645964824">
                      <w:marLeft w:val="0"/>
                      <w:marRight w:val="0"/>
                      <w:marTop w:val="120"/>
                      <w:marBottom w:val="0"/>
                      <w:divBdr>
                        <w:top w:val="none" w:sz="0" w:space="0" w:color="auto"/>
                        <w:left w:val="none" w:sz="0" w:space="0" w:color="auto"/>
                        <w:bottom w:val="none" w:sz="0" w:space="0" w:color="auto"/>
                        <w:right w:val="none" w:sz="0" w:space="0" w:color="auto"/>
                      </w:divBdr>
                    </w:div>
                  </w:divsChild>
                </w:div>
                <w:div w:id="1976400189">
                  <w:marLeft w:val="0"/>
                  <w:marRight w:val="0"/>
                  <w:marTop w:val="0"/>
                  <w:marBottom w:val="0"/>
                  <w:divBdr>
                    <w:top w:val="none" w:sz="0" w:space="0" w:color="auto"/>
                    <w:left w:val="none" w:sz="0" w:space="0" w:color="auto"/>
                    <w:bottom w:val="none" w:sz="0" w:space="0" w:color="auto"/>
                    <w:right w:val="none" w:sz="0" w:space="0" w:color="auto"/>
                  </w:divBdr>
                  <w:divsChild>
                    <w:div w:id="948439343">
                      <w:marLeft w:val="0"/>
                      <w:marRight w:val="0"/>
                      <w:marTop w:val="120"/>
                      <w:marBottom w:val="0"/>
                      <w:divBdr>
                        <w:top w:val="none" w:sz="0" w:space="0" w:color="auto"/>
                        <w:left w:val="none" w:sz="0" w:space="0" w:color="auto"/>
                        <w:bottom w:val="none" w:sz="0" w:space="0" w:color="auto"/>
                        <w:right w:val="none" w:sz="0" w:space="0" w:color="auto"/>
                      </w:divBdr>
                    </w:div>
                    <w:div w:id="14395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3395">
      <w:bodyDiv w:val="1"/>
      <w:marLeft w:val="0"/>
      <w:marRight w:val="0"/>
      <w:marTop w:val="0"/>
      <w:marBottom w:val="0"/>
      <w:divBdr>
        <w:top w:val="none" w:sz="0" w:space="0" w:color="auto"/>
        <w:left w:val="none" w:sz="0" w:space="0" w:color="auto"/>
        <w:bottom w:val="none" w:sz="0" w:space="0" w:color="auto"/>
        <w:right w:val="none" w:sz="0" w:space="0" w:color="auto"/>
      </w:divBdr>
      <w:divsChild>
        <w:div w:id="783621015">
          <w:marLeft w:val="0"/>
          <w:marRight w:val="0"/>
          <w:marTop w:val="0"/>
          <w:marBottom w:val="0"/>
          <w:divBdr>
            <w:top w:val="none" w:sz="0" w:space="0" w:color="auto"/>
            <w:left w:val="none" w:sz="0" w:space="0" w:color="auto"/>
            <w:bottom w:val="none" w:sz="0" w:space="0" w:color="auto"/>
            <w:right w:val="none" w:sz="0" w:space="0" w:color="auto"/>
          </w:divBdr>
        </w:div>
      </w:divsChild>
    </w:div>
    <w:div w:id="89862768">
      <w:bodyDiv w:val="1"/>
      <w:marLeft w:val="0"/>
      <w:marRight w:val="0"/>
      <w:marTop w:val="0"/>
      <w:marBottom w:val="0"/>
      <w:divBdr>
        <w:top w:val="none" w:sz="0" w:space="0" w:color="auto"/>
        <w:left w:val="none" w:sz="0" w:space="0" w:color="auto"/>
        <w:bottom w:val="none" w:sz="0" w:space="0" w:color="auto"/>
        <w:right w:val="none" w:sz="0" w:space="0" w:color="auto"/>
      </w:divBdr>
      <w:divsChild>
        <w:div w:id="247816536">
          <w:marLeft w:val="0"/>
          <w:marRight w:val="0"/>
          <w:marTop w:val="0"/>
          <w:marBottom w:val="0"/>
          <w:divBdr>
            <w:top w:val="none" w:sz="0" w:space="0" w:color="auto"/>
            <w:left w:val="none" w:sz="0" w:space="0" w:color="auto"/>
            <w:bottom w:val="none" w:sz="0" w:space="0" w:color="auto"/>
            <w:right w:val="none" w:sz="0" w:space="0" w:color="auto"/>
          </w:divBdr>
          <w:divsChild>
            <w:div w:id="21054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9788">
      <w:bodyDiv w:val="1"/>
      <w:marLeft w:val="0"/>
      <w:marRight w:val="0"/>
      <w:marTop w:val="0"/>
      <w:marBottom w:val="0"/>
      <w:divBdr>
        <w:top w:val="none" w:sz="0" w:space="0" w:color="auto"/>
        <w:left w:val="none" w:sz="0" w:space="0" w:color="auto"/>
        <w:bottom w:val="none" w:sz="0" w:space="0" w:color="auto"/>
        <w:right w:val="none" w:sz="0" w:space="0" w:color="auto"/>
      </w:divBdr>
      <w:divsChild>
        <w:div w:id="422729367">
          <w:marLeft w:val="0"/>
          <w:marRight w:val="0"/>
          <w:marTop w:val="0"/>
          <w:marBottom w:val="0"/>
          <w:divBdr>
            <w:top w:val="none" w:sz="0" w:space="0" w:color="auto"/>
            <w:left w:val="none" w:sz="0" w:space="0" w:color="auto"/>
            <w:bottom w:val="none" w:sz="0" w:space="0" w:color="auto"/>
            <w:right w:val="none" w:sz="0" w:space="0" w:color="auto"/>
          </w:divBdr>
          <w:divsChild>
            <w:div w:id="627784685">
              <w:marLeft w:val="0"/>
              <w:marRight w:val="0"/>
              <w:marTop w:val="0"/>
              <w:marBottom w:val="0"/>
              <w:divBdr>
                <w:top w:val="none" w:sz="0" w:space="0" w:color="auto"/>
                <w:left w:val="none" w:sz="0" w:space="0" w:color="auto"/>
                <w:bottom w:val="none" w:sz="0" w:space="0" w:color="auto"/>
                <w:right w:val="none" w:sz="0" w:space="0" w:color="auto"/>
              </w:divBdr>
              <w:divsChild>
                <w:div w:id="17202312">
                  <w:marLeft w:val="0"/>
                  <w:marRight w:val="0"/>
                  <w:marTop w:val="120"/>
                  <w:marBottom w:val="0"/>
                  <w:divBdr>
                    <w:top w:val="none" w:sz="0" w:space="0" w:color="auto"/>
                    <w:left w:val="none" w:sz="0" w:space="0" w:color="auto"/>
                    <w:bottom w:val="none" w:sz="0" w:space="0" w:color="auto"/>
                    <w:right w:val="none" w:sz="0" w:space="0" w:color="auto"/>
                  </w:divBdr>
                </w:div>
                <w:div w:id="250702936">
                  <w:marLeft w:val="0"/>
                  <w:marRight w:val="0"/>
                  <w:marTop w:val="0"/>
                  <w:marBottom w:val="0"/>
                  <w:divBdr>
                    <w:top w:val="none" w:sz="0" w:space="0" w:color="auto"/>
                    <w:left w:val="none" w:sz="0" w:space="0" w:color="auto"/>
                    <w:bottom w:val="none" w:sz="0" w:space="0" w:color="auto"/>
                    <w:right w:val="none" w:sz="0" w:space="0" w:color="auto"/>
                  </w:divBdr>
                </w:div>
              </w:divsChild>
            </w:div>
            <w:div w:id="750658142">
              <w:marLeft w:val="0"/>
              <w:marRight w:val="0"/>
              <w:marTop w:val="0"/>
              <w:marBottom w:val="0"/>
              <w:divBdr>
                <w:top w:val="none" w:sz="0" w:space="0" w:color="auto"/>
                <w:left w:val="none" w:sz="0" w:space="0" w:color="auto"/>
                <w:bottom w:val="none" w:sz="0" w:space="0" w:color="auto"/>
                <w:right w:val="none" w:sz="0" w:space="0" w:color="auto"/>
              </w:divBdr>
              <w:divsChild>
                <w:div w:id="803158692">
                  <w:marLeft w:val="0"/>
                  <w:marRight w:val="0"/>
                  <w:marTop w:val="0"/>
                  <w:marBottom w:val="0"/>
                  <w:divBdr>
                    <w:top w:val="none" w:sz="0" w:space="0" w:color="auto"/>
                    <w:left w:val="none" w:sz="0" w:space="0" w:color="auto"/>
                    <w:bottom w:val="none" w:sz="0" w:space="0" w:color="auto"/>
                    <w:right w:val="none" w:sz="0" w:space="0" w:color="auto"/>
                  </w:divBdr>
                </w:div>
                <w:div w:id="1385523155">
                  <w:marLeft w:val="0"/>
                  <w:marRight w:val="0"/>
                  <w:marTop w:val="120"/>
                  <w:marBottom w:val="0"/>
                  <w:divBdr>
                    <w:top w:val="none" w:sz="0" w:space="0" w:color="auto"/>
                    <w:left w:val="none" w:sz="0" w:space="0" w:color="auto"/>
                    <w:bottom w:val="none" w:sz="0" w:space="0" w:color="auto"/>
                    <w:right w:val="none" w:sz="0" w:space="0" w:color="auto"/>
                  </w:divBdr>
                </w:div>
              </w:divsChild>
            </w:div>
            <w:div w:id="854922156">
              <w:marLeft w:val="0"/>
              <w:marRight w:val="0"/>
              <w:marTop w:val="0"/>
              <w:marBottom w:val="0"/>
              <w:divBdr>
                <w:top w:val="none" w:sz="0" w:space="0" w:color="auto"/>
                <w:left w:val="none" w:sz="0" w:space="0" w:color="auto"/>
                <w:bottom w:val="none" w:sz="0" w:space="0" w:color="auto"/>
                <w:right w:val="none" w:sz="0" w:space="0" w:color="auto"/>
              </w:divBdr>
              <w:divsChild>
                <w:div w:id="688264805">
                  <w:marLeft w:val="0"/>
                  <w:marRight w:val="0"/>
                  <w:marTop w:val="120"/>
                  <w:marBottom w:val="0"/>
                  <w:divBdr>
                    <w:top w:val="none" w:sz="0" w:space="0" w:color="auto"/>
                    <w:left w:val="none" w:sz="0" w:space="0" w:color="auto"/>
                    <w:bottom w:val="none" w:sz="0" w:space="0" w:color="auto"/>
                    <w:right w:val="none" w:sz="0" w:space="0" w:color="auto"/>
                  </w:divBdr>
                </w:div>
                <w:div w:id="984624910">
                  <w:marLeft w:val="0"/>
                  <w:marRight w:val="0"/>
                  <w:marTop w:val="0"/>
                  <w:marBottom w:val="0"/>
                  <w:divBdr>
                    <w:top w:val="none" w:sz="0" w:space="0" w:color="auto"/>
                    <w:left w:val="none" w:sz="0" w:space="0" w:color="auto"/>
                    <w:bottom w:val="none" w:sz="0" w:space="0" w:color="auto"/>
                    <w:right w:val="none" w:sz="0" w:space="0" w:color="auto"/>
                  </w:divBdr>
                </w:div>
              </w:divsChild>
            </w:div>
            <w:div w:id="1393852395">
              <w:marLeft w:val="0"/>
              <w:marRight w:val="0"/>
              <w:marTop w:val="0"/>
              <w:marBottom w:val="0"/>
              <w:divBdr>
                <w:top w:val="none" w:sz="0" w:space="0" w:color="auto"/>
                <w:left w:val="none" w:sz="0" w:space="0" w:color="auto"/>
                <w:bottom w:val="none" w:sz="0" w:space="0" w:color="auto"/>
                <w:right w:val="none" w:sz="0" w:space="0" w:color="auto"/>
              </w:divBdr>
              <w:divsChild>
                <w:div w:id="680935761">
                  <w:marLeft w:val="0"/>
                  <w:marRight w:val="0"/>
                  <w:marTop w:val="120"/>
                  <w:marBottom w:val="0"/>
                  <w:divBdr>
                    <w:top w:val="none" w:sz="0" w:space="0" w:color="auto"/>
                    <w:left w:val="none" w:sz="0" w:space="0" w:color="auto"/>
                    <w:bottom w:val="none" w:sz="0" w:space="0" w:color="auto"/>
                    <w:right w:val="none" w:sz="0" w:space="0" w:color="auto"/>
                  </w:divBdr>
                </w:div>
                <w:div w:id="1402174321">
                  <w:marLeft w:val="0"/>
                  <w:marRight w:val="0"/>
                  <w:marTop w:val="0"/>
                  <w:marBottom w:val="0"/>
                  <w:divBdr>
                    <w:top w:val="none" w:sz="0" w:space="0" w:color="auto"/>
                    <w:left w:val="none" w:sz="0" w:space="0" w:color="auto"/>
                    <w:bottom w:val="none" w:sz="0" w:space="0" w:color="auto"/>
                    <w:right w:val="none" w:sz="0" w:space="0" w:color="auto"/>
                  </w:divBdr>
                </w:div>
              </w:divsChild>
            </w:div>
            <w:div w:id="1429499459">
              <w:marLeft w:val="0"/>
              <w:marRight w:val="0"/>
              <w:marTop w:val="0"/>
              <w:marBottom w:val="0"/>
              <w:divBdr>
                <w:top w:val="none" w:sz="0" w:space="0" w:color="auto"/>
                <w:left w:val="none" w:sz="0" w:space="0" w:color="auto"/>
                <w:bottom w:val="none" w:sz="0" w:space="0" w:color="auto"/>
                <w:right w:val="none" w:sz="0" w:space="0" w:color="auto"/>
              </w:divBdr>
              <w:divsChild>
                <w:div w:id="870146497">
                  <w:marLeft w:val="0"/>
                  <w:marRight w:val="0"/>
                  <w:marTop w:val="120"/>
                  <w:marBottom w:val="0"/>
                  <w:divBdr>
                    <w:top w:val="none" w:sz="0" w:space="0" w:color="auto"/>
                    <w:left w:val="none" w:sz="0" w:space="0" w:color="auto"/>
                    <w:bottom w:val="none" w:sz="0" w:space="0" w:color="auto"/>
                    <w:right w:val="none" w:sz="0" w:space="0" w:color="auto"/>
                  </w:divBdr>
                </w:div>
                <w:div w:id="1191338386">
                  <w:marLeft w:val="0"/>
                  <w:marRight w:val="0"/>
                  <w:marTop w:val="0"/>
                  <w:marBottom w:val="0"/>
                  <w:divBdr>
                    <w:top w:val="none" w:sz="0" w:space="0" w:color="auto"/>
                    <w:left w:val="none" w:sz="0" w:space="0" w:color="auto"/>
                    <w:bottom w:val="none" w:sz="0" w:space="0" w:color="auto"/>
                    <w:right w:val="none" w:sz="0" w:space="0" w:color="auto"/>
                  </w:divBdr>
                </w:div>
              </w:divsChild>
            </w:div>
            <w:div w:id="1643804239">
              <w:marLeft w:val="0"/>
              <w:marRight w:val="0"/>
              <w:marTop w:val="0"/>
              <w:marBottom w:val="0"/>
              <w:divBdr>
                <w:top w:val="none" w:sz="0" w:space="0" w:color="auto"/>
                <w:left w:val="none" w:sz="0" w:space="0" w:color="auto"/>
                <w:bottom w:val="none" w:sz="0" w:space="0" w:color="auto"/>
                <w:right w:val="none" w:sz="0" w:space="0" w:color="auto"/>
              </w:divBdr>
              <w:divsChild>
                <w:div w:id="282734334">
                  <w:marLeft w:val="0"/>
                  <w:marRight w:val="0"/>
                  <w:marTop w:val="0"/>
                  <w:marBottom w:val="0"/>
                  <w:divBdr>
                    <w:top w:val="none" w:sz="0" w:space="0" w:color="auto"/>
                    <w:left w:val="none" w:sz="0" w:space="0" w:color="auto"/>
                    <w:bottom w:val="none" w:sz="0" w:space="0" w:color="auto"/>
                    <w:right w:val="none" w:sz="0" w:space="0" w:color="auto"/>
                  </w:divBdr>
                </w:div>
                <w:div w:id="2066298574">
                  <w:marLeft w:val="0"/>
                  <w:marRight w:val="0"/>
                  <w:marTop w:val="120"/>
                  <w:marBottom w:val="0"/>
                  <w:divBdr>
                    <w:top w:val="none" w:sz="0" w:space="0" w:color="auto"/>
                    <w:left w:val="none" w:sz="0" w:space="0" w:color="auto"/>
                    <w:bottom w:val="none" w:sz="0" w:space="0" w:color="auto"/>
                    <w:right w:val="none" w:sz="0" w:space="0" w:color="auto"/>
                  </w:divBdr>
                </w:div>
              </w:divsChild>
            </w:div>
            <w:div w:id="1724599766">
              <w:marLeft w:val="0"/>
              <w:marRight w:val="0"/>
              <w:marTop w:val="0"/>
              <w:marBottom w:val="0"/>
              <w:divBdr>
                <w:top w:val="none" w:sz="0" w:space="0" w:color="auto"/>
                <w:left w:val="none" w:sz="0" w:space="0" w:color="auto"/>
                <w:bottom w:val="none" w:sz="0" w:space="0" w:color="auto"/>
                <w:right w:val="none" w:sz="0" w:space="0" w:color="auto"/>
              </w:divBdr>
              <w:divsChild>
                <w:div w:id="1561473784">
                  <w:marLeft w:val="0"/>
                  <w:marRight w:val="0"/>
                  <w:marTop w:val="120"/>
                  <w:marBottom w:val="0"/>
                  <w:divBdr>
                    <w:top w:val="none" w:sz="0" w:space="0" w:color="auto"/>
                    <w:left w:val="none" w:sz="0" w:space="0" w:color="auto"/>
                    <w:bottom w:val="none" w:sz="0" w:space="0" w:color="auto"/>
                    <w:right w:val="none" w:sz="0" w:space="0" w:color="auto"/>
                  </w:divBdr>
                </w:div>
                <w:div w:id="19883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0675">
      <w:bodyDiv w:val="1"/>
      <w:marLeft w:val="0"/>
      <w:marRight w:val="0"/>
      <w:marTop w:val="0"/>
      <w:marBottom w:val="0"/>
      <w:divBdr>
        <w:top w:val="none" w:sz="0" w:space="0" w:color="auto"/>
        <w:left w:val="none" w:sz="0" w:space="0" w:color="auto"/>
        <w:bottom w:val="none" w:sz="0" w:space="0" w:color="auto"/>
        <w:right w:val="none" w:sz="0" w:space="0" w:color="auto"/>
      </w:divBdr>
      <w:divsChild>
        <w:div w:id="1886866070">
          <w:marLeft w:val="0"/>
          <w:marRight w:val="0"/>
          <w:marTop w:val="0"/>
          <w:marBottom w:val="0"/>
          <w:divBdr>
            <w:top w:val="none" w:sz="0" w:space="0" w:color="auto"/>
            <w:left w:val="none" w:sz="0" w:space="0" w:color="auto"/>
            <w:bottom w:val="none" w:sz="0" w:space="0" w:color="auto"/>
            <w:right w:val="none" w:sz="0" w:space="0" w:color="auto"/>
          </w:divBdr>
        </w:div>
      </w:divsChild>
    </w:div>
    <w:div w:id="102000493">
      <w:bodyDiv w:val="1"/>
      <w:marLeft w:val="0"/>
      <w:marRight w:val="0"/>
      <w:marTop w:val="0"/>
      <w:marBottom w:val="0"/>
      <w:divBdr>
        <w:top w:val="none" w:sz="0" w:space="0" w:color="auto"/>
        <w:left w:val="none" w:sz="0" w:space="0" w:color="auto"/>
        <w:bottom w:val="none" w:sz="0" w:space="0" w:color="auto"/>
        <w:right w:val="none" w:sz="0" w:space="0" w:color="auto"/>
      </w:divBdr>
      <w:divsChild>
        <w:div w:id="42951844">
          <w:marLeft w:val="0"/>
          <w:marRight w:val="0"/>
          <w:marTop w:val="0"/>
          <w:marBottom w:val="0"/>
          <w:divBdr>
            <w:top w:val="none" w:sz="0" w:space="0" w:color="auto"/>
            <w:left w:val="none" w:sz="0" w:space="0" w:color="auto"/>
            <w:bottom w:val="none" w:sz="0" w:space="0" w:color="auto"/>
            <w:right w:val="none" w:sz="0" w:space="0" w:color="auto"/>
          </w:divBdr>
        </w:div>
      </w:divsChild>
    </w:div>
    <w:div w:id="108203921">
      <w:bodyDiv w:val="1"/>
      <w:marLeft w:val="0"/>
      <w:marRight w:val="0"/>
      <w:marTop w:val="0"/>
      <w:marBottom w:val="0"/>
      <w:divBdr>
        <w:top w:val="none" w:sz="0" w:space="0" w:color="auto"/>
        <w:left w:val="none" w:sz="0" w:space="0" w:color="auto"/>
        <w:bottom w:val="none" w:sz="0" w:space="0" w:color="auto"/>
        <w:right w:val="none" w:sz="0" w:space="0" w:color="auto"/>
      </w:divBdr>
      <w:divsChild>
        <w:div w:id="1628928999">
          <w:marLeft w:val="0"/>
          <w:marRight w:val="0"/>
          <w:marTop w:val="0"/>
          <w:marBottom w:val="0"/>
          <w:divBdr>
            <w:top w:val="none" w:sz="0" w:space="0" w:color="auto"/>
            <w:left w:val="none" w:sz="0" w:space="0" w:color="auto"/>
            <w:bottom w:val="none" w:sz="0" w:space="0" w:color="auto"/>
            <w:right w:val="none" w:sz="0" w:space="0" w:color="auto"/>
          </w:divBdr>
        </w:div>
      </w:divsChild>
    </w:div>
    <w:div w:id="109250914">
      <w:bodyDiv w:val="1"/>
      <w:marLeft w:val="0"/>
      <w:marRight w:val="0"/>
      <w:marTop w:val="0"/>
      <w:marBottom w:val="0"/>
      <w:divBdr>
        <w:top w:val="none" w:sz="0" w:space="0" w:color="auto"/>
        <w:left w:val="none" w:sz="0" w:space="0" w:color="auto"/>
        <w:bottom w:val="none" w:sz="0" w:space="0" w:color="auto"/>
        <w:right w:val="none" w:sz="0" w:space="0" w:color="auto"/>
      </w:divBdr>
      <w:divsChild>
        <w:div w:id="1061563852">
          <w:marLeft w:val="0"/>
          <w:marRight w:val="0"/>
          <w:marTop w:val="0"/>
          <w:marBottom w:val="0"/>
          <w:divBdr>
            <w:top w:val="none" w:sz="0" w:space="0" w:color="auto"/>
            <w:left w:val="none" w:sz="0" w:space="0" w:color="auto"/>
            <w:bottom w:val="none" w:sz="0" w:space="0" w:color="auto"/>
            <w:right w:val="none" w:sz="0" w:space="0" w:color="auto"/>
          </w:divBdr>
        </w:div>
      </w:divsChild>
    </w:div>
    <w:div w:id="125248435">
      <w:bodyDiv w:val="1"/>
      <w:marLeft w:val="0"/>
      <w:marRight w:val="0"/>
      <w:marTop w:val="0"/>
      <w:marBottom w:val="0"/>
      <w:divBdr>
        <w:top w:val="none" w:sz="0" w:space="0" w:color="auto"/>
        <w:left w:val="none" w:sz="0" w:space="0" w:color="auto"/>
        <w:bottom w:val="none" w:sz="0" w:space="0" w:color="auto"/>
        <w:right w:val="none" w:sz="0" w:space="0" w:color="auto"/>
      </w:divBdr>
      <w:divsChild>
        <w:div w:id="2142185074">
          <w:marLeft w:val="0"/>
          <w:marRight w:val="0"/>
          <w:marTop w:val="0"/>
          <w:marBottom w:val="0"/>
          <w:divBdr>
            <w:top w:val="none" w:sz="0" w:space="0" w:color="auto"/>
            <w:left w:val="none" w:sz="0" w:space="0" w:color="auto"/>
            <w:bottom w:val="none" w:sz="0" w:space="0" w:color="auto"/>
            <w:right w:val="none" w:sz="0" w:space="0" w:color="auto"/>
          </w:divBdr>
          <w:divsChild>
            <w:div w:id="121053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9769">
      <w:bodyDiv w:val="1"/>
      <w:marLeft w:val="0"/>
      <w:marRight w:val="0"/>
      <w:marTop w:val="0"/>
      <w:marBottom w:val="0"/>
      <w:divBdr>
        <w:top w:val="none" w:sz="0" w:space="0" w:color="auto"/>
        <w:left w:val="none" w:sz="0" w:space="0" w:color="auto"/>
        <w:bottom w:val="none" w:sz="0" w:space="0" w:color="auto"/>
        <w:right w:val="none" w:sz="0" w:space="0" w:color="auto"/>
      </w:divBdr>
      <w:divsChild>
        <w:div w:id="882474523">
          <w:marLeft w:val="0"/>
          <w:marRight w:val="0"/>
          <w:marTop w:val="0"/>
          <w:marBottom w:val="0"/>
          <w:divBdr>
            <w:top w:val="none" w:sz="0" w:space="0" w:color="auto"/>
            <w:left w:val="none" w:sz="0" w:space="0" w:color="auto"/>
            <w:bottom w:val="none" w:sz="0" w:space="0" w:color="auto"/>
            <w:right w:val="none" w:sz="0" w:space="0" w:color="auto"/>
          </w:divBdr>
          <w:divsChild>
            <w:div w:id="545219649">
              <w:marLeft w:val="0"/>
              <w:marRight w:val="0"/>
              <w:marTop w:val="0"/>
              <w:marBottom w:val="0"/>
              <w:divBdr>
                <w:top w:val="none" w:sz="0" w:space="0" w:color="auto"/>
                <w:left w:val="none" w:sz="0" w:space="0" w:color="auto"/>
                <w:bottom w:val="none" w:sz="0" w:space="0" w:color="auto"/>
                <w:right w:val="none" w:sz="0" w:space="0" w:color="auto"/>
              </w:divBdr>
              <w:divsChild>
                <w:div w:id="370695309">
                  <w:marLeft w:val="0"/>
                  <w:marRight w:val="0"/>
                  <w:marTop w:val="0"/>
                  <w:marBottom w:val="0"/>
                  <w:divBdr>
                    <w:top w:val="none" w:sz="0" w:space="0" w:color="auto"/>
                    <w:left w:val="none" w:sz="0" w:space="0" w:color="auto"/>
                    <w:bottom w:val="none" w:sz="0" w:space="0" w:color="auto"/>
                    <w:right w:val="none" w:sz="0" w:space="0" w:color="auto"/>
                  </w:divBdr>
                  <w:divsChild>
                    <w:div w:id="716901718">
                      <w:marLeft w:val="0"/>
                      <w:marRight w:val="0"/>
                      <w:marTop w:val="0"/>
                      <w:marBottom w:val="0"/>
                      <w:divBdr>
                        <w:top w:val="none" w:sz="0" w:space="0" w:color="auto"/>
                        <w:left w:val="none" w:sz="0" w:space="0" w:color="auto"/>
                        <w:bottom w:val="none" w:sz="0" w:space="0" w:color="auto"/>
                        <w:right w:val="none" w:sz="0" w:space="0" w:color="auto"/>
                      </w:divBdr>
                    </w:div>
                    <w:div w:id="1764298460">
                      <w:marLeft w:val="0"/>
                      <w:marRight w:val="0"/>
                      <w:marTop w:val="120"/>
                      <w:marBottom w:val="0"/>
                      <w:divBdr>
                        <w:top w:val="none" w:sz="0" w:space="0" w:color="auto"/>
                        <w:left w:val="none" w:sz="0" w:space="0" w:color="auto"/>
                        <w:bottom w:val="none" w:sz="0" w:space="0" w:color="auto"/>
                        <w:right w:val="none" w:sz="0" w:space="0" w:color="auto"/>
                      </w:divBdr>
                    </w:div>
                  </w:divsChild>
                </w:div>
                <w:div w:id="804196267">
                  <w:marLeft w:val="0"/>
                  <w:marRight w:val="0"/>
                  <w:marTop w:val="0"/>
                  <w:marBottom w:val="0"/>
                  <w:divBdr>
                    <w:top w:val="none" w:sz="0" w:space="0" w:color="auto"/>
                    <w:left w:val="none" w:sz="0" w:space="0" w:color="auto"/>
                    <w:bottom w:val="none" w:sz="0" w:space="0" w:color="auto"/>
                    <w:right w:val="none" w:sz="0" w:space="0" w:color="auto"/>
                  </w:divBdr>
                  <w:divsChild>
                    <w:div w:id="233704097">
                      <w:marLeft w:val="0"/>
                      <w:marRight w:val="0"/>
                      <w:marTop w:val="120"/>
                      <w:marBottom w:val="0"/>
                      <w:divBdr>
                        <w:top w:val="none" w:sz="0" w:space="0" w:color="auto"/>
                        <w:left w:val="none" w:sz="0" w:space="0" w:color="auto"/>
                        <w:bottom w:val="none" w:sz="0" w:space="0" w:color="auto"/>
                        <w:right w:val="none" w:sz="0" w:space="0" w:color="auto"/>
                      </w:divBdr>
                    </w:div>
                    <w:div w:id="1034311524">
                      <w:marLeft w:val="0"/>
                      <w:marRight w:val="0"/>
                      <w:marTop w:val="0"/>
                      <w:marBottom w:val="0"/>
                      <w:divBdr>
                        <w:top w:val="none" w:sz="0" w:space="0" w:color="auto"/>
                        <w:left w:val="none" w:sz="0" w:space="0" w:color="auto"/>
                        <w:bottom w:val="none" w:sz="0" w:space="0" w:color="auto"/>
                        <w:right w:val="none" w:sz="0" w:space="0" w:color="auto"/>
                      </w:divBdr>
                    </w:div>
                  </w:divsChild>
                </w:div>
                <w:div w:id="1448431648">
                  <w:marLeft w:val="0"/>
                  <w:marRight w:val="0"/>
                  <w:marTop w:val="0"/>
                  <w:marBottom w:val="0"/>
                  <w:divBdr>
                    <w:top w:val="none" w:sz="0" w:space="0" w:color="auto"/>
                    <w:left w:val="none" w:sz="0" w:space="0" w:color="auto"/>
                    <w:bottom w:val="none" w:sz="0" w:space="0" w:color="auto"/>
                    <w:right w:val="none" w:sz="0" w:space="0" w:color="auto"/>
                  </w:divBdr>
                  <w:divsChild>
                    <w:div w:id="585070036">
                      <w:marLeft w:val="0"/>
                      <w:marRight w:val="0"/>
                      <w:marTop w:val="120"/>
                      <w:marBottom w:val="0"/>
                      <w:divBdr>
                        <w:top w:val="none" w:sz="0" w:space="0" w:color="auto"/>
                        <w:left w:val="none" w:sz="0" w:space="0" w:color="auto"/>
                        <w:bottom w:val="none" w:sz="0" w:space="0" w:color="auto"/>
                        <w:right w:val="none" w:sz="0" w:space="0" w:color="auto"/>
                      </w:divBdr>
                    </w:div>
                    <w:div w:id="16690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7983">
      <w:bodyDiv w:val="1"/>
      <w:marLeft w:val="0"/>
      <w:marRight w:val="0"/>
      <w:marTop w:val="0"/>
      <w:marBottom w:val="0"/>
      <w:divBdr>
        <w:top w:val="none" w:sz="0" w:space="0" w:color="auto"/>
        <w:left w:val="none" w:sz="0" w:space="0" w:color="auto"/>
        <w:bottom w:val="none" w:sz="0" w:space="0" w:color="auto"/>
        <w:right w:val="none" w:sz="0" w:space="0" w:color="auto"/>
      </w:divBdr>
      <w:divsChild>
        <w:div w:id="654991253">
          <w:marLeft w:val="0"/>
          <w:marRight w:val="0"/>
          <w:marTop w:val="0"/>
          <w:marBottom w:val="0"/>
          <w:divBdr>
            <w:top w:val="none" w:sz="0" w:space="0" w:color="auto"/>
            <w:left w:val="none" w:sz="0" w:space="0" w:color="auto"/>
            <w:bottom w:val="none" w:sz="0" w:space="0" w:color="auto"/>
            <w:right w:val="none" w:sz="0" w:space="0" w:color="auto"/>
          </w:divBdr>
        </w:div>
      </w:divsChild>
    </w:div>
    <w:div w:id="138963548">
      <w:bodyDiv w:val="1"/>
      <w:marLeft w:val="0"/>
      <w:marRight w:val="0"/>
      <w:marTop w:val="0"/>
      <w:marBottom w:val="0"/>
      <w:divBdr>
        <w:top w:val="none" w:sz="0" w:space="0" w:color="auto"/>
        <w:left w:val="none" w:sz="0" w:space="0" w:color="auto"/>
        <w:bottom w:val="none" w:sz="0" w:space="0" w:color="auto"/>
        <w:right w:val="none" w:sz="0" w:space="0" w:color="auto"/>
      </w:divBdr>
    </w:div>
    <w:div w:id="150682445">
      <w:bodyDiv w:val="1"/>
      <w:marLeft w:val="0"/>
      <w:marRight w:val="0"/>
      <w:marTop w:val="0"/>
      <w:marBottom w:val="0"/>
      <w:divBdr>
        <w:top w:val="none" w:sz="0" w:space="0" w:color="auto"/>
        <w:left w:val="none" w:sz="0" w:space="0" w:color="auto"/>
        <w:bottom w:val="none" w:sz="0" w:space="0" w:color="auto"/>
        <w:right w:val="none" w:sz="0" w:space="0" w:color="auto"/>
      </w:divBdr>
      <w:divsChild>
        <w:div w:id="376397531">
          <w:marLeft w:val="0"/>
          <w:marRight w:val="0"/>
          <w:marTop w:val="0"/>
          <w:marBottom w:val="0"/>
          <w:divBdr>
            <w:top w:val="none" w:sz="0" w:space="0" w:color="auto"/>
            <w:left w:val="none" w:sz="0" w:space="0" w:color="auto"/>
            <w:bottom w:val="none" w:sz="0" w:space="0" w:color="auto"/>
            <w:right w:val="none" w:sz="0" w:space="0" w:color="auto"/>
          </w:divBdr>
          <w:divsChild>
            <w:div w:id="329530301">
              <w:marLeft w:val="0"/>
              <w:marRight w:val="0"/>
              <w:marTop w:val="0"/>
              <w:marBottom w:val="0"/>
              <w:divBdr>
                <w:top w:val="none" w:sz="0" w:space="0" w:color="auto"/>
                <w:left w:val="none" w:sz="0" w:space="0" w:color="auto"/>
                <w:bottom w:val="none" w:sz="0" w:space="0" w:color="auto"/>
                <w:right w:val="none" w:sz="0" w:space="0" w:color="auto"/>
              </w:divBdr>
              <w:divsChild>
                <w:div w:id="62220082">
                  <w:marLeft w:val="0"/>
                  <w:marRight w:val="0"/>
                  <w:marTop w:val="0"/>
                  <w:marBottom w:val="0"/>
                  <w:divBdr>
                    <w:top w:val="none" w:sz="0" w:space="0" w:color="auto"/>
                    <w:left w:val="none" w:sz="0" w:space="0" w:color="auto"/>
                    <w:bottom w:val="none" w:sz="0" w:space="0" w:color="auto"/>
                    <w:right w:val="none" w:sz="0" w:space="0" w:color="auto"/>
                  </w:divBdr>
                </w:div>
                <w:div w:id="1326667582">
                  <w:marLeft w:val="0"/>
                  <w:marRight w:val="0"/>
                  <w:marTop w:val="120"/>
                  <w:marBottom w:val="0"/>
                  <w:divBdr>
                    <w:top w:val="none" w:sz="0" w:space="0" w:color="auto"/>
                    <w:left w:val="none" w:sz="0" w:space="0" w:color="auto"/>
                    <w:bottom w:val="none" w:sz="0" w:space="0" w:color="auto"/>
                    <w:right w:val="none" w:sz="0" w:space="0" w:color="auto"/>
                  </w:divBdr>
                </w:div>
              </w:divsChild>
            </w:div>
            <w:div w:id="1187407316">
              <w:marLeft w:val="0"/>
              <w:marRight w:val="0"/>
              <w:marTop w:val="0"/>
              <w:marBottom w:val="0"/>
              <w:divBdr>
                <w:top w:val="none" w:sz="0" w:space="0" w:color="auto"/>
                <w:left w:val="none" w:sz="0" w:space="0" w:color="auto"/>
                <w:bottom w:val="none" w:sz="0" w:space="0" w:color="auto"/>
                <w:right w:val="none" w:sz="0" w:space="0" w:color="auto"/>
              </w:divBdr>
              <w:divsChild>
                <w:div w:id="1357728332">
                  <w:marLeft w:val="0"/>
                  <w:marRight w:val="0"/>
                  <w:marTop w:val="120"/>
                  <w:marBottom w:val="0"/>
                  <w:divBdr>
                    <w:top w:val="none" w:sz="0" w:space="0" w:color="auto"/>
                    <w:left w:val="none" w:sz="0" w:space="0" w:color="auto"/>
                    <w:bottom w:val="none" w:sz="0" w:space="0" w:color="auto"/>
                    <w:right w:val="none" w:sz="0" w:space="0" w:color="auto"/>
                  </w:divBdr>
                </w:div>
                <w:div w:id="1400132409">
                  <w:marLeft w:val="0"/>
                  <w:marRight w:val="0"/>
                  <w:marTop w:val="0"/>
                  <w:marBottom w:val="0"/>
                  <w:divBdr>
                    <w:top w:val="none" w:sz="0" w:space="0" w:color="auto"/>
                    <w:left w:val="none" w:sz="0" w:space="0" w:color="auto"/>
                    <w:bottom w:val="none" w:sz="0" w:space="0" w:color="auto"/>
                    <w:right w:val="none" w:sz="0" w:space="0" w:color="auto"/>
                  </w:divBdr>
                  <w:divsChild>
                    <w:div w:id="667903012">
                      <w:marLeft w:val="0"/>
                      <w:marRight w:val="0"/>
                      <w:marTop w:val="0"/>
                      <w:marBottom w:val="0"/>
                      <w:divBdr>
                        <w:top w:val="none" w:sz="0" w:space="0" w:color="auto"/>
                        <w:left w:val="none" w:sz="0" w:space="0" w:color="auto"/>
                        <w:bottom w:val="none" w:sz="0" w:space="0" w:color="auto"/>
                        <w:right w:val="none" w:sz="0" w:space="0" w:color="auto"/>
                      </w:divBdr>
                      <w:divsChild>
                        <w:div w:id="1841695662">
                          <w:marLeft w:val="0"/>
                          <w:marRight w:val="0"/>
                          <w:marTop w:val="0"/>
                          <w:marBottom w:val="0"/>
                          <w:divBdr>
                            <w:top w:val="none" w:sz="0" w:space="0" w:color="auto"/>
                            <w:left w:val="none" w:sz="0" w:space="0" w:color="auto"/>
                            <w:bottom w:val="none" w:sz="0" w:space="0" w:color="auto"/>
                            <w:right w:val="none" w:sz="0" w:space="0" w:color="auto"/>
                          </w:divBdr>
                        </w:div>
                        <w:div w:id="2075618551">
                          <w:marLeft w:val="0"/>
                          <w:marRight w:val="0"/>
                          <w:marTop w:val="120"/>
                          <w:marBottom w:val="0"/>
                          <w:divBdr>
                            <w:top w:val="none" w:sz="0" w:space="0" w:color="auto"/>
                            <w:left w:val="none" w:sz="0" w:space="0" w:color="auto"/>
                            <w:bottom w:val="none" w:sz="0" w:space="0" w:color="auto"/>
                            <w:right w:val="none" w:sz="0" w:space="0" w:color="auto"/>
                          </w:divBdr>
                        </w:div>
                      </w:divsChild>
                    </w:div>
                    <w:div w:id="1308558576">
                      <w:marLeft w:val="0"/>
                      <w:marRight w:val="0"/>
                      <w:marTop w:val="0"/>
                      <w:marBottom w:val="0"/>
                      <w:divBdr>
                        <w:top w:val="none" w:sz="0" w:space="0" w:color="auto"/>
                        <w:left w:val="none" w:sz="0" w:space="0" w:color="auto"/>
                        <w:bottom w:val="none" w:sz="0" w:space="0" w:color="auto"/>
                        <w:right w:val="none" w:sz="0" w:space="0" w:color="auto"/>
                      </w:divBdr>
                      <w:divsChild>
                        <w:div w:id="57824120">
                          <w:marLeft w:val="0"/>
                          <w:marRight w:val="0"/>
                          <w:marTop w:val="0"/>
                          <w:marBottom w:val="0"/>
                          <w:divBdr>
                            <w:top w:val="none" w:sz="0" w:space="0" w:color="auto"/>
                            <w:left w:val="none" w:sz="0" w:space="0" w:color="auto"/>
                            <w:bottom w:val="none" w:sz="0" w:space="0" w:color="auto"/>
                            <w:right w:val="none" w:sz="0" w:space="0" w:color="auto"/>
                          </w:divBdr>
                        </w:div>
                        <w:div w:id="17627251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454390">
              <w:marLeft w:val="0"/>
              <w:marRight w:val="0"/>
              <w:marTop w:val="0"/>
              <w:marBottom w:val="0"/>
              <w:divBdr>
                <w:top w:val="none" w:sz="0" w:space="0" w:color="auto"/>
                <w:left w:val="none" w:sz="0" w:space="0" w:color="auto"/>
                <w:bottom w:val="none" w:sz="0" w:space="0" w:color="auto"/>
                <w:right w:val="none" w:sz="0" w:space="0" w:color="auto"/>
              </w:divBdr>
              <w:divsChild>
                <w:div w:id="369840486">
                  <w:marLeft w:val="0"/>
                  <w:marRight w:val="0"/>
                  <w:marTop w:val="0"/>
                  <w:marBottom w:val="0"/>
                  <w:divBdr>
                    <w:top w:val="none" w:sz="0" w:space="0" w:color="auto"/>
                    <w:left w:val="none" w:sz="0" w:space="0" w:color="auto"/>
                    <w:bottom w:val="none" w:sz="0" w:space="0" w:color="auto"/>
                    <w:right w:val="none" w:sz="0" w:space="0" w:color="auto"/>
                  </w:divBdr>
                </w:div>
                <w:div w:id="10614897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7580505">
      <w:bodyDiv w:val="1"/>
      <w:marLeft w:val="0"/>
      <w:marRight w:val="0"/>
      <w:marTop w:val="0"/>
      <w:marBottom w:val="0"/>
      <w:divBdr>
        <w:top w:val="none" w:sz="0" w:space="0" w:color="auto"/>
        <w:left w:val="none" w:sz="0" w:space="0" w:color="auto"/>
        <w:bottom w:val="none" w:sz="0" w:space="0" w:color="auto"/>
        <w:right w:val="none" w:sz="0" w:space="0" w:color="auto"/>
      </w:divBdr>
      <w:divsChild>
        <w:div w:id="1677616052">
          <w:marLeft w:val="0"/>
          <w:marRight w:val="0"/>
          <w:marTop w:val="0"/>
          <w:marBottom w:val="0"/>
          <w:divBdr>
            <w:top w:val="none" w:sz="0" w:space="0" w:color="auto"/>
            <w:left w:val="none" w:sz="0" w:space="0" w:color="auto"/>
            <w:bottom w:val="none" w:sz="0" w:space="0" w:color="auto"/>
            <w:right w:val="none" w:sz="0" w:space="0" w:color="auto"/>
          </w:divBdr>
          <w:divsChild>
            <w:div w:id="1812094418">
              <w:marLeft w:val="0"/>
              <w:marRight w:val="0"/>
              <w:marTop w:val="0"/>
              <w:marBottom w:val="0"/>
              <w:divBdr>
                <w:top w:val="none" w:sz="0" w:space="0" w:color="auto"/>
                <w:left w:val="none" w:sz="0" w:space="0" w:color="auto"/>
                <w:bottom w:val="none" w:sz="0" w:space="0" w:color="auto"/>
                <w:right w:val="none" w:sz="0" w:space="0" w:color="auto"/>
              </w:divBdr>
              <w:divsChild>
                <w:div w:id="16534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5151">
      <w:bodyDiv w:val="1"/>
      <w:marLeft w:val="0"/>
      <w:marRight w:val="0"/>
      <w:marTop w:val="0"/>
      <w:marBottom w:val="0"/>
      <w:divBdr>
        <w:top w:val="none" w:sz="0" w:space="0" w:color="auto"/>
        <w:left w:val="none" w:sz="0" w:space="0" w:color="auto"/>
        <w:bottom w:val="none" w:sz="0" w:space="0" w:color="auto"/>
        <w:right w:val="none" w:sz="0" w:space="0" w:color="auto"/>
      </w:divBdr>
      <w:divsChild>
        <w:div w:id="2083286581">
          <w:marLeft w:val="0"/>
          <w:marRight w:val="0"/>
          <w:marTop w:val="0"/>
          <w:marBottom w:val="0"/>
          <w:divBdr>
            <w:top w:val="none" w:sz="0" w:space="0" w:color="auto"/>
            <w:left w:val="none" w:sz="0" w:space="0" w:color="auto"/>
            <w:bottom w:val="none" w:sz="0" w:space="0" w:color="auto"/>
            <w:right w:val="none" w:sz="0" w:space="0" w:color="auto"/>
          </w:divBdr>
        </w:div>
      </w:divsChild>
    </w:div>
    <w:div w:id="173301973">
      <w:bodyDiv w:val="1"/>
      <w:marLeft w:val="0"/>
      <w:marRight w:val="0"/>
      <w:marTop w:val="0"/>
      <w:marBottom w:val="0"/>
      <w:divBdr>
        <w:top w:val="none" w:sz="0" w:space="0" w:color="auto"/>
        <w:left w:val="none" w:sz="0" w:space="0" w:color="auto"/>
        <w:bottom w:val="none" w:sz="0" w:space="0" w:color="auto"/>
        <w:right w:val="none" w:sz="0" w:space="0" w:color="auto"/>
      </w:divBdr>
      <w:divsChild>
        <w:div w:id="1314605602">
          <w:marLeft w:val="0"/>
          <w:marRight w:val="0"/>
          <w:marTop w:val="0"/>
          <w:marBottom w:val="0"/>
          <w:divBdr>
            <w:top w:val="none" w:sz="0" w:space="0" w:color="auto"/>
            <w:left w:val="none" w:sz="0" w:space="0" w:color="auto"/>
            <w:bottom w:val="none" w:sz="0" w:space="0" w:color="auto"/>
            <w:right w:val="none" w:sz="0" w:space="0" w:color="auto"/>
          </w:divBdr>
          <w:divsChild>
            <w:div w:id="1360551000">
              <w:marLeft w:val="0"/>
              <w:marRight w:val="0"/>
              <w:marTop w:val="0"/>
              <w:marBottom w:val="0"/>
              <w:divBdr>
                <w:top w:val="none" w:sz="0" w:space="0" w:color="auto"/>
                <w:left w:val="none" w:sz="0" w:space="0" w:color="auto"/>
                <w:bottom w:val="none" w:sz="0" w:space="0" w:color="auto"/>
                <w:right w:val="none" w:sz="0" w:space="0" w:color="auto"/>
              </w:divBdr>
              <w:divsChild>
                <w:div w:id="107627893">
                  <w:marLeft w:val="0"/>
                  <w:marRight w:val="0"/>
                  <w:marTop w:val="0"/>
                  <w:marBottom w:val="0"/>
                  <w:divBdr>
                    <w:top w:val="none" w:sz="0" w:space="0" w:color="auto"/>
                    <w:left w:val="none" w:sz="0" w:space="0" w:color="auto"/>
                    <w:bottom w:val="none" w:sz="0" w:space="0" w:color="auto"/>
                    <w:right w:val="none" w:sz="0" w:space="0" w:color="auto"/>
                  </w:divBdr>
                  <w:divsChild>
                    <w:div w:id="345179736">
                      <w:marLeft w:val="0"/>
                      <w:marRight w:val="0"/>
                      <w:marTop w:val="120"/>
                      <w:marBottom w:val="0"/>
                      <w:divBdr>
                        <w:top w:val="none" w:sz="0" w:space="0" w:color="auto"/>
                        <w:left w:val="none" w:sz="0" w:space="0" w:color="auto"/>
                        <w:bottom w:val="none" w:sz="0" w:space="0" w:color="auto"/>
                        <w:right w:val="none" w:sz="0" w:space="0" w:color="auto"/>
                      </w:divBdr>
                    </w:div>
                    <w:div w:id="1446533333">
                      <w:marLeft w:val="0"/>
                      <w:marRight w:val="0"/>
                      <w:marTop w:val="0"/>
                      <w:marBottom w:val="0"/>
                      <w:divBdr>
                        <w:top w:val="none" w:sz="0" w:space="0" w:color="auto"/>
                        <w:left w:val="none" w:sz="0" w:space="0" w:color="auto"/>
                        <w:bottom w:val="none" w:sz="0" w:space="0" w:color="auto"/>
                        <w:right w:val="none" w:sz="0" w:space="0" w:color="auto"/>
                      </w:divBdr>
                    </w:div>
                  </w:divsChild>
                </w:div>
                <w:div w:id="432747461">
                  <w:marLeft w:val="0"/>
                  <w:marRight w:val="0"/>
                  <w:marTop w:val="0"/>
                  <w:marBottom w:val="0"/>
                  <w:divBdr>
                    <w:top w:val="none" w:sz="0" w:space="0" w:color="auto"/>
                    <w:left w:val="none" w:sz="0" w:space="0" w:color="auto"/>
                    <w:bottom w:val="none" w:sz="0" w:space="0" w:color="auto"/>
                    <w:right w:val="none" w:sz="0" w:space="0" w:color="auto"/>
                  </w:divBdr>
                  <w:divsChild>
                    <w:div w:id="345600076">
                      <w:marLeft w:val="0"/>
                      <w:marRight w:val="0"/>
                      <w:marTop w:val="120"/>
                      <w:marBottom w:val="0"/>
                      <w:divBdr>
                        <w:top w:val="none" w:sz="0" w:space="0" w:color="auto"/>
                        <w:left w:val="none" w:sz="0" w:space="0" w:color="auto"/>
                        <w:bottom w:val="none" w:sz="0" w:space="0" w:color="auto"/>
                        <w:right w:val="none" w:sz="0" w:space="0" w:color="auto"/>
                      </w:divBdr>
                    </w:div>
                    <w:div w:id="1189216630">
                      <w:marLeft w:val="0"/>
                      <w:marRight w:val="0"/>
                      <w:marTop w:val="0"/>
                      <w:marBottom w:val="0"/>
                      <w:divBdr>
                        <w:top w:val="none" w:sz="0" w:space="0" w:color="auto"/>
                        <w:left w:val="none" w:sz="0" w:space="0" w:color="auto"/>
                        <w:bottom w:val="none" w:sz="0" w:space="0" w:color="auto"/>
                        <w:right w:val="none" w:sz="0" w:space="0" w:color="auto"/>
                      </w:divBdr>
                    </w:div>
                  </w:divsChild>
                </w:div>
                <w:div w:id="735394268">
                  <w:marLeft w:val="0"/>
                  <w:marRight w:val="0"/>
                  <w:marTop w:val="0"/>
                  <w:marBottom w:val="0"/>
                  <w:divBdr>
                    <w:top w:val="none" w:sz="0" w:space="0" w:color="auto"/>
                    <w:left w:val="none" w:sz="0" w:space="0" w:color="auto"/>
                    <w:bottom w:val="none" w:sz="0" w:space="0" w:color="auto"/>
                    <w:right w:val="none" w:sz="0" w:space="0" w:color="auto"/>
                  </w:divBdr>
                  <w:divsChild>
                    <w:div w:id="392193774">
                      <w:marLeft w:val="0"/>
                      <w:marRight w:val="0"/>
                      <w:marTop w:val="120"/>
                      <w:marBottom w:val="0"/>
                      <w:divBdr>
                        <w:top w:val="none" w:sz="0" w:space="0" w:color="auto"/>
                        <w:left w:val="none" w:sz="0" w:space="0" w:color="auto"/>
                        <w:bottom w:val="none" w:sz="0" w:space="0" w:color="auto"/>
                        <w:right w:val="none" w:sz="0" w:space="0" w:color="auto"/>
                      </w:divBdr>
                    </w:div>
                    <w:div w:id="1647509575">
                      <w:marLeft w:val="0"/>
                      <w:marRight w:val="0"/>
                      <w:marTop w:val="0"/>
                      <w:marBottom w:val="0"/>
                      <w:divBdr>
                        <w:top w:val="none" w:sz="0" w:space="0" w:color="auto"/>
                        <w:left w:val="none" w:sz="0" w:space="0" w:color="auto"/>
                        <w:bottom w:val="none" w:sz="0" w:space="0" w:color="auto"/>
                        <w:right w:val="none" w:sz="0" w:space="0" w:color="auto"/>
                      </w:divBdr>
                    </w:div>
                  </w:divsChild>
                </w:div>
                <w:div w:id="833108703">
                  <w:marLeft w:val="0"/>
                  <w:marRight w:val="0"/>
                  <w:marTop w:val="0"/>
                  <w:marBottom w:val="0"/>
                  <w:divBdr>
                    <w:top w:val="none" w:sz="0" w:space="0" w:color="auto"/>
                    <w:left w:val="none" w:sz="0" w:space="0" w:color="auto"/>
                    <w:bottom w:val="none" w:sz="0" w:space="0" w:color="auto"/>
                    <w:right w:val="none" w:sz="0" w:space="0" w:color="auto"/>
                  </w:divBdr>
                  <w:divsChild>
                    <w:div w:id="491724763">
                      <w:marLeft w:val="0"/>
                      <w:marRight w:val="0"/>
                      <w:marTop w:val="120"/>
                      <w:marBottom w:val="0"/>
                      <w:divBdr>
                        <w:top w:val="none" w:sz="0" w:space="0" w:color="auto"/>
                        <w:left w:val="none" w:sz="0" w:space="0" w:color="auto"/>
                        <w:bottom w:val="none" w:sz="0" w:space="0" w:color="auto"/>
                        <w:right w:val="none" w:sz="0" w:space="0" w:color="auto"/>
                      </w:divBdr>
                    </w:div>
                    <w:div w:id="650671630">
                      <w:marLeft w:val="0"/>
                      <w:marRight w:val="0"/>
                      <w:marTop w:val="0"/>
                      <w:marBottom w:val="0"/>
                      <w:divBdr>
                        <w:top w:val="none" w:sz="0" w:space="0" w:color="auto"/>
                        <w:left w:val="none" w:sz="0" w:space="0" w:color="auto"/>
                        <w:bottom w:val="none" w:sz="0" w:space="0" w:color="auto"/>
                        <w:right w:val="none" w:sz="0" w:space="0" w:color="auto"/>
                      </w:divBdr>
                    </w:div>
                  </w:divsChild>
                </w:div>
                <w:div w:id="1138843929">
                  <w:marLeft w:val="0"/>
                  <w:marRight w:val="0"/>
                  <w:marTop w:val="0"/>
                  <w:marBottom w:val="0"/>
                  <w:divBdr>
                    <w:top w:val="none" w:sz="0" w:space="0" w:color="auto"/>
                    <w:left w:val="none" w:sz="0" w:space="0" w:color="auto"/>
                    <w:bottom w:val="none" w:sz="0" w:space="0" w:color="auto"/>
                    <w:right w:val="none" w:sz="0" w:space="0" w:color="auto"/>
                  </w:divBdr>
                  <w:divsChild>
                    <w:div w:id="216938301">
                      <w:marLeft w:val="0"/>
                      <w:marRight w:val="0"/>
                      <w:marTop w:val="0"/>
                      <w:marBottom w:val="0"/>
                      <w:divBdr>
                        <w:top w:val="none" w:sz="0" w:space="0" w:color="auto"/>
                        <w:left w:val="none" w:sz="0" w:space="0" w:color="auto"/>
                        <w:bottom w:val="none" w:sz="0" w:space="0" w:color="auto"/>
                        <w:right w:val="none" w:sz="0" w:space="0" w:color="auto"/>
                      </w:divBdr>
                    </w:div>
                    <w:div w:id="9706699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7623534">
      <w:bodyDiv w:val="1"/>
      <w:marLeft w:val="0"/>
      <w:marRight w:val="0"/>
      <w:marTop w:val="0"/>
      <w:marBottom w:val="0"/>
      <w:divBdr>
        <w:top w:val="none" w:sz="0" w:space="0" w:color="auto"/>
        <w:left w:val="none" w:sz="0" w:space="0" w:color="auto"/>
        <w:bottom w:val="none" w:sz="0" w:space="0" w:color="auto"/>
        <w:right w:val="none" w:sz="0" w:space="0" w:color="auto"/>
      </w:divBdr>
      <w:divsChild>
        <w:div w:id="2030712452">
          <w:marLeft w:val="0"/>
          <w:marRight w:val="0"/>
          <w:marTop w:val="0"/>
          <w:marBottom w:val="0"/>
          <w:divBdr>
            <w:top w:val="none" w:sz="0" w:space="0" w:color="auto"/>
            <w:left w:val="none" w:sz="0" w:space="0" w:color="auto"/>
            <w:bottom w:val="none" w:sz="0" w:space="0" w:color="auto"/>
            <w:right w:val="none" w:sz="0" w:space="0" w:color="auto"/>
          </w:divBdr>
          <w:divsChild>
            <w:div w:id="381288637">
              <w:marLeft w:val="0"/>
              <w:marRight w:val="0"/>
              <w:marTop w:val="120"/>
              <w:marBottom w:val="0"/>
              <w:divBdr>
                <w:top w:val="none" w:sz="0" w:space="0" w:color="auto"/>
                <w:left w:val="none" w:sz="0" w:space="0" w:color="auto"/>
                <w:bottom w:val="none" w:sz="0" w:space="0" w:color="auto"/>
                <w:right w:val="none" w:sz="0" w:space="0" w:color="auto"/>
              </w:divBdr>
            </w:div>
            <w:div w:id="1821926173">
              <w:marLeft w:val="0"/>
              <w:marRight w:val="0"/>
              <w:marTop w:val="120"/>
              <w:marBottom w:val="0"/>
              <w:divBdr>
                <w:top w:val="none" w:sz="0" w:space="0" w:color="auto"/>
                <w:left w:val="none" w:sz="0" w:space="0" w:color="auto"/>
                <w:bottom w:val="none" w:sz="0" w:space="0" w:color="auto"/>
                <w:right w:val="none" w:sz="0" w:space="0" w:color="auto"/>
              </w:divBdr>
            </w:div>
            <w:div w:id="1876384621">
              <w:marLeft w:val="0"/>
              <w:marRight w:val="0"/>
              <w:marTop w:val="120"/>
              <w:marBottom w:val="0"/>
              <w:divBdr>
                <w:top w:val="none" w:sz="0" w:space="0" w:color="auto"/>
                <w:left w:val="none" w:sz="0" w:space="0" w:color="auto"/>
                <w:bottom w:val="none" w:sz="0" w:space="0" w:color="auto"/>
                <w:right w:val="none" w:sz="0" w:space="0" w:color="auto"/>
              </w:divBdr>
              <w:divsChild>
                <w:div w:id="339622745">
                  <w:marLeft w:val="0"/>
                  <w:marRight w:val="0"/>
                  <w:marTop w:val="120"/>
                  <w:marBottom w:val="0"/>
                  <w:divBdr>
                    <w:top w:val="none" w:sz="0" w:space="0" w:color="auto"/>
                    <w:left w:val="none" w:sz="0" w:space="0" w:color="auto"/>
                    <w:bottom w:val="none" w:sz="0" w:space="0" w:color="auto"/>
                    <w:right w:val="none" w:sz="0" w:space="0" w:color="auto"/>
                  </w:divBdr>
                </w:div>
                <w:div w:id="1362701272">
                  <w:marLeft w:val="0"/>
                  <w:marRight w:val="0"/>
                  <w:marTop w:val="120"/>
                  <w:marBottom w:val="0"/>
                  <w:divBdr>
                    <w:top w:val="none" w:sz="0" w:space="0" w:color="auto"/>
                    <w:left w:val="none" w:sz="0" w:space="0" w:color="auto"/>
                    <w:bottom w:val="none" w:sz="0" w:space="0" w:color="auto"/>
                    <w:right w:val="none" w:sz="0" w:space="0" w:color="auto"/>
                  </w:divBdr>
                </w:div>
                <w:div w:id="2126148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8390851">
      <w:bodyDiv w:val="1"/>
      <w:marLeft w:val="0"/>
      <w:marRight w:val="0"/>
      <w:marTop w:val="0"/>
      <w:marBottom w:val="0"/>
      <w:divBdr>
        <w:top w:val="none" w:sz="0" w:space="0" w:color="auto"/>
        <w:left w:val="none" w:sz="0" w:space="0" w:color="auto"/>
        <w:bottom w:val="none" w:sz="0" w:space="0" w:color="auto"/>
        <w:right w:val="none" w:sz="0" w:space="0" w:color="auto"/>
      </w:divBdr>
      <w:divsChild>
        <w:div w:id="220556409">
          <w:marLeft w:val="0"/>
          <w:marRight w:val="0"/>
          <w:marTop w:val="0"/>
          <w:marBottom w:val="0"/>
          <w:divBdr>
            <w:top w:val="none" w:sz="0" w:space="0" w:color="auto"/>
            <w:left w:val="none" w:sz="0" w:space="0" w:color="auto"/>
            <w:bottom w:val="none" w:sz="0" w:space="0" w:color="auto"/>
            <w:right w:val="none" w:sz="0" w:space="0" w:color="auto"/>
          </w:divBdr>
        </w:div>
      </w:divsChild>
    </w:div>
    <w:div w:id="180632156">
      <w:bodyDiv w:val="1"/>
      <w:marLeft w:val="0"/>
      <w:marRight w:val="0"/>
      <w:marTop w:val="0"/>
      <w:marBottom w:val="0"/>
      <w:divBdr>
        <w:top w:val="none" w:sz="0" w:space="0" w:color="auto"/>
        <w:left w:val="none" w:sz="0" w:space="0" w:color="auto"/>
        <w:bottom w:val="none" w:sz="0" w:space="0" w:color="auto"/>
        <w:right w:val="none" w:sz="0" w:space="0" w:color="auto"/>
      </w:divBdr>
      <w:divsChild>
        <w:div w:id="1675374319">
          <w:marLeft w:val="0"/>
          <w:marRight w:val="0"/>
          <w:marTop w:val="0"/>
          <w:marBottom w:val="0"/>
          <w:divBdr>
            <w:top w:val="none" w:sz="0" w:space="0" w:color="auto"/>
            <w:left w:val="none" w:sz="0" w:space="0" w:color="auto"/>
            <w:bottom w:val="none" w:sz="0" w:space="0" w:color="auto"/>
            <w:right w:val="none" w:sz="0" w:space="0" w:color="auto"/>
          </w:divBdr>
        </w:div>
      </w:divsChild>
    </w:div>
    <w:div w:id="192041257">
      <w:bodyDiv w:val="1"/>
      <w:marLeft w:val="0"/>
      <w:marRight w:val="0"/>
      <w:marTop w:val="0"/>
      <w:marBottom w:val="0"/>
      <w:divBdr>
        <w:top w:val="none" w:sz="0" w:space="0" w:color="auto"/>
        <w:left w:val="none" w:sz="0" w:space="0" w:color="auto"/>
        <w:bottom w:val="none" w:sz="0" w:space="0" w:color="auto"/>
        <w:right w:val="none" w:sz="0" w:space="0" w:color="auto"/>
      </w:divBdr>
      <w:divsChild>
        <w:div w:id="153231155">
          <w:marLeft w:val="0"/>
          <w:marRight w:val="0"/>
          <w:marTop w:val="0"/>
          <w:marBottom w:val="0"/>
          <w:divBdr>
            <w:top w:val="none" w:sz="0" w:space="0" w:color="auto"/>
            <w:left w:val="none" w:sz="0" w:space="0" w:color="auto"/>
            <w:bottom w:val="none" w:sz="0" w:space="0" w:color="auto"/>
            <w:right w:val="none" w:sz="0" w:space="0" w:color="auto"/>
          </w:divBdr>
          <w:divsChild>
            <w:div w:id="1205799737">
              <w:marLeft w:val="0"/>
              <w:marRight w:val="0"/>
              <w:marTop w:val="0"/>
              <w:marBottom w:val="0"/>
              <w:divBdr>
                <w:top w:val="none" w:sz="0" w:space="0" w:color="auto"/>
                <w:left w:val="none" w:sz="0" w:space="0" w:color="auto"/>
                <w:bottom w:val="none" w:sz="0" w:space="0" w:color="auto"/>
                <w:right w:val="none" w:sz="0" w:space="0" w:color="auto"/>
              </w:divBdr>
              <w:divsChild>
                <w:div w:id="1164979515">
                  <w:marLeft w:val="0"/>
                  <w:marRight w:val="0"/>
                  <w:marTop w:val="0"/>
                  <w:marBottom w:val="0"/>
                  <w:divBdr>
                    <w:top w:val="none" w:sz="0" w:space="0" w:color="auto"/>
                    <w:left w:val="none" w:sz="0" w:space="0" w:color="auto"/>
                    <w:bottom w:val="none" w:sz="0" w:space="0" w:color="auto"/>
                    <w:right w:val="none" w:sz="0" w:space="0" w:color="auto"/>
                  </w:divBdr>
                  <w:divsChild>
                    <w:div w:id="651064854">
                      <w:marLeft w:val="0"/>
                      <w:marRight w:val="0"/>
                      <w:marTop w:val="120"/>
                      <w:marBottom w:val="0"/>
                      <w:divBdr>
                        <w:top w:val="none" w:sz="0" w:space="0" w:color="auto"/>
                        <w:left w:val="none" w:sz="0" w:space="0" w:color="auto"/>
                        <w:bottom w:val="none" w:sz="0" w:space="0" w:color="auto"/>
                        <w:right w:val="none" w:sz="0" w:space="0" w:color="auto"/>
                      </w:divBdr>
                    </w:div>
                    <w:div w:id="1686590535">
                      <w:marLeft w:val="0"/>
                      <w:marRight w:val="0"/>
                      <w:marTop w:val="0"/>
                      <w:marBottom w:val="0"/>
                      <w:divBdr>
                        <w:top w:val="none" w:sz="0" w:space="0" w:color="auto"/>
                        <w:left w:val="none" w:sz="0" w:space="0" w:color="auto"/>
                        <w:bottom w:val="none" w:sz="0" w:space="0" w:color="auto"/>
                        <w:right w:val="none" w:sz="0" w:space="0" w:color="auto"/>
                      </w:divBdr>
                    </w:div>
                  </w:divsChild>
                </w:div>
                <w:div w:id="1720086965">
                  <w:marLeft w:val="0"/>
                  <w:marRight w:val="0"/>
                  <w:marTop w:val="0"/>
                  <w:marBottom w:val="0"/>
                  <w:divBdr>
                    <w:top w:val="none" w:sz="0" w:space="0" w:color="auto"/>
                    <w:left w:val="none" w:sz="0" w:space="0" w:color="auto"/>
                    <w:bottom w:val="none" w:sz="0" w:space="0" w:color="auto"/>
                    <w:right w:val="none" w:sz="0" w:space="0" w:color="auto"/>
                  </w:divBdr>
                  <w:divsChild>
                    <w:div w:id="1031759114">
                      <w:marLeft w:val="0"/>
                      <w:marRight w:val="0"/>
                      <w:marTop w:val="120"/>
                      <w:marBottom w:val="0"/>
                      <w:divBdr>
                        <w:top w:val="none" w:sz="0" w:space="0" w:color="auto"/>
                        <w:left w:val="none" w:sz="0" w:space="0" w:color="auto"/>
                        <w:bottom w:val="none" w:sz="0" w:space="0" w:color="auto"/>
                        <w:right w:val="none" w:sz="0" w:space="0" w:color="auto"/>
                      </w:divBdr>
                    </w:div>
                    <w:div w:id="16937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27673">
          <w:marLeft w:val="0"/>
          <w:marRight w:val="0"/>
          <w:marTop w:val="0"/>
          <w:marBottom w:val="0"/>
          <w:divBdr>
            <w:top w:val="none" w:sz="0" w:space="0" w:color="auto"/>
            <w:left w:val="none" w:sz="0" w:space="0" w:color="auto"/>
            <w:bottom w:val="none" w:sz="0" w:space="0" w:color="auto"/>
            <w:right w:val="none" w:sz="0" w:space="0" w:color="auto"/>
          </w:divBdr>
          <w:divsChild>
            <w:div w:id="5721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779">
      <w:bodyDiv w:val="1"/>
      <w:marLeft w:val="0"/>
      <w:marRight w:val="0"/>
      <w:marTop w:val="0"/>
      <w:marBottom w:val="0"/>
      <w:divBdr>
        <w:top w:val="none" w:sz="0" w:space="0" w:color="auto"/>
        <w:left w:val="none" w:sz="0" w:space="0" w:color="auto"/>
        <w:bottom w:val="none" w:sz="0" w:space="0" w:color="auto"/>
        <w:right w:val="none" w:sz="0" w:space="0" w:color="auto"/>
      </w:divBdr>
      <w:divsChild>
        <w:div w:id="1393503422">
          <w:marLeft w:val="0"/>
          <w:marRight w:val="0"/>
          <w:marTop w:val="0"/>
          <w:marBottom w:val="0"/>
          <w:divBdr>
            <w:top w:val="none" w:sz="0" w:space="0" w:color="auto"/>
            <w:left w:val="none" w:sz="0" w:space="0" w:color="auto"/>
            <w:bottom w:val="none" w:sz="0" w:space="0" w:color="auto"/>
            <w:right w:val="none" w:sz="0" w:space="0" w:color="auto"/>
          </w:divBdr>
          <w:divsChild>
            <w:div w:id="167151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3125">
      <w:bodyDiv w:val="1"/>
      <w:marLeft w:val="0"/>
      <w:marRight w:val="0"/>
      <w:marTop w:val="0"/>
      <w:marBottom w:val="0"/>
      <w:divBdr>
        <w:top w:val="none" w:sz="0" w:space="0" w:color="auto"/>
        <w:left w:val="none" w:sz="0" w:space="0" w:color="auto"/>
        <w:bottom w:val="none" w:sz="0" w:space="0" w:color="auto"/>
        <w:right w:val="none" w:sz="0" w:space="0" w:color="auto"/>
      </w:divBdr>
      <w:divsChild>
        <w:div w:id="354843286">
          <w:marLeft w:val="0"/>
          <w:marRight w:val="0"/>
          <w:marTop w:val="0"/>
          <w:marBottom w:val="0"/>
          <w:divBdr>
            <w:top w:val="none" w:sz="0" w:space="0" w:color="auto"/>
            <w:left w:val="none" w:sz="0" w:space="0" w:color="auto"/>
            <w:bottom w:val="none" w:sz="0" w:space="0" w:color="auto"/>
            <w:right w:val="none" w:sz="0" w:space="0" w:color="auto"/>
          </w:divBdr>
        </w:div>
      </w:divsChild>
    </w:div>
    <w:div w:id="203713189">
      <w:bodyDiv w:val="1"/>
      <w:marLeft w:val="0"/>
      <w:marRight w:val="0"/>
      <w:marTop w:val="0"/>
      <w:marBottom w:val="0"/>
      <w:divBdr>
        <w:top w:val="none" w:sz="0" w:space="0" w:color="auto"/>
        <w:left w:val="none" w:sz="0" w:space="0" w:color="auto"/>
        <w:bottom w:val="none" w:sz="0" w:space="0" w:color="auto"/>
        <w:right w:val="none" w:sz="0" w:space="0" w:color="auto"/>
      </w:divBdr>
      <w:divsChild>
        <w:div w:id="184759640">
          <w:marLeft w:val="0"/>
          <w:marRight w:val="0"/>
          <w:marTop w:val="0"/>
          <w:marBottom w:val="0"/>
          <w:divBdr>
            <w:top w:val="none" w:sz="0" w:space="0" w:color="auto"/>
            <w:left w:val="none" w:sz="0" w:space="0" w:color="auto"/>
            <w:bottom w:val="none" w:sz="0" w:space="0" w:color="auto"/>
            <w:right w:val="none" w:sz="0" w:space="0" w:color="auto"/>
          </w:divBdr>
          <w:divsChild>
            <w:div w:id="100925977">
              <w:marLeft w:val="0"/>
              <w:marRight w:val="0"/>
              <w:marTop w:val="0"/>
              <w:marBottom w:val="0"/>
              <w:divBdr>
                <w:top w:val="none" w:sz="0" w:space="0" w:color="auto"/>
                <w:left w:val="none" w:sz="0" w:space="0" w:color="auto"/>
                <w:bottom w:val="none" w:sz="0" w:space="0" w:color="auto"/>
                <w:right w:val="none" w:sz="0" w:space="0" w:color="auto"/>
              </w:divBdr>
              <w:divsChild>
                <w:div w:id="911812900">
                  <w:marLeft w:val="0"/>
                  <w:marRight w:val="0"/>
                  <w:marTop w:val="120"/>
                  <w:marBottom w:val="0"/>
                  <w:divBdr>
                    <w:top w:val="none" w:sz="0" w:space="0" w:color="auto"/>
                    <w:left w:val="none" w:sz="0" w:space="0" w:color="auto"/>
                    <w:bottom w:val="none" w:sz="0" w:space="0" w:color="auto"/>
                    <w:right w:val="none" w:sz="0" w:space="0" w:color="auto"/>
                  </w:divBdr>
                </w:div>
                <w:div w:id="1723871252">
                  <w:marLeft w:val="0"/>
                  <w:marRight w:val="0"/>
                  <w:marTop w:val="0"/>
                  <w:marBottom w:val="0"/>
                  <w:divBdr>
                    <w:top w:val="none" w:sz="0" w:space="0" w:color="auto"/>
                    <w:left w:val="none" w:sz="0" w:space="0" w:color="auto"/>
                    <w:bottom w:val="none" w:sz="0" w:space="0" w:color="auto"/>
                    <w:right w:val="none" w:sz="0" w:space="0" w:color="auto"/>
                  </w:divBdr>
                </w:div>
              </w:divsChild>
            </w:div>
            <w:div w:id="1434011624">
              <w:marLeft w:val="0"/>
              <w:marRight w:val="0"/>
              <w:marTop w:val="0"/>
              <w:marBottom w:val="0"/>
              <w:divBdr>
                <w:top w:val="none" w:sz="0" w:space="0" w:color="auto"/>
                <w:left w:val="none" w:sz="0" w:space="0" w:color="auto"/>
                <w:bottom w:val="none" w:sz="0" w:space="0" w:color="auto"/>
                <w:right w:val="none" w:sz="0" w:space="0" w:color="auto"/>
              </w:divBdr>
              <w:divsChild>
                <w:div w:id="1091588851">
                  <w:marLeft w:val="0"/>
                  <w:marRight w:val="0"/>
                  <w:marTop w:val="120"/>
                  <w:marBottom w:val="0"/>
                  <w:divBdr>
                    <w:top w:val="none" w:sz="0" w:space="0" w:color="auto"/>
                    <w:left w:val="none" w:sz="0" w:space="0" w:color="auto"/>
                    <w:bottom w:val="none" w:sz="0" w:space="0" w:color="auto"/>
                    <w:right w:val="none" w:sz="0" w:space="0" w:color="auto"/>
                  </w:divBdr>
                </w:div>
                <w:div w:id="13555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4585">
      <w:bodyDiv w:val="1"/>
      <w:marLeft w:val="0"/>
      <w:marRight w:val="0"/>
      <w:marTop w:val="0"/>
      <w:marBottom w:val="0"/>
      <w:divBdr>
        <w:top w:val="none" w:sz="0" w:space="0" w:color="auto"/>
        <w:left w:val="none" w:sz="0" w:space="0" w:color="auto"/>
        <w:bottom w:val="none" w:sz="0" w:space="0" w:color="auto"/>
        <w:right w:val="none" w:sz="0" w:space="0" w:color="auto"/>
      </w:divBdr>
      <w:divsChild>
        <w:div w:id="519125043">
          <w:marLeft w:val="0"/>
          <w:marRight w:val="0"/>
          <w:marTop w:val="0"/>
          <w:marBottom w:val="0"/>
          <w:divBdr>
            <w:top w:val="none" w:sz="0" w:space="0" w:color="auto"/>
            <w:left w:val="none" w:sz="0" w:space="0" w:color="auto"/>
            <w:bottom w:val="none" w:sz="0" w:space="0" w:color="auto"/>
            <w:right w:val="none" w:sz="0" w:space="0" w:color="auto"/>
          </w:divBdr>
          <w:divsChild>
            <w:div w:id="14318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2151">
      <w:bodyDiv w:val="1"/>
      <w:marLeft w:val="0"/>
      <w:marRight w:val="0"/>
      <w:marTop w:val="0"/>
      <w:marBottom w:val="0"/>
      <w:divBdr>
        <w:top w:val="none" w:sz="0" w:space="0" w:color="auto"/>
        <w:left w:val="none" w:sz="0" w:space="0" w:color="auto"/>
        <w:bottom w:val="none" w:sz="0" w:space="0" w:color="auto"/>
        <w:right w:val="none" w:sz="0" w:space="0" w:color="auto"/>
      </w:divBdr>
      <w:divsChild>
        <w:div w:id="861623913">
          <w:marLeft w:val="0"/>
          <w:marRight w:val="0"/>
          <w:marTop w:val="0"/>
          <w:marBottom w:val="0"/>
          <w:divBdr>
            <w:top w:val="none" w:sz="0" w:space="0" w:color="auto"/>
            <w:left w:val="none" w:sz="0" w:space="0" w:color="auto"/>
            <w:bottom w:val="none" w:sz="0" w:space="0" w:color="auto"/>
            <w:right w:val="none" w:sz="0" w:space="0" w:color="auto"/>
          </w:divBdr>
          <w:divsChild>
            <w:div w:id="1909878723">
              <w:marLeft w:val="0"/>
              <w:marRight w:val="0"/>
              <w:marTop w:val="0"/>
              <w:marBottom w:val="0"/>
              <w:divBdr>
                <w:top w:val="none" w:sz="0" w:space="0" w:color="auto"/>
                <w:left w:val="none" w:sz="0" w:space="0" w:color="auto"/>
                <w:bottom w:val="none" w:sz="0" w:space="0" w:color="auto"/>
                <w:right w:val="none" w:sz="0" w:space="0" w:color="auto"/>
              </w:divBdr>
            </w:div>
          </w:divsChild>
        </w:div>
        <w:div w:id="1082868483">
          <w:marLeft w:val="0"/>
          <w:marRight w:val="0"/>
          <w:marTop w:val="0"/>
          <w:marBottom w:val="0"/>
          <w:divBdr>
            <w:top w:val="none" w:sz="0" w:space="0" w:color="auto"/>
            <w:left w:val="none" w:sz="0" w:space="0" w:color="auto"/>
            <w:bottom w:val="none" w:sz="0" w:space="0" w:color="auto"/>
            <w:right w:val="none" w:sz="0" w:space="0" w:color="auto"/>
          </w:divBdr>
          <w:divsChild>
            <w:div w:id="1992979726">
              <w:marLeft w:val="0"/>
              <w:marRight w:val="0"/>
              <w:marTop w:val="0"/>
              <w:marBottom w:val="0"/>
              <w:divBdr>
                <w:top w:val="none" w:sz="0" w:space="0" w:color="auto"/>
                <w:left w:val="none" w:sz="0" w:space="0" w:color="auto"/>
                <w:bottom w:val="none" w:sz="0" w:space="0" w:color="auto"/>
                <w:right w:val="none" w:sz="0" w:space="0" w:color="auto"/>
              </w:divBdr>
            </w:div>
          </w:divsChild>
        </w:div>
        <w:div w:id="1565140768">
          <w:marLeft w:val="0"/>
          <w:marRight w:val="0"/>
          <w:marTop w:val="0"/>
          <w:marBottom w:val="0"/>
          <w:divBdr>
            <w:top w:val="none" w:sz="0" w:space="0" w:color="auto"/>
            <w:left w:val="none" w:sz="0" w:space="0" w:color="auto"/>
            <w:bottom w:val="none" w:sz="0" w:space="0" w:color="auto"/>
            <w:right w:val="none" w:sz="0" w:space="0" w:color="auto"/>
          </w:divBdr>
          <w:divsChild>
            <w:div w:id="6346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5644">
      <w:bodyDiv w:val="1"/>
      <w:marLeft w:val="0"/>
      <w:marRight w:val="0"/>
      <w:marTop w:val="0"/>
      <w:marBottom w:val="0"/>
      <w:divBdr>
        <w:top w:val="none" w:sz="0" w:space="0" w:color="auto"/>
        <w:left w:val="none" w:sz="0" w:space="0" w:color="auto"/>
        <w:bottom w:val="none" w:sz="0" w:space="0" w:color="auto"/>
        <w:right w:val="none" w:sz="0" w:space="0" w:color="auto"/>
      </w:divBdr>
      <w:divsChild>
        <w:div w:id="2075739728">
          <w:marLeft w:val="0"/>
          <w:marRight w:val="0"/>
          <w:marTop w:val="0"/>
          <w:marBottom w:val="0"/>
          <w:divBdr>
            <w:top w:val="none" w:sz="0" w:space="0" w:color="auto"/>
            <w:left w:val="none" w:sz="0" w:space="0" w:color="auto"/>
            <w:bottom w:val="none" w:sz="0" w:space="0" w:color="auto"/>
            <w:right w:val="none" w:sz="0" w:space="0" w:color="auto"/>
          </w:divBdr>
        </w:div>
      </w:divsChild>
    </w:div>
    <w:div w:id="218127633">
      <w:bodyDiv w:val="1"/>
      <w:marLeft w:val="0"/>
      <w:marRight w:val="0"/>
      <w:marTop w:val="0"/>
      <w:marBottom w:val="0"/>
      <w:divBdr>
        <w:top w:val="none" w:sz="0" w:space="0" w:color="auto"/>
        <w:left w:val="none" w:sz="0" w:space="0" w:color="auto"/>
        <w:bottom w:val="none" w:sz="0" w:space="0" w:color="auto"/>
        <w:right w:val="none" w:sz="0" w:space="0" w:color="auto"/>
      </w:divBdr>
      <w:divsChild>
        <w:div w:id="2003199270">
          <w:marLeft w:val="0"/>
          <w:marRight w:val="0"/>
          <w:marTop w:val="0"/>
          <w:marBottom w:val="0"/>
          <w:divBdr>
            <w:top w:val="none" w:sz="0" w:space="0" w:color="auto"/>
            <w:left w:val="none" w:sz="0" w:space="0" w:color="auto"/>
            <w:bottom w:val="none" w:sz="0" w:space="0" w:color="auto"/>
            <w:right w:val="none" w:sz="0" w:space="0" w:color="auto"/>
          </w:divBdr>
          <w:divsChild>
            <w:div w:id="1488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5215">
      <w:bodyDiv w:val="1"/>
      <w:marLeft w:val="0"/>
      <w:marRight w:val="0"/>
      <w:marTop w:val="0"/>
      <w:marBottom w:val="0"/>
      <w:divBdr>
        <w:top w:val="none" w:sz="0" w:space="0" w:color="auto"/>
        <w:left w:val="none" w:sz="0" w:space="0" w:color="auto"/>
        <w:bottom w:val="none" w:sz="0" w:space="0" w:color="auto"/>
        <w:right w:val="none" w:sz="0" w:space="0" w:color="auto"/>
      </w:divBdr>
      <w:divsChild>
        <w:div w:id="1358042714">
          <w:marLeft w:val="0"/>
          <w:marRight w:val="0"/>
          <w:marTop w:val="0"/>
          <w:marBottom w:val="0"/>
          <w:divBdr>
            <w:top w:val="none" w:sz="0" w:space="0" w:color="auto"/>
            <w:left w:val="none" w:sz="0" w:space="0" w:color="auto"/>
            <w:bottom w:val="none" w:sz="0" w:space="0" w:color="auto"/>
            <w:right w:val="none" w:sz="0" w:space="0" w:color="auto"/>
          </w:divBdr>
        </w:div>
      </w:divsChild>
    </w:div>
    <w:div w:id="223226499">
      <w:bodyDiv w:val="1"/>
      <w:marLeft w:val="0"/>
      <w:marRight w:val="0"/>
      <w:marTop w:val="0"/>
      <w:marBottom w:val="0"/>
      <w:divBdr>
        <w:top w:val="none" w:sz="0" w:space="0" w:color="auto"/>
        <w:left w:val="none" w:sz="0" w:space="0" w:color="auto"/>
        <w:bottom w:val="none" w:sz="0" w:space="0" w:color="auto"/>
        <w:right w:val="none" w:sz="0" w:space="0" w:color="auto"/>
      </w:divBdr>
      <w:divsChild>
        <w:div w:id="1865752525">
          <w:marLeft w:val="0"/>
          <w:marRight w:val="0"/>
          <w:marTop w:val="0"/>
          <w:marBottom w:val="0"/>
          <w:divBdr>
            <w:top w:val="none" w:sz="0" w:space="0" w:color="auto"/>
            <w:left w:val="none" w:sz="0" w:space="0" w:color="auto"/>
            <w:bottom w:val="none" w:sz="0" w:space="0" w:color="auto"/>
            <w:right w:val="none" w:sz="0" w:space="0" w:color="auto"/>
          </w:divBdr>
          <w:divsChild>
            <w:div w:id="195501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57246">
      <w:bodyDiv w:val="1"/>
      <w:marLeft w:val="0"/>
      <w:marRight w:val="0"/>
      <w:marTop w:val="0"/>
      <w:marBottom w:val="0"/>
      <w:divBdr>
        <w:top w:val="none" w:sz="0" w:space="0" w:color="auto"/>
        <w:left w:val="none" w:sz="0" w:space="0" w:color="auto"/>
        <w:bottom w:val="none" w:sz="0" w:space="0" w:color="auto"/>
        <w:right w:val="none" w:sz="0" w:space="0" w:color="auto"/>
      </w:divBdr>
      <w:divsChild>
        <w:div w:id="724526141">
          <w:marLeft w:val="0"/>
          <w:marRight w:val="0"/>
          <w:marTop w:val="0"/>
          <w:marBottom w:val="0"/>
          <w:divBdr>
            <w:top w:val="none" w:sz="0" w:space="0" w:color="auto"/>
            <w:left w:val="none" w:sz="0" w:space="0" w:color="auto"/>
            <w:bottom w:val="none" w:sz="0" w:space="0" w:color="auto"/>
            <w:right w:val="none" w:sz="0" w:space="0" w:color="auto"/>
          </w:divBdr>
        </w:div>
      </w:divsChild>
    </w:div>
    <w:div w:id="235821390">
      <w:bodyDiv w:val="1"/>
      <w:marLeft w:val="0"/>
      <w:marRight w:val="0"/>
      <w:marTop w:val="0"/>
      <w:marBottom w:val="0"/>
      <w:divBdr>
        <w:top w:val="none" w:sz="0" w:space="0" w:color="auto"/>
        <w:left w:val="none" w:sz="0" w:space="0" w:color="auto"/>
        <w:bottom w:val="none" w:sz="0" w:space="0" w:color="auto"/>
        <w:right w:val="none" w:sz="0" w:space="0" w:color="auto"/>
      </w:divBdr>
      <w:divsChild>
        <w:div w:id="1787194396">
          <w:marLeft w:val="0"/>
          <w:marRight w:val="0"/>
          <w:marTop w:val="0"/>
          <w:marBottom w:val="0"/>
          <w:divBdr>
            <w:top w:val="none" w:sz="0" w:space="0" w:color="auto"/>
            <w:left w:val="none" w:sz="0" w:space="0" w:color="auto"/>
            <w:bottom w:val="none" w:sz="0" w:space="0" w:color="auto"/>
            <w:right w:val="none" w:sz="0" w:space="0" w:color="auto"/>
          </w:divBdr>
          <w:divsChild>
            <w:div w:id="3353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6019">
      <w:bodyDiv w:val="1"/>
      <w:marLeft w:val="0"/>
      <w:marRight w:val="0"/>
      <w:marTop w:val="0"/>
      <w:marBottom w:val="0"/>
      <w:divBdr>
        <w:top w:val="none" w:sz="0" w:space="0" w:color="auto"/>
        <w:left w:val="none" w:sz="0" w:space="0" w:color="auto"/>
        <w:bottom w:val="none" w:sz="0" w:space="0" w:color="auto"/>
        <w:right w:val="none" w:sz="0" w:space="0" w:color="auto"/>
      </w:divBdr>
      <w:divsChild>
        <w:div w:id="1192110650">
          <w:marLeft w:val="0"/>
          <w:marRight w:val="0"/>
          <w:marTop w:val="0"/>
          <w:marBottom w:val="0"/>
          <w:divBdr>
            <w:top w:val="none" w:sz="0" w:space="0" w:color="auto"/>
            <w:left w:val="none" w:sz="0" w:space="0" w:color="auto"/>
            <w:bottom w:val="none" w:sz="0" w:space="0" w:color="auto"/>
            <w:right w:val="none" w:sz="0" w:space="0" w:color="auto"/>
          </w:divBdr>
          <w:divsChild>
            <w:div w:id="10854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00053">
      <w:bodyDiv w:val="1"/>
      <w:marLeft w:val="0"/>
      <w:marRight w:val="0"/>
      <w:marTop w:val="0"/>
      <w:marBottom w:val="0"/>
      <w:divBdr>
        <w:top w:val="none" w:sz="0" w:space="0" w:color="auto"/>
        <w:left w:val="none" w:sz="0" w:space="0" w:color="auto"/>
        <w:bottom w:val="none" w:sz="0" w:space="0" w:color="auto"/>
        <w:right w:val="none" w:sz="0" w:space="0" w:color="auto"/>
      </w:divBdr>
      <w:divsChild>
        <w:div w:id="1466506313">
          <w:marLeft w:val="0"/>
          <w:marRight w:val="0"/>
          <w:marTop w:val="0"/>
          <w:marBottom w:val="0"/>
          <w:divBdr>
            <w:top w:val="none" w:sz="0" w:space="0" w:color="auto"/>
            <w:left w:val="none" w:sz="0" w:space="0" w:color="auto"/>
            <w:bottom w:val="none" w:sz="0" w:space="0" w:color="auto"/>
            <w:right w:val="none" w:sz="0" w:space="0" w:color="auto"/>
          </w:divBdr>
          <w:divsChild>
            <w:div w:id="141604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223605">
      <w:bodyDiv w:val="1"/>
      <w:marLeft w:val="0"/>
      <w:marRight w:val="0"/>
      <w:marTop w:val="0"/>
      <w:marBottom w:val="0"/>
      <w:divBdr>
        <w:top w:val="none" w:sz="0" w:space="0" w:color="auto"/>
        <w:left w:val="none" w:sz="0" w:space="0" w:color="auto"/>
        <w:bottom w:val="none" w:sz="0" w:space="0" w:color="auto"/>
        <w:right w:val="none" w:sz="0" w:space="0" w:color="auto"/>
      </w:divBdr>
      <w:divsChild>
        <w:div w:id="1587882881">
          <w:marLeft w:val="0"/>
          <w:marRight w:val="0"/>
          <w:marTop w:val="0"/>
          <w:marBottom w:val="0"/>
          <w:divBdr>
            <w:top w:val="none" w:sz="0" w:space="0" w:color="auto"/>
            <w:left w:val="none" w:sz="0" w:space="0" w:color="auto"/>
            <w:bottom w:val="none" w:sz="0" w:space="0" w:color="auto"/>
            <w:right w:val="none" w:sz="0" w:space="0" w:color="auto"/>
          </w:divBdr>
        </w:div>
      </w:divsChild>
    </w:div>
    <w:div w:id="250747640">
      <w:bodyDiv w:val="1"/>
      <w:marLeft w:val="0"/>
      <w:marRight w:val="0"/>
      <w:marTop w:val="0"/>
      <w:marBottom w:val="0"/>
      <w:divBdr>
        <w:top w:val="none" w:sz="0" w:space="0" w:color="auto"/>
        <w:left w:val="none" w:sz="0" w:space="0" w:color="auto"/>
        <w:bottom w:val="none" w:sz="0" w:space="0" w:color="auto"/>
        <w:right w:val="none" w:sz="0" w:space="0" w:color="auto"/>
      </w:divBdr>
      <w:divsChild>
        <w:div w:id="1635139989">
          <w:marLeft w:val="0"/>
          <w:marRight w:val="0"/>
          <w:marTop w:val="0"/>
          <w:marBottom w:val="0"/>
          <w:divBdr>
            <w:top w:val="none" w:sz="0" w:space="0" w:color="auto"/>
            <w:left w:val="none" w:sz="0" w:space="0" w:color="auto"/>
            <w:bottom w:val="none" w:sz="0" w:space="0" w:color="auto"/>
            <w:right w:val="none" w:sz="0" w:space="0" w:color="auto"/>
          </w:divBdr>
          <w:divsChild>
            <w:div w:id="1116144586">
              <w:marLeft w:val="0"/>
              <w:marRight w:val="0"/>
              <w:marTop w:val="0"/>
              <w:marBottom w:val="0"/>
              <w:divBdr>
                <w:top w:val="none" w:sz="0" w:space="0" w:color="auto"/>
                <w:left w:val="none" w:sz="0" w:space="0" w:color="auto"/>
                <w:bottom w:val="none" w:sz="0" w:space="0" w:color="auto"/>
                <w:right w:val="none" w:sz="0" w:space="0" w:color="auto"/>
              </w:divBdr>
              <w:divsChild>
                <w:div w:id="338889777">
                  <w:marLeft w:val="0"/>
                  <w:marRight w:val="0"/>
                  <w:marTop w:val="0"/>
                  <w:marBottom w:val="0"/>
                  <w:divBdr>
                    <w:top w:val="none" w:sz="0" w:space="0" w:color="auto"/>
                    <w:left w:val="none" w:sz="0" w:space="0" w:color="auto"/>
                    <w:bottom w:val="none" w:sz="0" w:space="0" w:color="auto"/>
                    <w:right w:val="none" w:sz="0" w:space="0" w:color="auto"/>
                  </w:divBdr>
                  <w:divsChild>
                    <w:div w:id="1184829988">
                      <w:marLeft w:val="0"/>
                      <w:marRight w:val="0"/>
                      <w:marTop w:val="120"/>
                      <w:marBottom w:val="0"/>
                      <w:divBdr>
                        <w:top w:val="none" w:sz="0" w:space="0" w:color="auto"/>
                        <w:left w:val="none" w:sz="0" w:space="0" w:color="auto"/>
                        <w:bottom w:val="none" w:sz="0" w:space="0" w:color="auto"/>
                        <w:right w:val="none" w:sz="0" w:space="0" w:color="auto"/>
                      </w:divBdr>
                    </w:div>
                    <w:div w:id="1905294542">
                      <w:marLeft w:val="0"/>
                      <w:marRight w:val="0"/>
                      <w:marTop w:val="0"/>
                      <w:marBottom w:val="0"/>
                      <w:divBdr>
                        <w:top w:val="none" w:sz="0" w:space="0" w:color="auto"/>
                        <w:left w:val="none" w:sz="0" w:space="0" w:color="auto"/>
                        <w:bottom w:val="none" w:sz="0" w:space="0" w:color="auto"/>
                        <w:right w:val="none" w:sz="0" w:space="0" w:color="auto"/>
                      </w:divBdr>
                    </w:div>
                  </w:divsChild>
                </w:div>
                <w:div w:id="344476939">
                  <w:marLeft w:val="0"/>
                  <w:marRight w:val="0"/>
                  <w:marTop w:val="0"/>
                  <w:marBottom w:val="0"/>
                  <w:divBdr>
                    <w:top w:val="none" w:sz="0" w:space="0" w:color="auto"/>
                    <w:left w:val="none" w:sz="0" w:space="0" w:color="auto"/>
                    <w:bottom w:val="none" w:sz="0" w:space="0" w:color="auto"/>
                    <w:right w:val="none" w:sz="0" w:space="0" w:color="auto"/>
                  </w:divBdr>
                  <w:divsChild>
                    <w:div w:id="119804830">
                      <w:marLeft w:val="0"/>
                      <w:marRight w:val="0"/>
                      <w:marTop w:val="120"/>
                      <w:marBottom w:val="0"/>
                      <w:divBdr>
                        <w:top w:val="none" w:sz="0" w:space="0" w:color="auto"/>
                        <w:left w:val="none" w:sz="0" w:space="0" w:color="auto"/>
                        <w:bottom w:val="none" w:sz="0" w:space="0" w:color="auto"/>
                        <w:right w:val="none" w:sz="0" w:space="0" w:color="auto"/>
                      </w:divBdr>
                    </w:div>
                    <w:div w:id="6834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170800">
      <w:bodyDiv w:val="1"/>
      <w:marLeft w:val="0"/>
      <w:marRight w:val="0"/>
      <w:marTop w:val="0"/>
      <w:marBottom w:val="0"/>
      <w:divBdr>
        <w:top w:val="none" w:sz="0" w:space="0" w:color="auto"/>
        <w:left w:val="none" w:sz="0" w:space="0" w:color="auto"/>
        <w:bottom w:val="none" w:sz="0" w:space="0" w:color="auto"/>
        <w:right w:val="none" w:sz="0" w:space="0" w:color="auto"/>
      </w:divBdr>
      <w:divsChild>
        <w:div w:id="2042322124">
          <w:marLeft w:val="0"/>
          <w:marRight w:val="0"/>
          <w:marTop w:val="0"/>
          <w:marBottom w:val="0"/>
          <w:divBdr>
            <w:top w:val="none" w:sz="0" w:space="0" w:color="auto"/>
            <w:left w:val="none" w:sz="0" w:space="0" w:color="auto"/>
            <w:bottom w:val="none" w:sz="0" w:space="0" w:color="auto"/>
            <w:right w:val="none" w:sz="0" w:space="0" w:color="auto"/>
          </w:divBdr>
          <w:divsChild>
            <w:div w:id="1436092293">
              <w:marLeft w:val="0"/>
              <w:marRight w:val="0"/>
              <w:marTop w:val="0"/>
              <w:marBottom w:val="0"/>
              <w:divBdr>
                <w:top w:val="none" w:sz="0" w:space="0" w:color="auto"/>
                <w:left w:val="none" w:sz="0" w:space="0" w:color="auto"/>
                <w:bottom w:val="none" w:sz="0" w:space="0" w:color="auto"/>
                <w:right w:val="none" w:sz="0" w:space="0" w:color="auto"/>
              </w:divBdr>
              <w:divsChild>
                <w:div w:id="128866074">
                  <w:marLeft w:val="0"/>
                  <w:marRight w:val="0"/>
                  <w:marTop w:val="120"/>
                  <w:marBottom w:val="0"/>
                  <w:divBdr>
                    <w:top w:val="none" w:sz="0" w:space="0" w:color="auto"/>
                    <w:left w:val="none" w:sz="0" w:space="0" w:color="auto"/>
                    <w:bottom w:val="none" w:sz="0" w:space="0" w:color="auto"/>
                    <w:right w:val="none" w:sz="0" w:space="0" w:color="auto"/>
                  </w:divBdr>
                </w:div>
                <w:div w:id="1790850604">
                  <w:marLeft w:val="0"/>
                  <w:marRight w:val="0"/>
                  <w:marTop w:val="0"/>
                  <w:marBottom w:val="0"/>
                  <w:divBdr>
                    <w:top w:val="none" w:sz="0" w:space="0" w:color="auto"/>
                    <w:left w:val="none" w:sz="0" w:space="0" w:color="auto"/>
                    <w:bottom w:val="none" w:sz="0" w:space="0" w:color="auto"/>
                    <w:right w:val="none" w:sz="0" w:space="0" w:color="auto"/>
                  </w:divBdr>
                  <w:divsChild>
                    <w:div w:id="383793035">
                      <w:marLeft w:val="0"/>
                      <w:marRight w:val="0"/>
                      <w:marTop w:val="0"/>
                      <w:marBottom w:val="0"/>
                      <w:divBdr>
                        <w:top w:val="none" w:sz="0" w:space="0" w:color="auto"/>
                        <w:left w:val="none" w:sz="0" w:space="0" w:color="auto"/>
                        <w:bottom w:val="none" w:sz="0" w:space="0" w:color="auto"/>
                        <w:right w:val="none" w:sz="0" w:space="0" w:color="auto"/>
                      </w:divBdr>
                      <w:divsChild>
                        <w:div w:id="211313913">
                          <w:marLeft w:val="0"/>
                          <w:marRight w:val="0"/>
                          <w:marTop w:val="120"/>
                          <w:marBottom w:val="0"/>
                          <w:divBdr>
                            <w:top w:val="none" w:sz="0" w:space="0" w:color="auto"/>
                            <w:left w:val="none" w:sz="0" w:space="0" w:color="auto"/>
                            <w:bottom w:val="none" w:sz="0" w:space="0" w:color="auto"/>
                            <w:right w:val="none" w:sz="0" w:space="0" w:color="auto"/>
                          </w:divBdr>
                        </w:div>
                        <w:div w:id="1448502410">
                          <w:marLeft w:val="0"/>
                          <w:marRight w:val="0"/>
                          <w:marTop w:val="0"/>
                          <w:marBottom w:val="0"/>
                          <w:divBdr>
                            <w:top w:val="none" w:sz="0" w:space="0" w:color="auto"/>
                            <w:left w:val="none" w:sz="0" w:space="0" w:color="auto"/>
                            <w:bottom w:val="none" w:sz="0" w:space="0" w:color="auto"/>
                            <w:right w:val="none" w:sz="0" w:space="0" w:color="auto"/>
                          </w:divBdr>
                        </w:div>
                      </w:divsChild>
                    </w:div>
                    <w:div w:id="2022199769">
                      <w:marLeft w:val="0"/>
                      <w:marRight w:val="0"/>
                      <w:marTop w:val="0"/>
                      <w:marBottom w:val="0"/>
                      <w:divBdr>
                        <w:top w:val="none" w:sz="0" w:space="0" w:color="auto"/>
                        <w:left w:val="none" w:sz="0" w:space="0" w:color="auto"/>
                        <w:bottom w:val="none" w:sz="0" w:space="0" w:color="auto"/>
                        <w:right w:val="none" w:sz="0" w:space="0" w:color="auto"/>
                      </w:divBdr>
                      <w:divsChild>
                        <w:div w:id="669144603">
                          <w:marLeft w:val="0"/>
                          <w:marRight w:val="0"/>
                          <w:marTop w:val="120"/>
                          <w:marBottom w:val="0"/>
                          <w:divBdr>
                            <w:top w:val="none" w:sz="0" w:space="0" w:color="auto"/>
                            <w:left w:val="none" w:sz="0" w:space="0" w:color="auto"/>
                            <w:bottom w:val="none" w:sz="0" w:space="0" w:color="auto"/>
                            <w:right w:val="none" w:sz="0" w:space="0" w:color="auto"/>
                          </w:divBdr>
                        </w:div>
                        <w:div w:id="20037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794398">
              <w:marLeft w:val="0"/>
              <w:marRight w:val="0"/>
              <w:marTop w:val="0"/>
              <w:marBottom w:val="0"/>
              <w:divBdr>
                <w:top w:val="none" w:sz="0" w:space="0" w:color="auto"/>
                <w:left w:val="none" w:sz="0" w:space="0" w:color="auto"/>
                <w:bottom w:val="none" w:sz="0" w:space="0" w:color="auto"/>
                <w:right w:val="none" w:sz="0" w:space="0" w:color="auto"/>
              </w:divBdr>
              <w:divsChild>
                <w:div w:id="519203640">
                  <w:marLeft w:val="0"/>
                  <w:marRight w:val="0"/>
                  <w:marTop w:val="0"/>
                  <w:marBottom w:val="0"/>
                  <w:divBdr>
                    <w:top w:val="none" w:sz="0" w:space="0" w:color="auto"/>
                    <w:left w:val="none" w:sz="0" w:space="0" w:color="auto"/>
                    <w:bottom w:val="none" w:sz="0" w:space="0" w:color="auto"/>
                    <w:right w:val="none" w:sz="0" w:space="0" w:color="auto"/>
                  </w:divBdr>
                </w:div>
                <w:div w:id="140779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56065807">
      <w:bodyDiv w:val="1"/>
      <w:marLeft w:val="0"/>
      <w:marRight w:val="0"/>
      <w:marTop w:val="0"/>
      <w:marBottom w:val="0"/>
      <w:divBdr>
        <w:top w:val="none" w:sz="0" w:space="0" w:color="auto"/>
        <w:left w:val="none" w:sz="0" w:space="0" w:color="auto"/>
        <w:bottom w:val="none" w:sz="0" w:space="0" w:color="auto"/>
        <w:right w:val="none" w:sz="0" w:space="0" w:color="auto"/>
      </w:divBdr>
      <w:divsChild>
        <w:div w:id="1927107844">
          <w:marLeft w:val="0"/>
          <w:marRight w:val="0"/>
          <w:marTop w:val="0"/>
          <w:marBottom w:val="0"/>
          <w:divBdr>
            <w:top w:val="none" w:sz="0" w:space="0" w:color="auto"/>
            <w:left w:val="none" w:sz="0" w:space="0" w:color="auto"/>
            <w:bottom w:val="none" w:sz="0" w:space="0" w:color="auto"/>
            <w:right w:val="none" w:sz="0" w:space="0" w:color="auto"/>
          </w:divBdr>
          <w:divsChild>
            <w:div w:id="339360695">
              <w:marLeft w:val="0"/>
              <w:marRight w:val="0"/>
              <w:marTop w:val="0"/>
              <w:marBottom w:val="0"/>
              <w:divBdr>
                <w:top w:val="none" w:sz="0" w:space="0" w:color="auto"/>
                <w:left w:val="none" w:sz="0" w:space="0" w:color="auto"/>
                <w:bottom w:val="none" w:sz="0" w:space="0" w:color="auto"/>
                <w:right w:val="none" w:sz="0" w:space="0" w:color="auto"/>
              </w:divBdr>
              <w:divsChild>
                <w:div w:id="275068365">
                  <w:marLeft w:val="0"/>
                  <w:marRight w:val="0"/>
                  <w:marTop w:val="120"/>
                  <w:marBottom w:val="0"/>
                  <w:divBdr>
                    <w:top w:val="none" w:sz="0" w:space="0" w:color="auto"/>
                    <w:left w:val="none" w:sz="0" w:space="0" w:color="auto"/>
                    <w:bottom w:val="none" w:sz="0" w:space="0" w:color="auto"/>
                    <w:right w:val="none" w:sz="0" w:space="0" w:color="auto"/>
                  </w:divBdr>
                </w:div>
                <w:div w:id="355035517">
                  <w:marLeft w:val="0"/>
                  <w:marRight w:val="0"/>
                  <w:marTop w:val="120"/>
                  <w:marBottom w:val="0"/>
                  <w:divBdr>
                    <w:top w:val="none" w:sz="0" w:space="0" w:color="auto"/>
                    <w:left w:val="none" w:sz="0" w:space="0" w:color="auto"/>
                    <w:bottom w:val="none" w:sz="0" w:space="0" w:color="auto"/>
                    <w:right w:val="none" w:sz="0" w:space="0" w:color="auto"/>
                  </w:divBdr>
                </w:div>
                <w:div w:id="10056680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63001495">
      <w:bodyDiv w:val="1"/>
      <w:marLeft w:val="0"/>
      <w:marRight w:val="0"/>
      <w:marTop w:val="0"/>
      <w:marBottom w:val="0"/>
      <w:divBdr>
        <w:top w:val="none" w:sz="0" w:space="0" w:color="auto"/>
        <w:left w:val="none" w:sz="0" w:space="0" w:color="auto"/>
        <w:bottom w:val="none" w:sz="0" w:space="0" w:color="auto"/>
        <w:right w:val="none" w:sz="0" w:space="0" w:color="auto"/>
      </w:divBdr>
      <w:divsChild>
        <w:div w:id="1143690810">
          <w:marLeft w:val="0"/>
          <w:marRight w:val="0"/>
          <w:marTop w:val="0"/>
          <w:marBottom w:val="0"/>
          <w:divBdr>
            <w:top w:val="none" w:sz="0" w:space="0" w:color="auto"/>
            <w:left w:val="none" w:sz="0" w:space="0" w:color="auto"/>
            <w:bottom w:val="none" w:sz="0" w:space="0" w:color="auto"/>
            <w:right w:val="none" w:sz="0" w:space="0" w:color="auto"/>
          </w:divBdr>
        </w:div>
      </w:divsChild>
    </w:div>
    <w:div w:id="267280940">
      <w:bodyDiv w:val="1"/>
      <w:marLeft w:val="0"/>
      <w:marRight w:val="0"/>
      <w:marTop w:val="0"/>
      <w:marBottom w:val="0"/>
      <w:divBdr>
        <w:top w:val="none" w:sz="0" w:space="0" w:color="auto"/>
        <w:left w:val="none" w:sz="0" w:space="0" w:color="auto"/>
        <w:bottom w:val="none" w:sz="0" w:space="0" w:color="auto"/>
        <w:right w:val="none" w:sz="0" w:space="0" w:color="auto"/>
      </w:divBdr>
      <w:divsChild>
        <w:div w:id="206839252">
          <w:marLeft w:val="0"/>
          <w:marRight w:val="0"/>
          <w:marTop w:val="0"/>
          <w:marBottom w:val="0"/>
          <w:divBdr>
            <w:top w:val="none" w:sz="0" w:space="0" w:color="auto"/>
            <w:left w:val="none" w:sz="0" w:space="0" w:color="auto"/>
            <w:bottom w:val="none" w:sz="0" w:space="0" w:color="auto"/>
            <w:right w:val="none" w:sz="0" w:space="0" w:color="auto"/>
          </w:divBdr>
          <w:divsChild>
            <w:div w:id="114755094">
              <w:marLeft w:val="0"/>
              <w:marRight w:val="0"/>
              <w:marTop w:val="0"/>
              <w:marBottom w:val="0"/>
              <w:divBdr>
                <w:top w:val="none" w:sz="0" w:space="0" w:color="auto"/>
                <w:left w:val="none" w:sz="0" w:space="0" w:color="auto"/>
                <w:bottom w:val="none" w:sz="0" w:space="0" w:color="auto"/>
                <w:right w:val="none" w:sz="0" w:space="0" w:color="auto"/>
              </w:divBdr>
            </w:div>
            <w:div w:id="2085831625">
              <w:marLeft w:val="0"/>
              <w:marRight w:val="0"/>
              <w:marTop w:val="120"/>
              <w:marBottom w:val="0"/>
              <w:divBdr>
                <w:top w:val="none" w:sz="0" w:space="0" w:color="auto"/>
                <w:left w:val="none" w:sz="0" w:space="0" w:color="auto"/>
                <w:bottom w:val="none" w:sz="0" w:space="0" w:color="auto"/>
                <w:right w:val="none" w:sz="0" w:space="0" w:color="auto"/>
              </w:divBdr>
            </w:div>
          </w:divsChild>
        </w:div>
        <w:div w:id="228543597">
          <w:marLeft w:val="600"/>
          <w:marRight w:val="0"/>
          <w:marTop w:val="0"/>
          <w:marBottom w:val="0"/>
          <w:divBdr>
            <w:top w:val="none" w:sz="0" w:space="0" w:color="auto"/>
            <w:left w:val="none" w:sz="0" w:space="0" w:color="auto"/>
            <w:bottom w:val="none" w:sz="0" w:space="0" w:color="auto"/>
            <w:right w:val="none" w:sz="0" w:space="0" w:color="auto"/>
          </w:divBdr>
        </w:div>
        <w:div w:id="322202151">
          <w:marLeft w:val="0"/>
          <w:marRight w:val="0"/>
          <w:marTop w:val="0"/>
          <w:marBottom w:val="0"/>
          <w:divBdr>
            <w:top w:val="none" w:sz="0" w:space="0" w:color="auto"/>
            <w:left w:val="none" w:sz="0" w:space="0" w:color="auto"/>
            <w:bottom w:val="none" w:sz="0" w:space="0" w:color="auto"/>
            <w:right w:val="none" w:sz="0" w:space="0" w:color="auto"/>
          </w:divBdr>
          <w:divsChild>
            <w:div w:id="34087769">
              <w:marLeft w:val="0"/>
              <w:marRight w:val="0"/>
              <w:marTop w:val="0"/>
              <w:marBottom w:val="0"/>
              <w:divBdr>
                <w:top w:val="none" w:sz="0" w:space="0" w:color="auto"/>
                <w:left w:val="none" w:sz="0" w:space="0" w:color="auto"/>
                <w:bottom w:val="none" w:sz="0" w:space="0" w:color="auto"/>
                <w:right w:val="none" w:sz="0" w:space="0" w:color="auto"/>
              </w:divBdr>
            </w:div>
            <w:div w:id="1681008736">
              <w:marLeft w:val="0"/>
              <w:marRight w:val="0"/>
              <w:marTop w:val="120"/>
              <w:marBottom w:val="0"/>
              <w:divBdr>
                <w:top w:val="none" w:sz="0" w:space="0" w:color="auto"/>
                <w:left w:val="none" w:sz="0" w:space="0" w:color="auto"/>
                <w:bottom w:val="none" w:sz="0" w:space="0" w:color="auto"/>
                <w:right w:val="none" w:sz="0" w:space="0" w:color="auto"/>
              </w:divBdr>
            </w:div>
          </w:divsChild>
        </w:div>
        <w:div w:id="520558917">
          <w:marLeft w:val="0"/>
          <w:marRight w:val="0"/>
          <w:marTop w:val="0"/>
          <w:marBottom w:val="0"/>
          <w:divBdr>
            <w:top w:val="none" w:sz="0" w:space="0" w:color="auto"/>
            <w:left w:val="none" w:sz="0" w:space="0" w:color="auto"/>
            <w:bottom w:val="none" w:sz="0" w:space="0" w:color="auto"/>
            <w:right w:val="none" w:sz="0" w:space="0" w:color="auto"/>
          </w:divBdr>
          <w:divsChild>
            <w:div w:id="784078760">
              <w:marLeft w:val="0"/>
              <w:marRight w:val="0"/>
              <w:marTop w:val="0"/>
              <w:marBottom w:val="0"/>
              <w:divBdr>
                <w:top w:val="none" w:sz="0" w:space="0" w:color="auto"/>
                <w:left w:val="none" w:sz="0" w:space="0" w:color="auto"/>
                <w:bottom w:val="none" w:sz="0" w:space="0" w:color="auto"/>
                <w:right w:val="none" w:sz="0" w:space="0" w:color="auto"/>
              </w:divBdr>
            </w:div>
            <w:div w:id="1302349987">
              <w:marLeft w:val="0"/>
              <w:marRight w:val="0"/>
              <w:marTop w:val="120"/>
              <w:marBottom w:val="0"/>
              <w:divBdr>
                <w:top w:val="none" w:sz="0" w:space="0" w:color="auto"/>
                <w:left w:val="none" w:sz="0" w:space="0" w:color="auto"/>
                <w:bottom w:val="none" w:sz="0" w:space="0" w:color="auto"/>
                <w:right w:val="none" w:sz="0" w:space="0" w:color="auto"/>
              </w:divBdr>
            </w:div>
          </w:divsChild>
        </w:div>
        <w:div w:id="604504491">
          <w:marLeft w:val="0"/>
          <w:marRight w:val="0"/>
          <w:marTop w:val="0"/>
          <w:marBottom w:val="0"/>
          <w:divBdr>
            <w:top w:val="none" w:sz="0" w:space="0" w:color="auto"/>
            <w:left w:val="none" w:sz="0" w:space="0" w:color="auto"/>
            <w:bottom w:val="none" w:sz="0" w:space="0" w:color="auto"/>
            <w:right w:val="none" w:sz="0" w:space="0" w:color="auto"/>
          </w:divBdr>
          <w:divsChild>
            <w:div w:id="273054321">
              <w:marLeft w:val="0"/>
              <w:marRight w:val="0"/>
              <w:marTop w:val="120"/>
              <w:marBottom w:val="0"/>
              <w:divBdr>
                <w:top w:val="none" w:sz="0" w:space="0" w:color="auto"/>
                <w:left w:val="none" w:sz="0" w:space="0" w:color="auto"/>
                <w:bottom w:val="none" w:sz="0" w:space="0" w:color="auto"/>
                <w:right w:val="none" w:sz="0" w:space="0" w:color="auto"/>
              </w:divBdr>
            </w:div>
            <w:div w:id="1742633656">
              <w:marLeft w:val="0"/>
              <w:marRight w:val="0"/>
              <w:marTop w:val="0"/>
              <w:marBottom w:val="0"/>
              <w:divBdr>
                <w:top w:val="none" w:sz="0" w:space="0" w:color="auto"/>
                <w:left w:val="none" w:sz="0" w:space="0" w:color="auto"/>
                <w:bottom w:val="none" w:sz="0" w:space="0" w:color="auto"/>
                <w:right w:val="none" w:sz="0" w:space="0" w:color="auto"/>
              </w:divBdr>
            </w:div>
          </w:divsChild>
        </w:div>
        <w:div w:id="606544333">
          <w:marLeft w:val="0"/>
          <w:marRight w:val="0"/>
          <w:marTop w:val="0"/>
          <w:marBottom w:val="0"/>
          <w:divBdr>
            <w:top w:val="none" w:sz="0" w:space="0" w:color="auto"/>
            <w:left w:val="none" w:sz="0" w:space="0" w:color="auto"/>
            <w:bottom w:val="none" w:sz="0" w:space="0" w:color="auto"/>
            <w:right w:val="none" w:sz="0" w:space="0" w:color="auto"/>
          </w:divBdr>
          <w:divsChild>
            <w:div w:id="75638651">
              <w:marLeft w:val="0"/>
              <w:marRight w:val="0"/>
              <w:marTop w:val="0"/>
              <w:marBottom w:val="0"/>
              <w:divBdr>
                <w:top w:val="none" w:sz="0" w:space="0" w:color="auto"/>
                <w:left w:val="none" w:sz="0" w:space="0" w:color="auto"/>
                <w:bottom w:val="none" w:sz="0" w:space="0" w:color="auto"/>
                <w:right w:val="none" w:sz="0" w:space="0" w:color="auto"/>
              </w:divBdr>
            </w:div>
            <w:div w:id="1329477749">
              <w:marLeft w:val="0"/>
              <w:marRight w:val="0"/>
              <w:marTop w:val="120"/>
              <w:marBottom w:val="0"/>
              <w:divBdr>
                <w:top w:val="none" w:sz="0" w:space="0" w:color="auto"/>
                <w:left w:val="none" w:sz="0" w:space="0" w:color="auto"/>
                <w:bottom w:val="none" w:sz="0" w:space="0" w:color="auto"/>
                <w:right w:val="none" w:sz="0" w:space="0" w:color="auto"/>
              </w:divBdr>
            </w:div>
          </w:divsChild>
        </w:div>
        <w:div w:id="1293636960">
          <w:marLeft w:val="0"/>
          <w:marRight w:val="0"/>
          <w:marTop w:val="0"/>
          <w:marBottom w:val="0"/>
          <w:divBdr>
            <w:top w:val="none" w:sz="0" w:space="0" w:color="auto"/>
            <w:left w:val="none" w:sz="0" w:space="0" w:color="auto"/>
            <w:bottom w:val="none" w:sz="0" w:space="0" w:color="auto"/>
            <w:right w:val="none" w:sz="0" w:space="0" w:color="auto"/>
          </w:divBdr>
          <w:divsChild>
            <w:div w:id="617835036">
              <w:marLeft w:val="0"/>
              <w:marRight w:val="0"/>
              <w:marTop w:val="0"/>
              <w:marBottom w:val="0"/>
              <w:divBdr>
                <w:top w:val="none" w:sz="0" w:space="0" w:color="auto"/>
                <w:left w:val="none" w:sz="0" w:space="0" w:color="auto"/>
                <w:bottom w:val="none" w:sz="0" w:space="0" w:color="auto"/>
                <w:right w:val="none" w:sz="0" w:space="0" w:color="auto"/>
              </w:divBdr>
            </w:div>
            <w:div w:id="2114740982">
              <w:marLeft w:val="0"/>
              <w:marRight w:val="0"/>
              <w:marTop w:val="120"/>
              <w:marBottom w:val="0"/>
              <w:divBdr>
                <w:top w:val="none" w:sz="0" w:space="0" w:color="auto"/>
                <w:left w:val="none" w:sz="0" w:space="0" w:color="auto"/>
                <w:bottom w:val="none" w:sz="0" w:space="0" w:color="auto"/>
                <w:right w:val="none" w:sz="0" w:space="0" w:color="auto"/>
              </w:divBdr>
            </w:div>
          </w:divsChild>
        </w:div>
        <w:div w:id="1338311080">
          <w:marLeft w:val="0"/>
          <w:marRight w:val="0"/>
          <w:marTop w:val="0"/>
          <w:marBottom w:val="0"/>
          <w:divBdr>
            <w:top w:val="none" w:sz="0" w:space="0" w:color="auto"/>
            <w:left w:val="none" w:sz="0" w:space="0" w:color="auto"/>
            <w:bottom w:val="none" w:sz="0" w:space="0" w:color="auto"/>
            <w:right w:val="none" w:sz="0" w:space="0" w:color="auto"/>
          </w:divBdr>
          <w:divsChild>
            <w:div w:id="292176288">
              <w:marLeft w:val="0"/>
              <w:marRight w:val="0"/>
              <w:marTop w:val="120"/>
              <w:marBottom w:val="0"/>
              <w:divBdr>
                <w:top w:val="none" w:sz="0" w:space="0" w:color="auto"/>
                <w:left w:val="none" w:sz="0" w:space="0" w:color="auto"/>
                <w:bottom w:val="none" w:sz="0" w:space="0" w:color="auto"/>
                <w:right w:val="none" w:sz="0" w:space="0" w:color="auto"/>
              </w:divBdr>
            </w:div>
            <w:div w:id="980696751">
              <w:marLeft w:val="0"/>
              <w:marRight w:val="0"/>
              <w:marTop w:val="0"/>
              <w:marBottom w:val="0"/>
              <w:divBdr>
                <w:top w:val="none" w:sz="0" w:space="0" w:color="auto"/>
                <w:left w:val="none" w:sz="0" w:space="0" w:color="auto"/>
                <w:bottom w:val="none" w:sz="0" w:space="0" w:color="auto"/>
                <w:right w:val="none" w:sz="0" w:space="0" w:color="auto"/>
              </w:divBdr>
            </w:div>
          </w:divsChild>
        </w:div>
        <w:div w:id="1372193268">
          <w:marLeft w:val="0"/>
          <w:marRight w:val="0"/>
          <w:marTop w:val="0"/>
          <w:marBottom w:val="0"/>
          <w:divBdr>
            <w:top w:val="none" w:sz="0" w:space="0" w:color="auto"/>
            <w:left w:val="none" w:sz="0" w:space="0" w:color="auto"/>
            <w:bottom w:val="none" w:sz="0" w:space="0" w:color="auto"/>
            <w:right w:val="none" w:sz="0" w:space="0" w:color="auto"/>
          </w:divBdr>
          <w:divsChild>
            <w:div w:id="46535810">
              <w:marLeft w:val="0"/>
              <w:marRight w:val="0"/>
              <w:marTop w:val="0"/>
              <w:marBottom w:val="0"/>
              <w:divBdr>
                <w:top w:val="none" w:sz="0" w:space="0" w:color="auto"/>
                <w:left w:val="none" w:sz="0" w:space="0" w:color="auto"/>
                <w:bottom w:val="none" w:sz="0" w:space="0" w:color="auto"/>
                <w:right w:val="none" w:sz="0" w:space="0" w:color="auto"/>
              </w:divBdr>
            </w:div>
            <w:div w:id="415830427">
              <w:marLeft w:val="0"/>
              <w:marRight w:val="0"/>
              <w:marTop w:val="120"/>
              <w:marBottom w:val="0"/>
              <w:divBdr>
                <w:top w:val="none" w:sz="0" w:space="0" w:color="auto"/>
                <w:left w:val="none" w:sz="0" w:space="0" w:color="auto"/>
                <w:bottom w:val="none" w:sz="0" w:space="0" w:color="auto"/>
                <w:right w:val="none" w:sz="0" w:space="0" w:color="auto"/>
              </w:divBdr>
            </w:div>
          </w:divsChild>
        </w:div>
        <w:div w:id="1383290483">
          <w:marLeft w:val="0"/>
          <w:marRight w:val="0"/>
          <w:marTop w:val="0"/>
          <w:marBottom w:val="0"/>
          <w:divBdr>
            <w:top w:val="none" w:sz="0" w:space="0" w:color="auto"/>
            <w:left w:val="none" w:sz="0" w:space="0" w:color="auto"/>
            <w:bottom w:val="none" w:sz="0" w:space="0" w:color="auto"/>
            <w:right w:val="none" w:sz="0" w:space="0" w:color="auto"/>
          </w:divBdr>
          <w:divsChild>
            <w:div w:id="1331102555">
              <w:marLeft w:val="0"/>
              <w:marRight w:val="0"/>
              <w:marTop w:val="0"/>
              <w:marBottom w:val="0"/>
              <w:divBdr>
                <w:top w:val="none" w:sz="0" w:space="0" w:color="auto"/>
                <w:left w:val="none" w:sz="0" w:space="0" w:color="auto"/>
                <w:bottom w:val="none" w:sz="0" w:space="0" w:color="auto"/>
                <w:right w:val="none" w:sz="0" w:space="0" w:color="auto"/>
              </w:divBdr>
            </w:div>
            <w:div w:id="1556893874">
              <w:marLeft w:val="0"/>
              <w:marRight w:val="0"/>
              <w:marTop w:val="120"/>
              <w:marBottom w:val="0"/>
              <w:divBdr>
                <w:top w:val="none" w:sz="0" w:space="0" w:color="auto"/>
                <w:left w:val="none" w:sz="0" w:space="0" w:color="auto"/>
                <w:bottom w:val="none" w:sz="0" w:space="0" w:color="auto"/>
                <w:right w:val="none" w:sz="0" w:space="0" w:color="auto"/>
              </w:divBdr>
            </w:div>
          </w:divsChild>
        </w:div>
        <w:div w:id="1414929982">
          <w:marLeft w:val="0"/>
          <w:marRight w:val="0"/>
          <w:marTop w:val="0"/>
          <w:marBottom w:val="0"/>
          <w:divBdr>
            <w:top w:val="none" w:sz="0" w:space="0" w:color="auto"/>
            <w:left w:val="none" w:sz="0" w:space="0" w:color="auto"/>
            <w:bottom w:val="none" w:sz="0" w:space="0" w:color="auto"/>
            <w:right w:val="none" w:sz="0" w:space="0" w:color="auto"/>
          </w:divBdr>
          <w:divsChild>
            <w:div w:id="5405667">
              <w:marLeft w:val="0"/>
              <w:marRight w:val="0"/>
              <w:marTop w:val="0"/>
              <w:marBottom w:val="0"/>
              <w:divBdr>
                <w:top w:val="none" w:sz="0" w:space="0" w:color="auto"/>
                <w:left w:val="none" w:sz="0" w:space="0" w:color="auto"/>
                <w:bottom w:val="none" w:sz="0" w:space="0" w:color="auto"/>
                <w:right w:val="none" w:sz="0" w:space="0" w:color="auto"/>
              </w:divBdr>
            </w:div>
            <w:div w:id="109134222">
              <w:marLeft w:val="0"/>
              <w:marRight w:val="0"/>
              <w:marTop w:val="120"/>
              <w:marBottom w:val="0"/>
              <w:divBdr>
                <w:top w:val="none" w:sz="0" w:space="0" w:color="auto"/>
                <w:left w:val="none" w:sz="0" w:space="0" w:color="auto"/>
                <w:bottom w:val="none" w:sz="0" w:space="0" w:color="auto"/>
                <w:right w:val="none" w:sz="0" w:space="0" w:color="auto"/>
              </w:divBdr>
            </w:div>
          </w:divsChild>
        </w:div>
        <w:div w:id="1421561551">
          <w:marLeft w:val="0"/>
          <w:marRight w:val="0"/>
          <w:marTop w:val="0"/>
          <w:marBottom w:val="0"/>
          <w:divBdr>
            <w:top w:val="none" w:sz="0" w:space="0" w:color="auto"/>
            <w:left w:val="none" w:sz="0" w:space="0" w:color="auto"/>
            <w:bottom w:val="none" w:sz="0" w:space="0" w:color="auto"/>
            <w:right w:val="none" w:sz="0" w:space="0" w:color="auto"/>
          </w:divBdr>
          <w:divsChild>
            <w:div w:id="879247157">
              <w:marLeft w:val="0"/>
              <w:marRight w:val="0"/>
              <w:marTop w:val="120"/>
              <w:marBottom w:val="0"/>
              <w:divBdr>
                <w:top w:val="none" w:sz="0" w:space="0" w:color="auto"/>
                <w:left w:val="none" w:sz="0" w:space="0" w:color="auto"/>
                <w:bottom w:val="none" w:sz="0" w:space="0" w:color="auto"/>
                <w:right w:val="none" w:sz="0" w:space="0" w:color="auto"/>
              </w:divBdr>
            </w:div>
            <w:div w:id="1977174767">
              <w:marLeft w:val="0"/>
              <w:marRight w:val="0"/>
              <w:marTop w:val="0"/>
              <w:marBottom w:val="0"/>
              <w:divBdr>
                <w:top w:val="none" w:sz="0" w:space="0" w:color="auto"/>
                <w:left w:val="none" w:sz="0" w:space="0" w:color="auto"/>
                <w:bottom w:val="none" w:sz="0" w:space="0" w:color="auto"/>
                <w:right w:val="none" w:sz="0" w:space="0" w:color="auto"/>
              </w:divBdr>
            </w:div>
          </w:divsChild>
        </w:div>
        <w:div w:id="1606419926">
          <w:marLeft w:val="600"/>
          <w:marRight w:val="0"/>
          <w:marTop w:val="0"/>
          <w:marBottom w:val="0"/>
          <w:divBdr>
            <w:top w:val="none" w:sz="0" w:space="0" w:color="auto"/>
            <w:left w:val="none" w:sz="0" w:space="0" w:color="auto"/>
            <w:bottom w:val="none" w:sz="0" w:space="0" w:color="auto"/>
            <w:right w:val="none" w:sz="0" w:space="0" w:color="auto"/>
          </w:divBdr>
        </w:div>
        <w:div w:id="1930002207">
          <w:marLeft w:val="0"/>
          <w:marRight w:val="0"/>
          <w:marTop w:val="0"/>
          <w:marBottom w:val="0"/>
          <w:divBdr>
            <w:top w:val="none" w:sz="0" w:space="0" w:color="auto"/>
            <w:left w:val="none" w:sz="0" w:space="0" w:color="auto"/>
            <w:bottom w:val="none" w:sz="0" w:space="0" w:color="auto"/>
            <w:right w:val="none" w:sz="0" w:space="0" w:color="auto"/>
          </w:divBdr>
          <w:divsChild>
            <w:div w:id="1277524927">
              <w:marLeft w:val="0"/>
              <w:marRight w:val="0"/>
              <w:marTop w:val="0"/>
              <w:marBottom w:val="0"/>
              <w:divBdr>
                <w:top w:val="none" w:sz="0" w:space="0" w:color="auto"/>
                <w:left w:val="none" w:sz="0" w:space="0" w:color="auto"/>
                <w:bottom w:val="none" w:sz="0" w:space="0" w:color="auto"/>
                <w:right w:val="none" w:sz="0" w:space="0" w:color="auto"/>
              </w:divBdr>
            </w:div>
            <w:div w:id="1992518372">
              <w:marLeft w:val="0"/>
              <w:marRight w:val="0"/>
              <w:marTop w:val="120"/>
              <w:marBottom w:val="0"/>
              <w:divBdr>
                <w:top w:val="none" w:sz="0" w:space="0" w:color="auto"/>
                <w:left w:val="none" w:sz="0" w:space="0" w:color="auto"/>
                <w:bottom w:val="none" w:sz="0" w:space="0" w:color="auto"/>
                <w:right w:val="none" w:sz="0" w:space="0" w:color="auto"/>
              </w:divBdr>
            </w:div>
          </w:divsChild>
        </w:div>
        <w:div w:id="2087267608">
          <w:marLeft w:val="600"/>
          <w:marRight w:val="0"/>
          <w:marTop w:val="0"/>
          <w:marBottom w:val="0"/>
          <w:divBdr>
            <w:top w:val="none" w:sz="0" w:space="0" w:color="auto"/>
            <w:left w:val="none" w:sz="0" w:space="0" w:color="auto"/>
            <w:bottom w:val="none" w:sz="0" w:space="0" w:color="auto"/>
            <w:right w:val="none" w:sz="0" w:space="0" w:color="auto"/>
          </w:divBdr>
        </w:div>
      </w:divsChild>
    </w:div>
    <w:div w:id="274365609">
      <w:bodyDiv w:val="1"/>
      <w:marLeft w:val="0"/>
      <w:marRight w:val="0"/>
      <w:marTop w:val="0"/>
      <w:marBottom w:val="0"/>
      <w:divBdr>
        <w:top w:val="none" w:sz="0" w:space="0" w:color="auto"/>
        <w:left w:val="none" w:sz="0" w:space="0" w:color="auto"/>
        <w:bottom w:val="none" w:sz="0" w:space="0" w:color="auto"/>
        <w:right w:val="none" w:sz="0" w:space="0" w:color="auto"/>
      </w:divBdr>
      <w:divsChild>
        <w:div w:id="232394270">
          <w:marLeft w:val="0"/>
          <w:marRight w:val="0"/>
          <w:marTop w:val="0"/>
          <w:marBottom w:val="0"/>
          <w:divBdr>
            <w:top w:val="none" w:sz="0" w:space="0" w:color="auto"/>
            <w:left w:val="none" w:sz="0" w:space="0" w:color="auto"/>
            <w:bottom w:val="none" w:sz="0" w:space="0" w:color="auto"/>
            <w:right w:val="none" w:sz="0" w:space="0" w:color="auto"/>
          </w:divBdr>
          <w:divsChild>
            <w:div w:id="2026587618">
              <w:marLeft w:val="0"/>
              <w:marRight w:val="0"/>
              <w:marTop w:val="0"/>
              <w:marBottom w:val="0"/>
              <w:divBdr>
                <w:top w:val="none" w:sz="0" w:space="0" w:color="auto"/>
                <w:left w:val="none" w:sz="0" w:space="0" w:color="auto"/>
                <w:bottom w:val="none" w:sz="0" w:space="0" w:color="auto"/>
                <w:right w:val="none" w:sz="0" w:space="0" w:color="auto"/>
              </w:divBdr>
              <w:divsChild>
                <w:div w:id="153882484">
                  <w:marLeft w:val="0"/>
                  <w:marRight w:val="0"/>
                  <w:marTop w:val="0"/>
                  <w:marBottom w:val="0"/>
                  <w:divBdr>
                    <w:top w:val="none" w:sz="0" w:space="0" w:color="auto"/>
                    <w:left w:val="none" w:sz="0" w:space="0" w:color="auto"/>
                    <w:bottom w:val="none" w:sz="0" w:space="0" w:color="auto"/>
                    <w:right w:val="none" w:sz="0" w:space="0" w:color="auto"/>
                  </w:divBdr>
                  <w:divsChild>
                    <w:div w:id="763382545">
                      <w:marLeft w:val="0"/>
                      <w:marRight w:val="0"/>
                      <w:marTop w:val="120"/>
                      <w:marBottom w:val="0"/>
                      <w:divBdr>
                        <w:top w:val="none" w:sz="0" w:space="0" w:color="auto"/>
                        <w:left w:val="none" w:sz="0" w:space="0" w:color="auto"/>
                        <w:bottom w:val="none" w:sz="0" w:space="0" w:color="auto"/>
                        <w:right w:val="none" w:sz="0" w:space="0" w:color="auto"/>
                      </w:divBdr>
                    </w:div>
                    <w:div w:id="877664848">
                      <w:marLeft w:val="0"/>
                      <w:marRight w:val="0"/>
                      <w:marTop w:val="0"/>
                      <w:marBottom w:val="0"/>
                      <w:divBdr>
                        <w:top w:val="none" w:sz="0" w:space="0" w:color="auto"/>
                        <w:left w:val="none" w:sz="0" w:space="0" w:color="auto"/>
                        <w:bottom w:val="none" w:sz="0" w:space="0" w:color="auto"/>
                        <w:right w:val="none" w:sz="0" w:space="0" w:color="auto"/>
                      </w:divBdr>
                      <w:divsChild>
                        <w:div w:id="269162802">
                          <w:marLeft w:val="0"/>
                          <w:marRight w:val="0"/>
                          <w:marTop w:val="0"/>
                          <w:marBottom w:val="0"/>
                          <w:divBdr>
                            <w:top w:val="none" w:sz="0" w:space="0" w:color="auto"/>
                            <w:left w:val="none" w:sz="0" w:space="0" w:color="auto"/>
                            <w:bottom w:val="none" w:sz="0" w:space="0" w:color="auto"/>
                            <w:right w:val="none" w:sz="0" w:space="0" w:color="auto"/>
                          </w:divBdr>
                          <w:divsChild>
                            <w:div w:id="779187117">
                              <w:marLeft w:val="0"/>
                              <w:marRight w:val="0"/>
                              <w:marTop w:val="120"/>
                              <w:marBottom w:val="0"/>
                              <w:divBdr>
                                <w:top w:val="none" w:sz="0" w:space="0" w:color="auto"/>
                                <w:left w:val="none" w:sz="0" w:space="0" w:color="auto"/>
                                <w:bottom w:val="none" w:sz="0" w:space="0" w:color="auto"/>
                                <w:right w:val="none" w:sz="0" w:space="0" w:color="auto"/>
                              </w:divBdr>
                            </w:div>
                            <w:div w:id="1829126946">
                              <w:marLeft w:val="0"/>
                              <w:marRight w:val="0"/>
                              <w:marTop w:val="0"/>
                              <w:marBottom w:val="0"/>
                              <w:divBdr>
                                <w:top w:val="none" w:sz="0" w:space="0" w:color="auto"/>
                                <w:left w:val="none" w:sz="0" w:space="0" w:color="auto"/>
                                <w:bottom w:val="none" w:sz="0" w:space="0" w:color="auto"/>
                                <w:right w:val="none" w:sz="0" w:space="0" w:color="auto"/>
                              </w:divBdr>
                            </w:div>
                          </w:divsChild>
                        </w:div>
                        <w:div w:id="1849709565">
                          <w:marLeft w:val="0"/>
                          <w:marRight w:val="0"/>
                          <w:marTop w:val="0"/>
                          <w:marBottom w:val="0"/>
                          <w:divBdr>
                            <w:top w:val="none" w:sz="0" w:space="0" w:color="auto"/>
                            <w:left w:val="none" w:sz="0" w:space="0" w:color="auto"/>
                            <w:bottom w:val="none" w:sz="0" w:space="0" w:color="auto"/>
                            <w:right w:val="none" w:sz="0" w:space="0" w:color="auto"/>
                          </w:divBdr>
                          <w:divsChild>
                            <w:div w:id="1695155824">
                              <w:marLeft w:val="0"/>
                              <w:marRight w:val="0"/>
                              <w:marTop w:val="0"/>
                              <w:marBottom w:val="0"/>
                              <w:divBdr>
                                <w:top w:val="none" w:sz="0" w:space="0" w:color="auto"/>
                                <w:left w:val="none" w:sz="0" w:space="0" w:color="auto"/>
                                <w:bottom w:val="none" w:sz="0" w:space="0" w:color="auto"/>
                                <w:right w:val="none" w:sz="0" w:space="0" w:color="auto"/>
                              </w:divBdr>
                            </w:div>
                            <w:div w:id="1996563851">
                              <w:marLeft w:val="0"/>
                              <w:marRight w:val="0"/>
                              <w:marTop w:val="120"/>
                              <w:marBottom w:val="0"/>
                              <w:divBdr>
                                <w:top w:val="none" w:sz="0" w:space="0" w:color="auto"/>
                                <w:left w:val="none" w:sz="0" w:space="0" w:color="auto"/>
                                <w:bottom w:val="none" w:sz="0" w:space="0" w:color="auto"/>
                                <w:right w:val="none" w:sz="0" w:space="0" w:color="auto"/>
                              </w:divBdr>
                            </w:div>
                          </w:divsChild>
                        </w:div>
                        <w:div w:id="2011445992">
                          <w:marLeft w:val="0"/>
                          <w:marRight w:val="0"/>
                          <w:marTop w:val="0"/>
                          <w:marBottom w:val="0"/>
                          <w:divBdr>
                            <w:top w:val="none" w:sz="0" w:space="0" w:color="auto"/>
                            <w:left w:val="none" w:sz="0" w:space="0" w:color="auto"/>
                            <w:bottom w:val="none" w:sz="0" w:space="0" w:color="auto"/>
                            <w:right w:val="none" w:sz="0" w:space="0" w:color="auto"/>
                          </w:divBdr>
                          <w:divsChild>
                            <w:div w:id="153493282">
                              <w:marLeft w:val="0"/>
                              <w:marRight w:val="0"/>
                              <w:marTop w:val="0"/>
                              <w:marBottom w:val="0"/>
                              <w:divBdr>
                                <w:top w:val="none" w:sz="0" w:space="0" w:color="auto"/>
                                <w:left w:val="none" w:sz="0" w:space="0" w:color="auto"/>
                                <w:bottom w:val="none" w:sz="0" w:space="0" w:color="auto"/>
                                <w:right w:val="none" w:sz="0" w:space="0" w:color="auto"/>
                              </w:divBdr>
                            </w:div>
                            <w:div w:id="19148524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39352103">
                  <w:marLeft w:val="0"/>
                  <w:marRight w:val="0"/>
                  <w:marTop w:val="0"/>
                  <w:marBottom w:val="0"/>
                  <w:divBdr>
                    <w:top w:val="none" w:sz="0" w:space="0" w:color="auto"/>
                    <w:left w:val="none" w:sz="0" w:space="0" w:color="auto"/>
                    <w:bottom w:val="none" w:sz="0" w:space="0" w:color="auto"/>
                    <w:right w:val="none" w:sz="0" w:space="0" w:color="auto"/>
                  </w:divBdr>
                  <w:divsChild>
                    <w:div w:id="851647313">
                      <w:marLeft w:val="0"/>
                      <w:marRight w:val="0"/>
                      <w:marTop w:val="0"/>
                      <w:marBottom w:val="0"/>
                      <w:divBdr>
                        <w:top w:val="none" w:sz="0" w:space="0" w:color="auto"/>
                        <w:left w:val="none" w:sz="0" w:space="0" w:color="auto"/>
                        <w:bottom w:val="none" w:sz="0" w:space="0" w:color="auto"/>
                        <w:right w:val="none" w:sz="0" w:space="0" w:color="auto"/>
                      </w:divBdr>
                    </w:div>
                    <w:div w:id="1415124955">
                      <w:marLeft w:val="0"/>
                      <w:marRight w:val="0"/>
                      <w:marTop w:val="120"/>
                      <w:marBottom w:val="0"/>
                      <w:divBdr>
                        <w:top w:val="none" w:sz="0" w:space="0" w:color="auto"/>
                        <w:left w:val="none" w:sz="0" w:space="0" w:color="auto"/>
                        <w:bottom w:val="none" w:sz="0" w:space="0" w:color="auto"/>
                        <w:right w:val="none" w:sz="0" w:space="0" w:color="auto"/>
                      </w:divBdr>
                    </w:div>
                  </w:divsChild>
                </w:div>
                <w:div w:id="530459284">
                  <w:marLeft w:val="0"/>
                  <w:marRight w:val="0"/>
                  <w:marTop w:val="0"/>
                  <w:marBottom w:val="0"/>
                  <w:divBdr>
                    <w:top w:val="none" w:sz="0" w:space="0" w:color="auto"/>
                    <w:left w:val="none" w:sz="0" w:space="0" w:color="auto"/>
                    <w:bottom w:val="none" w:sz="0" w:space="0" w:color="auto"/>
                    <w:right w:val="none" w:sz="0" w:space="0" w:color="auto"/>
                  </w:divBdr>
                  <w:divsChild>
                    <w:div w:id="691224381">
                      <w:marLeft w:val="0"/>
                      <w:marRight w:val="0"/>
                      <w:marTop w:val="0"/>
                      <w:marBottom w:val="0"/>
                      <w:divBdr>
                        <w:top w:val="none" w:sz="0" w:space="0" w:color="auto"/>
                        <w:left w:val="none" w:sz="0" w:space="0" w:color="auto"/>
                        <w:bottom w:val="none" w:sz="0" w:space="0" w:color="auto"/>
                        <w:right w:val="none" w:sz="0" w:space="0" w:color="auto"/>
                      </w:divBdr>
                    </w:div>
                    <w:div w:id="1467509555">
                      <w:marLeft w:val="0"/>
                      <w:marRight w:val="0"/>
                      <w:marTop w:val="120"/>
                      <w:marBottom w:val="0"/>
                      <w:divBdr>
                        <w:top w:val="none" w:sz="0" w:space="0" w:color="auto"/>
                        <w:left w:val="none" w:sz="0" w:space="0" w:color="auto"/>
                        <w:bottom w:val="none" w:sz="0" w:space="0" w:color="auto"/>
                        <w:right w:val="none" w:sz="0" w:space="0" w:color="auto"/>
                      </w:divBdr>
                    </w:div>
                  </w:divsChild>
                </w:div>
                <w:div w:id="921648913">
                  <w:marLeft w:val="0"/>
                  <w:marRight w:val="0"/>
                  <w:marTop w:val="0"/>
                  <w:marBottom w:val="0"/>
                  <w:divBdr>
                    <w:top w:val="none" w:sz="0" w:space="0" w:color="auto"/>
                    <w:left w:val="none" w:sz="0" w:space="0" w:color="auto"/>
                    <w:bottom w:val="none" w:sz="0" w:space="0" w:color="auto"/>
                    <w:right w:val="none" w:sz="0" w:space="0" w:color="auto"/>
                  </w:divBdr>
                  <w:divsChild>
                    <w:div w:id="183637088">
                      <w:marLeft w:val="0"/>
                      <w:marRight w:val="0"/>
                      <w:marTop w:val="0"/>
                      <w:marBottom w:val="0"/>
                      <w:divBdr>
                        <w:top w:val="none" w:sz="0" w:space="0" w:color="auto"/>
                        <w:left w:val="none" w:sz="0" w:space="0" w:color="auto"/>
                        <w:bottom w:val="none" w:sz="0" w:space="0" w:color="auto"/>
                        <w:right w:val="none" w:sz="0" w:space="0" w:color="auto"/>
                      </w:divBdr>
                    </w:div>
                    <w:div w:id="1672953771">
                      <w:marLeft w:val="0"/>
                      <w:marRight w:val="0"/>
                      <w:marTop w:val="120"/>
                      <w:marBottom w:val="0"/>
                      <w:divBdr>
                        <w:top w:val="none" w:sz="0" w:space="0" w:color="auto"/>
                        <w:left w:val="none" w:sz="0" w:space="0" w:color="auto"/>
                        <w:bottom w:val="none" w:sz="0" w:space="0" w:color="auto"/>
                        <w:right w:val="none" w:sz="0" w:space="0" w:color="auto"/>
                      </w:divBdr>
                    </w:div>
                  </w:divsChild>
                </w:div>
                <w:div w:id="1249387210">
                  <w:marLeft w:val="0"/>
                  <w:marRight w:val="0"/>
                  <w:marTop w:val="0"/>
                  <w:marBottom w:val="0"/>
                  <w:divBdr>
                    <w:top w:val="none" w:sz="0" w:space="0" w:color="auto"/>
                    <w:left w:val="none" w:sz="0" w:space="0" w:color="auto"/>
                    <w:bottom w:val="none" w:sz="0" w:space="0" w:color="auto"/>
                    <w:right w:val="none" w:sz="0" w:space="0" w:color="auto"/>
                  </w:divBdr>
                  <w:divsChild>
                    <w:div w:id="173303754">
                      <w:marLeft w:val="0"/>
                      <w:marRight w:val="0"/>
                      <w:marTop w:val="120"/>
                      <w:marBottom w:val="0"/>
                      <w:divBdr>
                        <w:top w:val="none" w:sz="0" w:space="0" w:color="auto"/>
                        <w:left w:val="none" w:sz="0" w:space="0" w:color="auto"/>
                        <w:bottom w:val="none" w:sz="0" w:space="0" w:color="auto"/>
                        <w:right w:val="none" w:sz="0" w:space="0" w:color="auto"/>
                      </w:divBdr>
                    </w:div>
                    <w:div w:id="1233394598">
                      <w:marLeft w:val="0"/>
                      <w:marRight w:val="0"/>
                      <w:marTop w:val="0"/>
                      <w:marBottom w:val="0"/>
                      <w:divBdr>
                        <w:top w:val="none" w:sz="0" w:space="0" w:color="auto"/>
                        <w:left w:val="none" w:sz="0" w:space="0" w:color="auto"/>
                        <w:bottom w:val="none" w:sz="0" w:space="0" w:color="auto"/>
                        <w:right w:val="none" w:sz="0" w:space="0" w:color="auto"/>
                      </w:divBdr>
                    </w:div>
                  </w:divsChild>
                </w:div>
                <w:div w:id="1589801868">
                  <w:marLeft w:val="0"/>
                  <w:marRight w:val="0"/>
                  <w:marTop w:val="0"/>
                  <w:marBottom w:val="0"/>
                  <w:divBdr>
                    <w:top w:val="none" w:sz="0" w:space="0" w:color="auto"/>
                    <w:left w:val="none" w:sz="0" w:space="0" w:color="auto"/>
                    <w:bottom w:val="none" w:sz="0" w:space="0" w:color="auto"/>
                    <w:right w:val="none" w:sz="0" w:space="0" w:color="auto"/>
                  </w:divBdr>
                  <w:divsChild>
                    <w:div w:id="105854998">
                      <w:marLeft w:val="0"/>
                      <w:marRight w:val="0"/>
                      <w:marTop w:val="120"/>
                      <w:marBottom w:val="0"/>
                      <w:divBdr>
                        <w:top w:val="none" w:sz="0" w:space="0" w:color="auto"/>
                        <w:left w:val="none" w:sz="0" w:space="0" w:color="auto"/>
                        <w:bottom w:val="none" w:sz="0" w:space="0" w:color="auto"/>
                        <w:right w:val="none" w:sz="0" w:space="0" w:color="auto"/>
                      </w:divBdr>
                    </w:div>
                    <w:div w:id="1036463393">
                      <w:marLeft w:val="0"/>
                      <w:marRight w:val="0"/>
                      <w:marTop w:val="0"/>
                      <w:marBottom w:val="0"/>
                      <w:divBdr>
                        <w:top w:val="none" w:sz="0" w:space="0" w:color="auto"/>
                        <w:left w:val="none" w:sz="0" w:space="0" w:color="auto"/>
                        <w:bottom w:val="none" w:sz="0" w:space="0" w:color="auto"/>
                        <w:right w:val="none" w:sz="0" w:space="0" w:color="auto"/>
                      </w:divBdr>
                    </w:div>
                  </w:divsChild>
                </w:div>
                <w:div w:id="1842620662">
                  <w:marLeft w:val="0"/>
                  <w:marRight w:val="0"/>
                  <w:marTop w:val="0"/>
                  <w:marBottom w:val="0"/>
                  <w:divBdr>
                    <w:top w:val="none" w:sz="0" w:space="0" w:color="auto"/>
                    <w:left w:val="none" w:sz="0" w:space="0" w:color="auto"/>
                    <w:bottom w:val="none" w:sz="0" w:space="0" w:color="auto"/>
                    <w:right w:val="none" w:sz="0" w:space="0" w:color="auto"/>
                  </w:divBdr>
                  <w:divsChild>
                    <w:div w:id="124322332">
                      <w:marLeft w:val="0"/>
                      <w:marRight w:val="0"/>
                      <w:marTop w:val="0"/>
                      <w:marBottom w:val="0"/>
                      <w:divBdr>
                        <w:top w:val="none" w:sz="0" w:space="0" w:color="auto"/>
                        <w:left w:val="none" w:sz="0" w:space="0" w:color="auto"/>
                        <w:bottom w:val="none" w:sz="0" w:space="0" w:color="auto"/>
                        <w:right w:val="none" w:sz="0" w:space="0" w:color="auto"/>
                      </w:divBdr>
                    </w:div>
                    <w:div w:id="1279409370">
                      <w:marLeft w:val="0"/>
                      <w:marRight w:val="0"/>
                      <w:marTop w:val="120"/>
                      <w:marBottom w:val="0"/>
                      <w:divBdr>
                        <w:top w:val="none" w:sz="0" w:space="0" w:color="auto"/>
                        <w:left w:val="none" w:sz="0" w:space="0" w:color="auto"/>
                        <w:bottom w:val="none" w:sz="0" w:space="0" w:color="auto"/>
                        <w:right w:val="none" w:sz="0" w:space="0" w:color="auto"/>
                      </w:divBdr>
                    </w:div>
                  </w:divsChild>
                </w:div>
                <w:div w:id="1877813743">
                  <w:marLeft w:val="0"/>
                  <w:marRight w:val="0"/>
                  <w:marTop w:val="0"/>
                  <w:marBottom w:val="0"/>
                  <w:divBdr>
                    <w:top w:val="none" w:sz="0" w:space="0" w:color="auto"/>
                    <w:left w:val="none" w:sz="0" w:space="0" w:color="auto"/>
                    <w:bottom w:val="none" w:sz="0" w:space="0" w:color="auto"/>
                    <w:right w:val="none" w:sz="0" w:space="0" w:color="auto"/>
                  </w:divBdr>
                  <w:divsChild>
                    <w:div w:id="116022578">
                      <w:marLeft w:val="0"/>
                      <w:marRight w:val="0"/>
                      <w:marTop w:val="120"/>
                      <w:marBottom w:val="0"/>
                      <w:divBdr>
                        <w:top w:val="none" w:sz="0" w:space="0" w:color="auto"/>
                        <w:left w:val="none" w:sz="0" w:space="0" w:color="auto"/>
                        <w:bottom w:val="none" w:sz="0" w:space="0" w:color="auto"/>
                        <w:right w:val="none" w:sz="0" w:space="0" w:color="auto"/>
                      </w:divBdr>
                    </w:div>
                    <w:div w:id="17224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955781">
      <w:bodyDiv w:val="1"/>
      <w:marLeft w:val="0"/>
      <w:marRight w:val="0"/>
      <w:marTop w:val="0"/>
      <w:marBottom w:val="0"/>
      <w:divBdr>
        <w:top w:val="none" w:sz="0" w:space="0" w:color="auto"/>
        <w:left w:val="none" w:sz="0" w:space="0" w:color="auto"/>
        <w:bottom w:val="none" w:sz="0" w:space="0" w:color="auto"/>
        <w:right w:val="none" w:sz="0" w:space="0" w:color="auto"/>
      </w:divBdr>
      <w:divsChild>
        <w:div w:id="1254507558">
          <w:marLeft w:val="0"/>
          <w:marRight w:val="0"/>
          <w:marTop w:val="0"/>
          <w:marBottom w:val="0"/>
          <w:divBdr>
            <w:top w:val="none" w:sz="0" w:space="0" w:color="auto"/>
            <w:left w:val="none" w:sz="0" w:space="0" w:color="auto"/>
            <w:bottom w:val="none" w:sz="0" w:space="0" w:color="auto"/>
            <w:right w:val="none" w:sz="0" w:space="0" w:color="auto"/>
          </w:divBdr>
          <w:divsChild>
            <w:div w:id="6245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18427">
      <w:bodyDiv w:val="1"/>
      <w:marLeft w:val="0"/>
      <w:marRight w:val="0"/>
      <w:marTop w:val="0"/>
      <w:marBottom w:val="0"/>
      <w:divBdr>
        <w:top w:val="none" w:sz="0" w:space="0" w:color="auto"/>
        <w:left w:val="none" w:sz="0" w:space="0" w:color="auto"/>
        <w:bottom w:val="none" w:sz="0" w:space="0" w:color="auto"/>
        <w:right w:val="none" w:sz="0" w:space="0" w:color="auto"/>
      </w:divBdr>
      <w:divsChild>
        <w:div w:id="460076586">
          <w:marLeft w:val="0"/>
          <w:marRight w:val="0"/>
          <w:marTop w:val="0"/>
          <w:marBottom w:val="0"/>
          <w:divBdr>
            <w:top w:val="none" w:sz="0" w:space="0" w:color="auto"/>
            <w:left w:val="none" w:sz="0" w:space="0" w:color="auto"/>
            <w:bottom w:val="none" w:sz="0" w:space="0" w:color="auto"/>
            <w:right w:val="none" w:sz="0" w:space="0" w:color="auto"/>
          </w:divBdr>
          <w:divsChild>
            <w:div w:id="2018727012">
              <w:marLeft w:val="0"/>
              <w:marRight w:val="0"/>
              <w:marTop w:val="0"/>
              <w:marBottom w:val="0"/>
              <w:divBdr>
                <w:top w:val="none" w:sz="0" w:space="0" w:color="auto"/>
                <w:left w:val="none" w:sz="0" w:space="0" w:color="auto"/>
                <w:bottom w:val="none" w:sz="0" w:space="0" w:color="auto"/>
                <w:right w:val="none" w:sz="0" w:space="0" w:color="auto"/>
              </w:divBdr>
            </w:div>
          </w:divsChild>
        </w:div>
        <w:div w:id="908421828">
          <w:marLeft w:val="0"/>
          <w:marRight w:val="0"/>
          <w:marTop w:val="0"/>
          <w:marBottom w:val="0"/>
          <w:divBdr>
            <w:top w:val="none" w:sz="0" w:space="0" w:color="auto"/>
            <w:left w:val="none" w:sz="0" w:space="0" w:color="auto"/>
            <w:bottom w:val="none" w:sz="0" w:space="0" w:color="auto"/>
            <w:right w:val="none" w:sz="0" w:space="0" w:color="auto"/>
          </w:divBdr>
        </w:div>
      </w:divsChild>
    </w:div>
    <w:div w:id="292560743">
      <w:bodyDiv w:val="1"/>
      <w:marLeft w:val="0"/>
      <w:marRight w:val="0"/>
      <w:marTop w:val="0"/>
      <w:marBottom w:val="0"/>
      <w:divBdr>
        <w:top w:val="none" w:sz="0" w:space="0" w:color="auto"/>
        <w:left w:val="none" w:sz="0" w:space="0" w:color="auto"/>
        <w:bottom w:val="none" w:sz="0" w:space="0" w:color="auto"/>
        <w:right w:val="none" w:sz="0" w:space="0" w:color="auto"/>
      </w:divBdr>
      <w:divsChild>
        <w:div w:id="1135178891">
          <w:marLeft w:val="0"/>
          <w:marRight w:val="0"/>
          <w:marTop w:val="0"/>
          <w:marBottom w:val="0"/>
          <w:divBdr>
            <w:top w:val="none" w:sz="0" w:space="0" w:color="auto"/>
            <w:left w:val="none" w:sz="0" w:space="0" w:color="auto"/>
            <w:bottom w:val="none" w:sz="0" w:space="0" w:color="auto"/>
            <w:right w:val="none" w:sz="0" w:space="0" w:color="auto"/>
          </w:divBdr>
          <w:divsChild>
            <w:div w:id="1439333660">
              <w:marLeft w:val="0"/>
              <w:marRight w:val="0"/>
              <w:marTop w:val="0"/>
              <w:marBottom w:val="0"/>
              <w:divBdr>
                <w:top w:val="none" w:sz="0" w:space="0" w:color="auto"/>
                <w:left w:val="none" w:sz="0" w:space="0" w:color="auto"/>
                <w:bottom w:val="none" w:sz="0" w:space="0" w:color="auto"/>
                <w:right w:val="none" w:sz="0" w:space="0" w:color="auto"/>
              </w:divBdr>
            </w:div>
          </w:divsChild>
        </w:div>
        <w:div w:id="1160582474">
          <w:marLeft w:val="0"/>
          <w:marRight w:val="0"/>
          <w:marTop w:val="0"/>
          <w:marBottom w:val="0"/>
          <w:divBdr>
            <w:top w:val="none" w:sz="0" w:space="0" w:color="auto"/>
            <w:left w:val="none" w:sz="0" w:space="0" w:color="auto"/>
            <w:bottom w:val="none" w:sz="0" w:space="0" w:color="auto"/>
            <w:right w:val="none" w:sz="0" w:space="0" w:color="auto"/>
          </w:divBdr>
        </w:div>
      </w:divsChild>
    </w:div>
    <w:div w:id="292564548">
      <w:bodyDiv w:val="1"/>
      <w:marLeft w:val="0"/>
      <w:marRight w:val="0"/>
      <w:marTop w:val="0"/>
      <w:marBottom w:val="0"/>
      <w:divBdr>
        <w:top w:val="none" w:sz="0" w:space="0" w:color="auto"/>
        <w:left w:val="none" w:sz="0" w:space="0" w:color="auto"/>
        <w:bottom w:val="none" w:sz="0" w:space="0" w:color="auto"/>
        <w:right w:val="none" w:sz="0" w:space="0" w:color="auto"/>
      </w:divBdr>
      <w:divsChild>
        <w:div w:id="1278365874">
          <w:marLeft w:val="0"/>
          <w:marRight w:val="0"/>
          <w:marTop w:val="0"/>
          <w:marBottom w:val="0"/>
          <w:divBdr>
            <w:top w:val="none" w:sz="0" w:space="0" w:color="auto"/>
            <w:left w:val="none" w:sz="0" w:space="0" w:color="auto"/>
            <w:bottom w:val="none" w:sz="0" w:space="0" w:color="auto"/>
            <w:right w:val="none" w:sz="0" w:space="0" w:color="auto"/>
          </w:divBdr>
        </w:div>
        <w:div w:id="1889032352">
          <w:marLeft w:val="0"/>
          <w:marRight w:val="0"/>
          <w:marTop w:val="0"/>
          <w:marBottom w:val="0"/>
          <w:divBdr>
            <w:top w:val="none" w:sz="0" w:space="0" w:color="auto"/>
            <w:left w:val="none" w:sz="0" w:space="0" w:color="auto"/>
            <w:bottom w:val="none" w:sz="0" w:space="0" w:color="auto"/>
            <w:right w:val="none" w:sz="0" w:space="0" w:color="auto"/>
          </w:divBdr>
          <w:divsChild>
            <w:div w:id="12705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6567">
      <w:bodyDiv w:val="1"/>
      <w:marLeft w:val="0"/>
      <w:marRight w:val="0"/>
      <w:marTop w:val="0"/>
      <w:marBottom w:val="0"/>
      <w:divBdr>
        <w:top w:val="none" w:sz="0" w:space="0" w:color="auto"/>
        <w:left w:val="none" w:sz="0" w:space="0" w:color="auto"/>
        <w:bottom w:val="none" w:sz="0" w:space="0" w:color="auto"/>
        <w:right w:val="none" w:sz="0" w:space="0" w:color="auto"/>
      </w:divBdr>
      <w:divsChild>
        <w:div w:id="1086918367">
          <w:marLeft w:val="0"/>
          <w:marRight w:val="0"/>
          <w:marTop w:val="0"/>
          <w:marBottom w:val="0"/>
          <w:divBdr>
            <w:top w:val="none" w:sz="0" w:space="0" w:color="auto"/>
            <w:left w:val="none" w:sz="0" w:space="0" w:color="auto"/>
            <w:bottom w:val="none" w:sz="0" w:space="0" w:color="auto"/>
            <w:right w:val="none" w:sz="0" w:space="0" w:color="auto"/>
          </w:divBdr>
        </w:div>
      </w:divsChild>
    </w:div>
    <w:div w:id="301692362">
      <w:bodyDiv w:val="1"/>
      <w:marLeft w:val="0"/>
      <w:marRight w:val="0"/>
      <w:marTop w:val="0"/>
      <w:marBottom w:val="0"/>
      <w:divBdr>
        <w:top w:val="none" w:sz="0" w:space="0" w:color="auto"/>
        <w:left w:val="none" w:sz="0" w:space="0" w:color="auto"/>
        <w:bottom w:val="none" w:sz="0" w:space="0" w:color="auto"/>
        <w:right w:val="none" w:sz="0" w:space="0" w:color="auto"/>
      </w:divBdr>
      <w:divsChild>
        <w:div w:id="1752576371">
          <w:marLeft w:val="0"/>
          <w:marRight w:val="0"/>
          <w:marTop w:val="0"/>
          <w:marBottom w:val="0"/>
          <w:divBdr>
            <w:top w:val="none" w:sz="0" w:space="0" w:color="auto"/>
            <w:left w:val="none" w:sz="0" w:space="0" w:color="auto"/>
            <w:bottom w:val="none" w:sz="0" w:space="0" w:color="auto"/>
            <w:right w:val="none" w:sz="0" w:space="0" w:color="auto"/>
          </w:divBdr>
          <w:divsChild>
            <w:div w:id="26150547">
              <w:marLeft w:val="0"/>
              <w:marRight w:val="0"/>
              <w:marTop w:val="0"/>
              <w:marBottom w:val="0"/>
              <w:divBdr>
                <w:top w:val="none" w:sz="0" w:space="0" w:color="auto"/>
                <w:left w:val="none" w:sz="0" w:space="0" w:color="auto"/>
                <w:bottom w:val="none" w:sz="0" w:space="0" w:color="auto"/>
                <w:right w:val="none" w:sz="0" w:space="0" w:color="auto"/>
              </w:divBdr>
              <w:divsChild>
                <w:div w:id="209264112">
                  <w:marLeft w:val="0"/>
                  <w:marRight w:val="0"/>
                  <w:marTop w:val="120"/>
                  <w:marBottom w:val="0"/>
                  <w:divBdr>
                    <w:top w:val="none" w:sz="0" w:space="0" w:color="auto"/>
                    <w:left w:val="none" w:sz="0" w:space="0" w:color="auto"/>
                    <w:bottom w:val="none" w:sz="0" w:space="0" w:color="auto"/>
                    <w:right w:val="none" w:sz="0" w:space="0" w:color="auto"/>
                  </w:divBdr>
                </w:div>
                <w:div w:id="2135324300">
                  <w:marLeft w:val="0"/>
                  <w:marRight w:val="0"/>
                  <w:marTop w:val="0"/>
                  <w:marBottom w:val="0"/>
                  <w:divBdr>
                    <w:top w:val="none" w:sz="0" w:space="0" w:color="auto"/>
                    <w:left w:val="none" w:sz="0" w:space="0" w:color="auto"/>
                    <w:bottom w:val="none" w:sz="0" w:space="0" w:color="auto"/>
                    <w:right w:val="none" w:sz="0" w:space="0" w:color="auto"/>
                  </w:divBdr>
                </w:div>
              </w:divsChild>
            </w:div>
            <w:div w:id="102579407">
              <w:marLeft w:val="0"/>
              <w:marRight w:val="0"/>
              <w:marTop w:val="0"/>
              <w:marBottom w:val="0"/>
              <w:divBdr>
                <w:top w:val="none" w:sz="0" w:space="0" w:color="auto"/>
                <w:left w:val="none" w:sz="0" w:space="0" w:color="auto"/>
                <w:bottom w:val="none" w:sz="0" w:space="0" w:color="auto"/>
                <w:right w:val="none" w:sz="0" w:space="0" w:color="auto"/>
              </w:divBdr>
              <w:divsChild>
                <w:div w:id="1694108403">
                  <w:marLeft w:val="0"/>
                  <w:marRight w:val="0"/>
                  <w:marTop w:val="0"/>
                  <w:marBottom w:val="0"/>
                  <w:divBdr>
                    <w:top w:val="none" w:sz="0" w:space="0" w:color="auto"/>
                    <w:left w:val="none" w:sz="0" w:space="0" w:color="auto"/>
                    <w:bottom w:val="none" w:sz="0" w:space="0" w:color="auto"/>
                    <w:right w:val="none" w:sz="0" w:space="0" w:color="auto"/>
                  </w:divBdr>
                </w:div>
                <w:div w:id="1722559664">
                  <w:marLeft w:val="0"/>
                  <w:marRight w:val="0"/>
                  <w:marTop w:val="120"/>
                  <w:marBottom w:val="0"/>
                  <w:divBdr>
                    <w:top w:val="none" w:sz="0" w:space="0" w:color="auto"/>
                    <w:left w:val="none" w:sz="0" w:space="0" w:color="auto"/>
                    <w:bottom w:val="none" w:sz="0" w:space="0" w:color="auto"/>
                    <w:right w:val="none" w:sz="0" w:space="0" w:color="auto"/>
                  </w:divBdr>
                </w:div>
              </w:divsChild>
            </w:div>
            <w:div w:id="139931697">
              <w:marLeft w:val="0"/>
              <w:marRight w:val="0"/>
              <w:marTop w:val="0"/>
              <w:marBottom w:val="0"/>
              <w:divBdr>
                <w:top w:val="none" w:sz="0" w:space="0" w:color="auto"/>
                <w:left w:val="none" w:sz="0" w:space="0" w:color="auto"/>
                <w:bottom w:val="none" w:sz="0" w:space="0" w:color="auto"/>
                <w:right w:val="none" w:sz="0" w:space="0" w:color="auto"/>
              </w:divBdr>
              <w:divsChild>
                <w:div w:id="430391981">
                  <w:marLeft w:val="0"/>
                  <w:marRight w:val="0"/>
                  <w:marTop w:val="0"/>
                  <w:marBottom w:val="0"/>
                  <w:divBdr>
                    <w:top w:val="none" w:sz="0" w:space="0" w:color="auto"/>
                    <w:left w:val="none" w:sz="0" w:space="0" w:color="auto"/>
                    <w:bottom w:val="none" w:sz="0" w:space="0" w:color="auto"/>
                    <w:right w:val="none" w:sz="0" w:space="0" w:color="auto"/>
                  </w:divBdr>
                </w:div>
                <w:div w:id="891892537">
                  <w:marLeft w:val="0"/>
                  <w:marRight w:val="0"/>
                  <w:marTop w:val="120"/>
                  <w:marBottom w:val="0"/>
                  <w:divBdr>
                    <w:top w:val="none" w:sz="0" w:space="0" w:color="auto"/>
                    <w:left w:val="none" w:sz="0" w:space="0" w:color="auto"/>
                    <w:bottom w:val="none" w:sz="0" w:space="0" w:color="auto"/>
                    <w:right w:val="none" w:sz="0" w:space="0" w:color="auto"/>
                  </w:divBdr>
                </w:div>
              </w:divsChild>
            </w:div>
            <w:div w:id="996810555">
              <w:marLeft w:val="0"/>
              <w:marRight w:val="0"/>
              <w:marTop w:val="0"/>
              <w:marBottom w:val="0"/>
              <w:divBdr>
                <w:top w:val="none" w:sz="0" w:space="0" w:color="auto"/>
                <w:left w:val="none" w:sz="0" w:space="0" w:color="auto"/>
                <w:bottom w:val="none" w:sz="0" w:space="0" w:color="auto"/>
                <w:right w:val="none" w:sz="0" w:space="0" w:color="auto"/>
              </w:divBdr>
              <w:divsChild>
                <w:div w:id="814298938">
                  <w:marLeft w:val="0"/>
                  <w:marRight w:val="0"/>
                  <w:marTop w:val="120"/>
                  <w:marBottom w:val="0"/>
                  <w:divBdr>
                    <w:top w:val="none" w:sz="0" w:space="0" w:color="auto"/>
                    <w:left w:val="none" w:sz="0" w:space="0" w:color="auto"/>
                    <w:bottom w:val="none" w:sz="0" w:space="0" w:color="auto"/>
                    <w:right w:val="none" w:sz="0" w:space="0" w:color="auto"/>
                  </w:divBdr>
                </w:div>
                <w:div w:id="1264455105">
                  <w:marLeft w:val="0"/>
                  <w:marRight w:val="0"/>
                  <w:marTop w:val="0"/>
                  <w:marBottom w:val="0"/>
                  <w:divBdr>
                    <w:top w:val="none" w:sz="0" w:space="0" w:color="auto"/>
                    <w:left w:val="none" w:sz="0" w:space="0" w:color="auto"/>
                    <w:bottom w:val="none" w:sz="0" w:space="0" w:color="auto"/>
                    <w:right w:val="none" w:sz="0" w:space="0" w:color="auto"/>
                  </w:divBdr>
                </w:div>
              </w:divsChild>
            </w:div>
            <w:div w:id="1043678861">
              <w:marLeft w:val="0"/>
              <w:marRight w:val="0"/>
              <w:marTop w:val="0"/>
              <w:marBottom w:val="0"/>
              <w:divBdr>
                <w:top w:val="none" w:sz="0" w:space="0" w:color="auto"/>
                <w:left w:val="none" w:sz="0" w:space="0" w:color="auto"/>
                <w:bottom w:val="none" w:sz="0" w:space="0" w:color="auto"/>
                <w:right w:val="none" w:sz="0" w:space="0" w:color="auto"/>
              </w:divBdr>
              <w:divsChild>
                <w:div w:id="667828570">
                  <w:marLeft w:val="0"/>
                  <w:marRight w:val="0"/>
                  <w:marTop w:val="120"/>
                  <w:marBottom w:val="0"/>
                  <w:divBdr>
                    <w:top w:val="none" w:sz="0" w:space="0" w:color="auto"/>
                    <w:left w:val="none" w:sz="0" w:space="0" w:color="auto"/>
                    <w:bottom w:val="none" w:sz="0" w:space="0" w:color="auto"/>
                    <w:right w:val="none" w:sz="0" w:space="0" w:color="auto"/>
                  </w:divBdr>
                </w:div>
                <w:div w:id="896359672">
                  <w:marLeft w:val="0"/>
                  <w:marRight w:val="0"/>
                  <w:marTop w:val="0"/>
                  <w:marBottom w:val="0"/>
                  <w:divBdr>
                    <w:top w:val="none" w:sz="0" w:space="0" w:color="auto"/>
                    <w:left w:val="none" w:sz="0" w:space="0" w:color="auto"/>
                    <w:bottom w:val="none" w:sz="0" w:space="0" w:color="auto"/>
                    <w:right w:val="none" w:sz="0" w:space="0" w:color="auto"/>
                  </w:divBdr>
                </w:div>
              </w:divsChild>
            </w:div>
            <w:div w:id="1306087197">
              <w:marLeft w:val="0"/>
              <w:marRight w:val="0"/>
              <w:marTop w:val="0"/>
              <w:marBottom w:val="0"/>
              <w:divBdr>
                <w:top w:val="none" w:sz="0" w:space="0" w:color="auto"/>
                <w:left w:val="none" w:sz="0" w:space="0" w:color="auto"/>
                <w:bottom w:val="none" w:sz="0" w:space="0" w:color="auto"/>
                <w:right w:val="none" w:sz="0" w:space="0" w:color="auto"/>
              </w:divBdr>
              <w:divsChild>
                <w:div w:id="1377005375">
                  <w:marLeft w:val="0"/>
                  <w:marRight w:val="0"/>
                  <w:marTop w:val="120"/>
                  <w:marBottom w:val="0"/>
                  <w:divBdr>
                    <w:top w:val="none" w:sz="0" w:space="0" w:color="auto"/>
                    <w:left w:val="none" w:sz="0" w:space="0" w:color="auto"/>
                    <w:bottom w:val="none" w:sz="0" w:space="0" w:color="auto"/>
                    <w:right w:val="none" w:sz="0" w:space="0" w:color="auto"/>
                  </w:divBdr>
                </w:div>
                <w:div w:id="1970235938">
                  <w:marLeft w:val="0"/>
                  <w:marRight w:val="0"/>
                  <w:marTop w:val="0"/>
                  <w:marBottom w:val="0"/>
                  <w:divBdr>
                    <w:top w:val="none" w:sz="0" w:space="0" w:color="auto"/>
                    <w:left w:val="none" w:sz="0" w:space="0" w:color="auto"/>
                    <w:bottom w:val="none" w:sz="0" w:space="0" w:color="auto"/>
                    <w:right w:val="none" w:sz="0" w:space="0" w:color="auto"/>
                  </w:divBdr>
                </w:div>
              </w:divsChild>
            </w:div>
            <w:div w:id="1477145701">
              <w:marLeft w:val="0"/>
              <w:marRight w:val="0"/>
              <w:marTop w:val="0"/>
              <w:marBottom w:val="0"/>
              <w:divBdr>
                <w:top w:val="none" w:sz="0" w:space="0" w:color="auto"/>
                <w:left w:val="none" w:sz="0" w:space="0" w:color="auto"/>
                <w:bottom w:val="none" w:sz="0" w:space="0" w:color="auto"/>
                <w:right w:val="none" w:sz="0" w:space="0" w:color="auto"/>
              </w:divBdr>
              <w:divsChild>
                <w:div w:id="1560478246">
                  <w:marLeft w:val="0"/>
                  <w:marRight w:val="0"/>
                  <w:marTop w:val="120"/>
                  <w:marBottom w:val="0"/>
                  <w:divBdr>
                    <w:top w:val="none" w:sz="0" w:space="0" w:color="auto"/>
                    <w:left w:val="none" w:sz="0" w:space="0" w:color="auto"/>
                    <w:bottom w:val="none" w:sz="0" w:space="0" w:color="auto"/>
                    <w:right w:val="none" w:sz="0" w:space="0" w:color="auto"/>
                  </w:divBdr>
                </w:div>
                <w:div w:id="2127919148">
                  <w:marLeft w:val="0"/>
                  <w:marRight w:val="0"/>
                  <w:marTop w:val="0"/>
                  <w:marBottom w:val="0"/>
                  <w:divBdr>
                    <w:top w:val="none" w:sz="0" w:space="0" w:color="auto"/>
                    <w:left w:val="none" w:sz="0" w:space="0" w:color="auto"/>
                    <w:bottom w:val="none" w:sz="0" w:space="0" w:color="auto"/>
                    <w:right w:val="none" w:sz="0" w:space="0" w:color="auto"/>
                  </w:divBdr>
                </w:div>
              </w:divsChild>
            </w:div>
            <w:div w:id="1733574565">
              <w:marLeft w:val="0"/>
              <w:marRight w:val="0"/>
              <w:marTop w:val="0"/>
              <w:marBottom w:val="0"/>
              <w:divBdr>
                <w:top w:val="none" w:sz="0" w:space="0" w:color="auto"/>
                <w:left w:val="none" w:sz="0" w:space="0" w:color="auto"/>
                <w:bottom w:val="none" w:sz="0" w:space="0" w:color="auto"/>
                <w:right w:val="none" w:sz="0" w:space="0" w:color="auto"/>
              </w:divBdr>
              <w:divsChild>
                <w:div w:id="1362591669">
                  <w:marLeft w:val="0"/>
                  <w:marRight w:val="0"/>
                  <w:marTop w:val="120"/>
                  <w:marBottom w:val="0"/>
                  <w:divBdr>
                    <w:top w:val="none" w:sz="0" w:space="0" w:color="auto"/>
                    <w:left w:val="none" w:sz="0" w:space="0" w:color="auto"/>
                    <w:bottom w:val="none" w:sz="0" w:space="0" w:color="auto"/>
                    <w:right w:val="none" w:sz="0" w:space="0" w:color="auto"/>
                  </w:divBdr>
                </w:div>
                <w:div w:id="1650205614">
                  <w:marLeft w:val="0"/>
                  <w:marRight w:val="0"/>
                  <w:marTop w:val="0"/>
                  <w:marBottom w:val="0"/>
                  <w:divBdr>
                    <w:top w:val="none" w:sz="0" w:space="0" w:color="auto"/>
                    <w:left w:val="none" w:sz="0" w:space="0" w:color="auto"/>
                    <w:bottom w:val="none" w:sz="0" w:space="0" w:color="auto"/>
                    <w:right w:val="none" w:sz="0" w:space="0" w:color="auto"/>
                  </w:divBdr>
                </w:div>
              </w:divsChild>
            </w:div>
            <w:div w:id="1771118041">
              <w:marLeft w:val="0"/>
              <w:marRight w:val="0"/>
              <w:marTop w:val="0"/>
              <w:marBottom w:val="0"/>
              <w:divBdr>
                <w:top w:val="none" w:sz="0" w:space="0" w:color="auto"/>
                <w:left w:val="none" w:sz="0" w:space="0" w:color="auto"/>
                <w:bottom w:val="none" w:sz="0" w:space="0" w:color="auto"/>
                <w:right w:val="none" w:sz="0" w:space="0" w:color="auto"/>
              </w:divBdr>
              <w:divsChild>
                <w:div w:id="1008948549">
                  <w:marLeft w:val="0"/>
                  <w:marRight w:val="0"/>
                  <w:marTop w:val="120"/>
                  <w:marBottom w:val="0"/>
                  <w:divBdr>
                    <w:top w:val="none" w:sz="0" w:space="0" w:color="auto"/>
                    <w:left w:val="none" w:sz="0" w:space="0" w:color="auto"/>
                    <w:bottom w:val="none" w:sz="0" w:space="0" w:color="auto"/>
                    <w:right w:val="none" w:sz="0" w:space="0" w:color="auto"/>
                  </w:divBdr>
                </w:div>
                <w:div w:id="1439184008">
                  <w:marLeft w:val="0"/>
                  <w:marRight w:val="0"/>
                  <w:marTop w:val="0"/>
                  <w:marBottom w:val="0"/>
                  <w:divBdr>
                    <w:top w:val="none" w:sz="0" w:space="0" w:color="auto"/>
                    <w:left w:val="none" w:sz="0" w:space="0" w:color="auto"/>
                    <w:bottom w:val="none" w:sz="0" w:space="0" w:color="auto"/>
                    <w:right w:val="none" w:sz="0" w:space="0" w:color="auto"/>
                  </w:divBdr>
                </w:div>
              </w:divsChild>
            </w:div>
            <w:div w:id="1826627594">
              <w:marLeft w:val="0"/>
              <w:marRight w:val="0"/>
              <w:marTop w:val="0"/>
              <w:marBottom w:val="0"/>
              <w:divBdr>
                <w:top w:val="none" w:sz="0" w:space="0" w:color="auto"/>
                <w:left w:val="none" w:sz="0" w:space="0" w:color="auto"/>
                <w:bottom w:val="none" w:sz="0" w:space="0" w:color="auto"/>
                <w:right w:val="none" w:sz="0" w:space="0" w:color="auto"/>
              </w:divBdr>
              <w:divsChild>
                <w:div w:id="579364569">
                  <w:marLeft w:val="0"/>
                  <w:marRight w:val="0"/>
                  <w:marTop w:val="120"/>
                  <w:marBottom w:val="0"/>
                  <w:divBdr>
                    <w:top w:val="none" w:sz="0" w:space="0" w:color="auto"/>
                    <w:left w:val="none" w:sz="0" w:space="0" w:color="auto"/>
                    <w:bottom w:val="none" w:sz="0" w:space="0" w:color="auto"/>
                    <w:right w:val="none" w:sz="0" w:space="0" w:color="auto"/>
                  </w:divBdr>
                </w:div>
                <w:div w:id="903956388">
                  <w:marLeft w:val="0"/>
                  <w:marRight w:val="0"/>
                  <w:marTop w:val="0"/>
                  <w:marBottom w:val="0"/>
                  <w:divBdr>
                    <w:top w:val="none" w:sz="0" w:space="0" w:color="auto"/>
                    <w:left w:val="none" w:sz="0" w:space="0" w:color="auto"/>
                    <w:bottom w:val="none" w:sz="0" w:space="0" w:color="auto"/>
                    <w:right w:val="none" w:sz="0" w:space="0" w:color="auto"/>
                  </w:divBdr>
                </w:div>
              </w:divsChild>
            </w:div>
            <w:div w:id="1840535657">
              <w:marLeft w:val="0"/>
              <w:marRight w:val="0"/>
              <w:marTop w:val="0"/>
              <w:marBottom w:val="0"/>
              <w:divBdr>
                <w:top w:val="none" w:sz="0" w:space="0" w:color="auto"/>
                <w:left w:val="none" w:sz="0" w:space="0" w:color="auto"/>
                <w:bottom w:val="none" w:sz="0" w:space="0" w:color="auto"/>
                <w:right w:val="none" w:sz="0" w:space="0" w:color="auto"/>
              </w:divBdr>
              <w:divsChild>
                <w:div w:id="291178441">
                  <w:marLeft w:val="0"/>
                  <w:marRight w:val="0"/>
                  <w:marTop w:val="120"/>
                  <w:marBottom w:val="0"/>
                  <w:divBdr>
                    <w:top w:val="none" w:sz="0" w:space="0" w:color="auto"/>
                    <w:left w:val="none" w:sz="0" w:space="0" w:color="auto"/>
                    <w:bottom w:val="none" w:sz="0" w:space="0" w:color="auto"/>
                    <w:right w:val="none" w:sz="0" w:space="0" w:color="auto"/>
                  </w:divBdr>
                </w:div>
                <w:div w:id="5908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83296">
      <w:bodyDiv w:val="1"/>
      <w:marLeft w:val="0"/>
      <w:marRight w:val="0"/>
      <w:marTop w:val="0"/>
      <w:marBottom w:val="0"/>
      <w:divBdr>
        <w:top w:val="none" w:sz="0" w:space="0" w:color="auto"/>
        <w:left w:val="none" w:sz="0" w:space="0" w:color="auto"/>
        <w:bottom w:val="none" w:sz="0" w:space="0" w:color="auto"/>
        <w:right w:val="none" w:sz="0" w:space="0" w:color="auto"/>
      </w:divBdr>
      <w:divsChild>
        <w:div w:id="978025935">
          <w:marLeft w:val="0"/>
          <w:marRight w:val="0"/>
          <w:marTop w:val="0"/>
          <w:marBottom w:val="0"/>
          <w:divBdr>
            <w:top w:val="none" w:sz="0" w:space="0" w:color="auto"/>
            <w:left w:val="none" w:sz="0" w:space="0" w:color="auto"/>
            <w:bottom w:val="none" w:sz="0" w:space="0" w:color="auto"/>
            <w:right w:val="none" w:sz="0" w:space="0" w:color="auto"/>
          </w:divBdr>
          <w:divsChild>
            <w:div w:id="208106012">
              <w:marLeft w:val="0"/>
              <w:marRight w:val="0"/>
              <w:marTop w:val="0"/>
              <w:marBottom w:val="0"/>
              <w:divBdr>
                <w:top w:val="none" w:sz="0" w:space="0" w:color="auto"/>
                <w:left w:val="none" w:sz="0" w:space="0" w:color="auto"/>
                <w:bottom w:val="none" w:sz="0" w:space="0" w:color="auto"/>
                <w:right w:val="none" w:sz="0" w:space="0" w:color="auto"/>
              </w:divBdr>
              <w:divsChild>
                <w:div w:id="13653629">
                  <w:marLeft w:val="0"/>
                  <w:marRight w:val="0"/>
                  <w:marTop w:val="0"/>
                  <w:marBottom w:val="0"/>
                  <w:divBdr>
                    <w:top w:val="none" w:sz="0" w:space="0" w:color="auto"/>
                    <w:left w:val="none" w:sz="0" w:space="0" w:color="auto"/>
                    <w:bottom w:val="none" w:sz="0" w:space="0" w:color="auto"/>
                    <w:right w:val="none" w:sz="0" w:space="0" w:color="auto"/>
                  </w:divBdr>
                  <w:divsChild>
                    <w:div w:id="728697403">
                      <w:marLeft w:val="0"/>
                      <w:marRight w:val="0"/>
                      <w:marTop w:val="0"/>
                      <w:marBottom w:val="0"/>
                      <w:divBdr>
                        <w:top w:val="none" w:sz="0" w:space="0" w:color="auto"/>
                        <w:left w:val="none" w:sz="0" w:space="0" w:color="auto"/>
                        <w:bottom w:val="none" w:sz="0" w:space="0" w:color="auto"/>
                        <w:right w:val="none" w:sz="0" w:space="0" w:color="auto"/>
                      </w:divBdr>
                    </w:div>
                    <w:div w:id="1946225072">
                      <w:marLeft w:val="0"/>
                      <w:marRight w:val="0"/>
                      <w:marTop w:val="120"/>
                      <w:marBottom w:val="0"/>
                      <w:divBdr>
                        <w:top w:val="none" w:sz="0" w:space="0" w:color="auto"/>
                        <w:left w:val="none" w:sz="0" w:space="0" w:color="auto"/>
                        <w:bottom w:val="none" w:sz="0" w:space="0" w:color="auto"/>
                        <w:right w:val="none" w:sz="0" w:space="0" w:color="auto"/>
                      </w:divBdr>
                    </w:div>
                  </w:divsChild>
                </w:div>
                <w:div w:id="313222913">
                  <w:marLeft w:val="0"/>
                  <w:marRight w:val="0"/>
                  <w:marTop w:val="0"/>
                  <w:marBottom w:val="0"/>
                  <w:divBdr>
                    <w:top w:val="none" w:sz="0" w:space="0" w:color="auto"/>
                    <w:left w:val="none" w:sz="0" w:space="0" w:color="auto"/>
                    <w:bottom w:val="none" w:sz="0" w:space="0" w:color="auto"/>
                    <w:right w:val="none" w:sz="0" w:space="0" w:color="auto"/>
                  </w:divBdr>
                  <w:divsChild>
                    <w:div w:id="672143521">
                      <w:marLeft w:val="0"/>
                      <w:marRight w:val="0"/>
                      <w:marTop w:val="120"/>
                      <w:marBottom w:val="0"/>
                      <w:divBdr>
                        <w:top w:val="none" w:sz="0" w:space="0" w:color="auto"/>
                        <w:left w:val="none" w:sz="0" w:space="0" w:color="auto"/>
                        <w:bottom w:val="none" w:sz="0" w:space="0" w:color="auto"/>
                        <w:right w:val="none" w:sz="0" w:space="0" w:color="auto"/>
                      </w:divBdr>
                    </w:div>
                    <w:div w:id="2037415512">
                      <w:marLeft w:val="0"/>
                      <w:marRight w:val="0"/>
                      <w:marTop w:val="0"/>
                      <w:marBottom w:val="0"/>
                      <w:divBdr>
                        <w:top w:val="none" w:sz="0" w:space="0" w:color="auto"/>
                        <w:left w:val="none" w:sz="0" w:space="0" w:color="auto"/>
                        <w:bottom w:val="none" w:sz="0" w:space="0" w:color="auto"/>
                        <w:right w:val="none" w:sz="0" w:space="0" w:color="auto"/>
                      </w:divBdr>
                    </w:div>
                  </w:divsChild>
                </w:div>
                <w:div w:id="560478456">
                  <w:marLeft w:val="0"/>
                  <w:marRight w:val="0"/>
                  <w:marTop w:val="0"/>
                  <w:marBottom w:val="0"/>
                  <w:divBdr>
                    <w:top w:val="none" w:sz="0" w:space="0" w:color="auto"/>
                    <w:left w:val="none" w:sz="0" w:space="0" w:color="auto"/>
                    <w:bottom w:val="none" w:sz="0" w:space="0" w:color="auto"/>
                    <w:right w:val="none" w:sz="0" w:space="0" w:color="auto"/>
                  </w:divBdr>
                  <w:divsChild>
                    <w:div w:id="1209103994">
                      <w:marLeft w:val="0"/>
                      <w:marRight w:val="0"/>
                      <w:marTop w:val="120"/>
                      <w:marBottom w:val="0"/>
                      <w:divBdr>
                        <w:top w:val="none" w:sz="0" w:space="0" w:color="auto"/>
                        <w:left w:val="none" w:sz="0" w:space="0" w:color="auto"/>
                        <w:bottom w:val="none" w:sz="0" w:space="0" w:color="auto"/>
                        <w:right w:val="none" w:sz="0" w:space="0" w:color="auto"/>
                      </w:divBdr>
                    </w:div>
                    <w:div w:id="1515725060">
                      <w:marLeft w:val="0"/>
                      <w:marRight w:val="0"/>
                      <w:marTop w:val="0"/>
                      <w:marBottom w:val="0"/>
                      <w:divBdr>
                        <w:top w:val="none" w:sz="0" w:space="0" w:color="auto"/>
                        <w:left w:val="none" w:sz="0" w:space="0" w:color="auto"/>
                        <w:bottom w:val="none" w:sz="0" w:space="0" w:color="auto"/>
                        <w:right w:val="none" w:sz="0" w:space="0" w:color="auto"/>
                      </w:divBdr>
                    </w:div>
                  </w:divsChild>
                </w:div>
                <w:div w:id="671496582">
                  <w:marLeft w:val="0"/>
                  <w:marRight w:val="0"/>
                  <w:marTop w:val="0"/>
                  <w:marBottom w:val="0"/>
                  <w:divBdr>
                    <w:top w:val="none" w:sz="0" w:space="0" w:color="auto"/>
                    <w:left w:val="none" w:sz="0" w:space="0" w:color="auto"/>
                    <w:bottom w:val="none" w:sz="0" w:space="0" w:color="auto"/>
                    <w:right w:val="none" w:sz="0" w:space="0" w:color="auto"/>
                  </w:divBdr>
                  <w:divsChild>
                    <w:div w:id="275987998">
                      <w:marLeft w:val="0"/>
                      <w:marRight w:val="0"/>
                      <w:marTop w:val="120"/>
                      <w:marBottom w:val="0"/>
                      <w:divBdr>
                        <w:top w:val="none" w:sz="0" w:space="0" w:color="auto"/>
                        <w:left w:val="none" w:sz="0" w:space="0" w:color="auto"/>
                        <w:bottom w:val="none" w:sz="0" w:space="0" w:color="auto"/>
                        <w:right w:val="none" w:sz="0" w:space="0" w:color="auto"/>
                      </w:divBdr>
                    </w:div>
                    <w:div w:id="778140188">
                      <w:marLeft w:val="0"/>
                      <w:marRight w:val="0"/>
                      <w:marTop w:val="0"/>
                      <w:marBottom w:val="0"/>
                      <w:divBdr>
                        <w:top w:val="none" w:sz="0" w:space="0" w:color="auto"/>
                        <w:left w:val="none" w:sz="0" w:space="0" w:color="auto"/>
                        <w:bottom w:val="none" w:sz="0" w:space="0" w:color="auto"/>
                        <w:right w:val="none" w:sz="0" w:space="0" w:color="auto"/>
                      </w:divBdr>
                    </w:div>
                  </w:divsChild>
                </w:div>
                <w:div w:id="1675302987">
                  <w:marLeft w:val="0"/>
                  <w:marRight w:val="0"/>
                  <w:marTop w:val="0"/>
                  <w:marBottom w:val="0"/>
                  <w:divBdr>
                    <w:top w:val="none" w:sz="0" w:space="0" w:color="auto"/>
                    <w:left w:val="none" w:sz="0" w:space="0" w:color="auto"/>
                    <w:bottom w:val="none" w:sz="0" w:space="0" w:color="auto"/>
                    <w:right w:val="none" w:sz="0" w:space="0" w:color="auto"/>
                  </w:divBdr>
                  <w:divsChild>
                    <w:div w:id="75788091">
                      <w:marLeft w:val="0"/>
                      <w:marRight w:val="0"/>
                      <w:marTop w:val="0"/>
                      <w:marBottom w:val="0"/>
                      <w:divBdr>
                        <w:top w:val="none" w:sz="0" w:space="0" w:color="auto"/>
                        <w:left w:val="none" w:sz="0" w:space="0" w:color="auto"/>
                        <w:bottom w:val="none" w:sz="0" w:space="0" w:color="auto"/>
                        <w:right w:val="none" w:sz="0" w:space="0" w:color="auto"/>
                      </w:divBdr>
                    </w:div>
                    <w:div w:id="1296063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11908636">
      <w:bodyDiv w:val="1"/>
      <w:marLeft w:val="0"/>
      <w:marRight w:val="0"/>
      <w:marTop w:val="0"/>
      <w:marBottom w:val="0"/>
      <w:divBdr>
        <w:top w:val="none" w:sz="0" w:space="0" w:color="auto"/>
        <w:left w:val="none" w:sz="0" w:space="0" w:color="auto"/>
        <w:bottom w:val="none" w:sz="0" w:space="0" w:color="auto"/>
        <w:right w:val="none" w:sz="0" w:space="0" w:color="auto"/>
      </w:divBdr>
      <w:divsChild>
        <w:div w:id="1049691587">
          <w:marLeft w:val="0"/>
          <w:marRight w:val="0"/>
          <w:marTop w:val="0"/>
          <w:marBottom w:val="0"/>
          <w:divBdr>
            <w:top w:val="none" w:sz="0" w:space="0" w:color="auto"/>
            <w:left w:val="none" w:sz="0" w:space="0" w:color="auto"/>
            <w:bottom w:val="none" w:sz="0" w:space="0" w:color="auto"/>
            <w:right w:val="none" w:sz="0" w:space="0" w:color="auto"/>
          </w:divBdr>
        </w:div>
      </w:divsChild>
    </w:div>
    <w:div w:id="316688684">
      <w:bodyDiv w:val="1"/>
      <w:marLeft w:val="0"/>
      <w:marRight w:val="0"/>
      <w:marTop w:val="0"/>
      <w:marBottom w:val="0"/>
      <w:divBdr>
        <w:top w:val="none" w:sz="0" w:space="0" w:color="auto"/>
        <w:left w:val="none" w:sz="0" w:space="0" w:color="auto"/>
        <w:bottom w:val="none" w:sz="0" w:space="0" w:color="auto"/>
        <w:right w:val="none" w:sz="0" w:space="0" w:color="auto"/>
      </w:divBdr>
      <w:divsChild>
        <w:div w:id="603732433">
          <w:marLeft w:val="0"/>
          <w:marRight w:val="0"/>
          <w:marTop w:val="0"/>
          <w:marBottom w:val="0"/>
          <w:divBdr>
            <w:top w:val="none" w:sz="0" w:space="0" w:color="auto"/>
            <w:left w:val="none" w:sz="0" w:space="0" w:color="auto"/>
            <w:bottom w:val="none" w:sz="0" w:space="0" w:color="auto"/>
            <w:right w:val="none" w:sz="0" w:space="0" w:color="auto"/>
          </w:divBdr>
        </w:div>
      </w:divsChild>
    </w:div>
    <w:div w:id="319239041">
      <w:bodyDiv w:val="1"/>
      <w:marLeft w:val="0"/>
      <w:marRight w:val="0"/>
      <w:marTop w:val="0"/>
      <w:marBottom w:val="0"/>
      <w:divBdr>
        <w:top w:val="none" w:sz="0" w:space="0" w:color="auto"/>
        <w:left w:val="none" w:sz="0" w:space="0" w:color="auto"/>
        <w:bottom w:val="none" w:sz="0" w:space="0" w:color="auto"/>
        <w:right w:val="none" w:sz="0" w:space="0" w:color="auto"/>
      </w:divBdr>
      <w:divsChild>
        <w:div w:id="1723403702">
          <w:marLeft w:val="0"/>
          <w:marRight w:val="0"/>
          <w:marTop w:val="0"/>
          <w:marBottom w:val="0"/>
          <w:divBdr>
            <w:top w:val="none" w:sz="0" w:space="0" w:color="auto"/>
            <w:left w:val="none" w:sz="0" w:space="0" w:color="auto"/>
            <w:bottom w:val="none" w:sz="0" w:space="0" w:color="auto"/>
            <w:right w:val="none" w:sz="0" w:space="0" w:color="auto"/>
          </w:divBdr>
          <w:divsChild>
            <w:div w:id="158187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9436">
      <w:bodyDiv w:val="1"/>
      <w:marLeft w:val="0"/>
      <w:marRight w:val="0"/>
      <w:marTop w:val="0"/>
      <w:marBottom w:val="0"/>
      <w:divBdr>
        <w:top w:val="none" w:sz="0" w:space="0" w:color="auto"/>
        <w:left w:val="none" w:sz="0" w:space="0" w:color="auto"/>
        <w:bottom w:val="none" w:sz="0" w:space="0" w:color="auto"/>
        <w:right w:val="none" w:sz="0" w:space="0" w:color="auto"/>
      </w:divBdr>
      <w:divsChild>
        <w:div w:id="1104767985">
          <w:marLeft w:val="0"/>
          <w:marRight w:val="0"/>
          <w:marTop w:val="0"/>
          <w:marBottom w:val="0"/>
          <w:divBdr>
            <w:top w:val="none" w:sz="0" w:space="0" w:color="auto"/>
            <w:left w:val="none" w:sz="0" w:space="0" w:color="auto"/>
            <w:bottom w:val="none" w:sz="0" w:space="0" w:color="auto"/>
            <w:right w:val="none" w:sz="0" w:space="0" w:color="auto"/>
          </w:divBdr>
          <w:divsChild>
            <w:div w:id="11145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21304">
      <w:bodyDiv w:val="1"/>
      <w:marLeft w:val="0"/>
      <w:marRight w:val="0"/>
      <w:marTop w:val="0"/>
      <w:marBottom w:val="0"/>
      <w:divBdr>
        <w:top w:val="none" w:sz="0" w:space="0" w:color="auto"/>
        <w:left w:val="none" w:sz="0" w:space="0" w:color="auto"/>
        <w:bottom w:val="none" w:sz="0" w:space="0" w:color="auto"/>
        <w:right w:val="none" w:sz="0" w:space="0" w:color="auto"/>
      </w:divBdr>
      <w:divsChild>
        <w:div w:id="166024755">
          <w:marLeft w:val="0"/>
          <w:marRight w:val="0"/>
          <w:marTop w:val="0"/>
          <w:marBottom w:val="0"/>
          <w:divBdr>
            <w:top w:val="none" w:sz="0" w:space="0" w:color="auto"/>
            <w:left w:val="none" w:sz="0" w:space="0" w:color="auto"/>
            <w:bottom w:val="none" w:sz="0" w:space="0" w:color="auto"/>
            <w:right w:val="none" w:sz="0" w:space="0" w:color="auto"/>
          </w:divBdr>
        </w:div>
      </w:divsChild>
    </w:div>
    <w:div w:id="327906306">
      <w:bodyDiv w:val="1"/>
      <w:marLeft w:val="0"/>
      <w:marRight w:val="0"/>
      <w:marTop w:val="0"/>
      <w:marBottom w:val="0"/>
      <w:divBdr>
        <w:top w:val="none" w:sz="0" w:space="0" w:color="auto"/>
        <w:left w:val="none" w:sz="0" w:space="0" w:color="auto"/>
        <w:bottom w:val="none" w:sz="0" w:space="0" w:color="auto"/>
        <w:right w:val="none" w:sz="0" w:space="0" w:color="auto"/>
      </w:divBdr>
      <w:divsChild>
        <w:div w:id="375276579">
          <w:marLeft w:val="0"/>
          <w:marRight w:val="0"/>
          <w:marTop w:val="0"/>
          <w:marBottom w:val="0"/>
          <w:divBdr>
            <w:top w:val="none" w:sz="0" w:space="0" w:color="auto"/>
            <w:left w:val="none" w:sz="0" w:space="0" w:color="auto"/>
            <w:bottom w:val="none" w:sz="0" w:space="0" w:color="auto"/>
            <w:right w:val="none" w:sz="0" w:space="0" w:color="auto"/>
          </w:divBdr>
        </w:div>
      </w:divsChild>
    </w:div>
    <w:div w:id="329522202">
      <w:bodyDiv w:val="1"/>
      <w:marLeft w:val="0"/>
      <w:marRight w:val="0"/>
      <w:marTop w:val="0"/>
      <w:marBottom w:val="0"/>
      <w:divBdr>
        <w:top w:val="none" w:sz="0" w:space="0" w:color="auto"/>
        <w:left w:val="none" w:sz="0" w:space="0" w:color="auto"/>
        <w:bottom w:val="none" w:sz="0" w:space="0" w:color="auto"/>
        <w:right w:val="none" w:sz="0" w:space="0" w:color="auto"/>
      </w:divBdr>
      <w:divsChild>
        <w:div w:id="256519035">
          <w:marLeft w:val="0"/>
          <w:marRight w:val="0"/>
          <w:marTop w:val="0"/>
          <w:marBottom w:val="0"/>
          <w:divBdr>
            <w:top w:val="none" w:sz="0" w:space="0" w:color="auto"/>
            <w:left w:val="none" w:sz="0" w:space="0" w:color="auto"/>
            <w:bottom w:val="none" w:sz="0" w:space="0" w:color="auto"/>
            <w:right w:val="none" w:sz="0" w:space="0" w:color="auto"/>
          </w:divBdr>
          <w:divsChild>
            <w:div w:id="19176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425">
      <w:bodyDiv w:val="1"/>
      <w:marLeft w:val="0"/>
      <w:marRight w:val="0"/>
      <w:marTop w:val="0"/>
      <w:marBottom w:val="0"/>
      <w:divBdr>
        <w:top w:val="none" w:sz="0" w:space="0" w:color="auto"/>
        <w:left w:val="none" w:sz="0" w:space="0" w:color="auto"/>
        <w:bottom w:val="none" w:sz="0" w:space="0" w:color="auto"/>
        <w:right w:val="none" w:sz="0" w:space="0" w:color="auto"/>
      </w:divBdr>
      <w:divsChild>
        <w:div w:id="562251178">
          <w:marLeft w:val="0"/>
          <w:marRight w:val="0"/>
          <w:marTop w:val="0"/>
          <w:marBottom w:val="0"/>
          <w:divBdr>
            <w:top w:val="none" w:sz="0" w:space="0" w:color="auto"/>
            <w:left w:val="none" w:sz="0" w:space="0" w:color="auto"/>
            <w:bottom w:val="none" w:sz="0" w:space="0" w:color="auto"/>
            <w:right w:val="none" w:sz="0" w:space="0" w:color="auto"/>
          </w:divBdr>
          <w:divsChild>
            <w:div w:id="1462264756">
              <w:marLeft w:val="0"/>
              <w:marRight w:val="0"/>
              <w:marTop w:val="0"/>
              <w:marBottom w:val="0"/>
              <w:divBdr>
                <w:top w:val="none" w:sz="0" w:space="0" w:color="auto"/>
                <w:left w:val="none" w:sz="0" w:space="0" w:color="auto"/>
                <w:bottom w:val="none" w:sz="0" w:space="0" w:color="auto"/>
                <w:right w:val="none" w:sz="0" w:space="0" w:color="auto"/>
              </w:divBdr>
            </w:div>
          </w:divsChild>
        </w:div>
        <w:div w:id="1772431660">
          <w:marLeft w:val="0"/>
          <w:marRight w:val="0"/>
          <w:marTop w:val="0"/>
          <w:marBottom w:val="0"/>
          <w:divBdr>
            <w:top w:val="none" w:sz="0" w:space="0" w:color="auto"/>
            <w:left w:val="none" w:sz="0" w:space="0" w:color="auto"/>
            <w:bottom w:val="none" w:sz="0" w:space="0" w:color="auto"/>
            <w:right w:val="none" w:sz="0" w:space="0" w:color="auto"/>
          </w:divBdr>
          <w:divsChild>
            <w:div w:id="44022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6781">
      <w:bodyDiv w:val="1"/>
      <w:marLeft w:val="0"/>
      <w:marRight w:val="0"/>
      <w:marTop w:val="0"/>
      <w:marBottom w:val="0"/>
      <w:divBdr>
        <w:top w:val="none" w:sz="0" w:space="0" w:color="auto"/>
        <w:left w:val="none" w:sz="0" w:space="0" w:color="auto"/>
        <w:bottom w:val="none" w:sz="0" w:space="0" w:color="auto"/>
        <w:right w:val="none" w:sz="0" w:space="0" w:color="auto"/>
      </w:divBdr>
      <w:divsChild>
        <w:div w:id="1544168271">
          <w:marLeft w:val="0"/>
          <w:marRight w:val="0"/>
          <w:marTop w:val="0"/>
          <w:marBottom w:val="0"/>
          <w:divBdr>
            <w:top w:val="none" w:sz="0" w:space="0" w:color="auto"/>
            <w:left w:val="none" w:sz="0" w:space="0" w:color="auto"/>
            <w:bottom w:val="none" w:sz="0" w:space="0" w:color="auto"/>
            <w:right w:val="none" w:sz="0" w:space="0" w:color="auto"/>
          </w:divBdr>
          <w:divsChild>
            <w:div w:id="790246899">
              <w:marLeft w:val="0"/>
              <w:marRight w:val="0"/>
              <w:marTop w:val="0"/>
              <w:marBottom w:val="0"/>
              <w:divBdr>
                <w:top w:val="none" w:sz="0" w:space="0" w:color="auto"/>
                <w:left w:val="none" w:sz="0" w:space="0" w:color="auto"/>
                <w:bottom w:val="none" w:sz="0" w:space="0" w:color="auto"/>
                <w:right w:val="none" w:sz="0" w:space="0" w:color="auto"/>
              </w:divBdr>
              <w:divsChild>
                <w:div w:id="240650265">
                  <w:marLeft w:val="0"/>
                  <w:marRight w:val="0"/>
                  <w:marTop w:val="120"/>
                  <w:marBottom w:val="0"/>
                  <w:divBdr>
                    <w:top w:val="none" w:sz="0" w:space="0" w:color="auto"/>
                    <w:left w:val="none" w:sz="0" w:space="0" w:color="auto"/>
                    <w:bottom w:val="none" w:sz="0" w:space="0" w:color="auto"/>
                    <w:right w:val="none" w:sz="0" w:space="0" w:color="auto"/>
                  </w:divBdr>
                </w:div>
                <w:div w:id="634336247">
                  <w:marLeft w:val="0"/>
                  <w:marRight w:val="0"/>
                  <w:marTop w:val="0"/>
                  <w:marBottom w:val="0"/>
                  <w:divBdr>
                    <w:top w:val="none" w:sz="0" w:space="0" w:color="auto"/>
                    <w:left w:val="none" w:sz="0" w:space="0" w:color="auto"/>
                    <w:bottom w:val="none" w:sz="0" w:space="0" w:color="auto"/>
                    <w:right w:val="none" w:sz="0" w:space="0" w:color="auto"/>
                  </w:divBdr>
                </w:div>
              </w:divsChild>
            </w:div>
            <w:div w:id="1069156795">
              <w:marLeft w:val="0"/>
              <w:marRight w:val="0"/>
              <w:marTop w:val="0"/>
              <w:marBottom w:val="0"/>
              <w:divBdr>
                <w:top w:val="none" w:sz="0" w:space="0" w:color="auto"/>
                <w:left w:val="none" w:sz="0" w:space="0" w:color="auto"/>
                <w:bottom w:val="none" w:sz="0" w:space="0" w:color="auto"/>
                <w:right w:val="none" w:sz="0" w:space="0" w:color="auto"/>
              </w:divBdr>
              <w:divsChild>
                <w:div w:id="104279018">
                  <w:marLeft w:val="0"/>
                  <w:marRight w:val="0"/>
                  <w:marTop w:val="0"/>
                  <w:marBottom w:val="0"/>
                  <w:divBdr>
                    <w:top w:val="none" w:sz="0" w:space="0" w:color="auto"/>
                    <w:left w:val="none" w:sz="0" w:space="0" w:color="auto"/>
                    <w:bottom w:val="none" w:sz="0" w:space="0" w:color="auto"/>
                    <w:right w:val="none" w:sz="0" w:space="0" w:color="auto"/>
                  </w:divBdr>
                </w:div>
                <w:div w:id="9147099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35965768">
      <w:bodyDiv w:val="1"/>
      <w:marLeft w:val="0"/>
      <w:marRight w:val="0"/>
      <w:marTop w:val="0"/>
      <w:marBottom w:val="0"/>
      <w:divBdr>
        <w:top w:val="none" w:sz="0" w:space="0" w:color="auto"/>
        <w:left w:val="none" w:sz="0" w:space="0" w:color="auto"/>
        <w:bottom w:val="none" w:sz="0" w:space="0" w:color="auto"/>
        <w:right w:val="none" w:sz="0" w:space="0" w:color="auto"/>
      </w:divBdr>
      <w:divsChild>
        <w:div w:id="522399481">
          <w:marLeft w:val="0"/>
          <w:marRight w:val="0"/>
          <w:marTop w:val="0"/>
          <w:marBottom w:val="0"/>
          <w:divBdr>
            <w:top w:val="none" w:sz="0" w:space="0" w:color="auto"/>
            <w:left w:val="none" w:sz="0" w:space="0" w:color="auto"/>
            <w:bottom w:val="none" w:sz="0" w:space="0" w:color="auto"/>
            <w:right w:val="none" w:sz="0" w:space="0" w:color="auto"/>
          </w:divBdr>
        </w:div>
      </w:divsChild>
    </w:div>
    <w:div w:id="339938126">
      <w:bodyDiv w:val="1"/>
      <w:marLeft w:val="0"/>
      <w:marRight w:val="0"/>
      <w:marTop w:val="0"/>
      <w:marBottom w:val="0"/>
      <w:divBdr>
        <w:top w:val="none" w:sz="0" w:space="0" w:color="auto"/>
        <w:left w:val="none" w:sz="0" w:space="0" w:color="auto"/>
        <w:bottom w:val="none" w:sz="0" w:space="0" w:color="auto"/>
        <w:right w:val="none" w:sz="0" w:space="0" w:color="auto"/>
      </w:divBdr>
      <w:divsChild>
        <w:div w:id="1752853272">
          <w:marLeft w:val="0"/>
          <w:marRight w:val="0"/>
          <w:marTop w:val="0"/>
          <w:marBottom w:val="0"/>
          <w:divBdr>
            <w:top w:val="none" w:sz="0" w:space="0" w:color="auto"/>
            <w:left w:val="none" w:sz="0" w:space="0" w:color="auto"/>
            <w:bottom w:val="none" w:sz="0" w:space="0" w:color="auto"/>
            <w:right w:val="none" w:sz="0" w:space="0" w:color="auto"/>
          </w:divBdr>
        </w:div>
      </w:divsChild>
    </w:div>
    <w:div w:id="346640766">
      <w:bodyDiv w:val="1"/>
      <w:marLeft w:val="0"/>
      <w:marRight w:val="0"/>
      <w:marTop w:val="0"/>
      <w:marBottom w:val="0"/>
      <w:divBdr>
        <w:top w:val="none" w:sz="0" w:space="0" w:color="auto"/>
        <w:left w:val="none" w:sz="0" w:space="0" w:color="auto"/>
        <w:bottom w:val="none" w:sz="0" w:space="0" w:color="auto"/>
        <w:right w:val="none" w:sz="0" w:space="0" w:color="auto"/>
      </w:divBdr>
      <w:divsChild>
        <w:div w:id="242881094">
          <w:marLeft w:val="0"/>
          <w:marRight w:val="0"/>
          <w:marTop w:val="0"/>
          <w:marBottom w:val="0"/>
          <w:divBdr>
            <w:top w:val="none" w:sz="0" w:space="0" w:color="auto"/>
            <w:left w:val="none" w:sz="0" w:space="0" w:color="auto"/>
            <w:bottom w:val="none" w:sz="0" w:space="0" w:color="auto"/>
            <w:right w:val="none" w:sz="0" w:space="0" w:color="auto"/>
          </w:divBdr>
          <w:divsChild>
            <w:div w:id="77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55992">
      <w:bodyDiv w:val="1"/>
      <w:marLeft w:val="0"/>
      <w:marRight w:val="0"/>
      <w:marTop w:val="0"/>
      <w:marBottom w:val="0"/>
      <w:divBdr>
        <w:top w:val="none" w:sz="0" w:space="0" w:color="auto"/>
        <w:left w:val="none" w:sz="0" w:space="0" w:color="auto"/>
        <w:bottom w:val="none" w:sz="0" w:space="0" w:color="auto"/>
        <w:right w:val="none" w:sz="0" w:space="0" w:color="auto"/>
      </w:divBdr>
      <w:divsChild>
        <w:div w:id="336003393">
          <w:marLeft w:val="0"/>
          <w:marRight w:val="0"/>
          <w:marTop w:val="0"/>
          <w:marBottom w:val="0"/>
          <w:divBdr>
            <w:top w:val="none" w:sz="0" w:space="0" w:color="auto"/>
            <w:left w:val="none" w:sz="0" w:space="0" w:color="auto"/>
            <w:bottom w:val="none" w:sz="0" w:space="0" w:color="auto"/>
            <w:right w:val="none" w:sz="0" w:space="0" w:color="auto"/>
          </w:divBdr>
          <w:divsChild>
            <w:div w:id="195777399">
              <w:marLeft w:val="0"/>
              <w:marRight w:val="0"/>
              <w:marTop w:val="0"/>
              <w:marBottom w:val="0"/>
              <w:divBdr>
                <w:top w:val="none" w:sz="0" w:space="0" w:color="auto"/>
                <w:left w:val="none" w:sz="0" w:space="0" w:color="auto"/>
                <w:bottom w:val="none" w:sz="0" w:space="0" w:color="auto"/>
                <w:right w:val="none" w:sz="0" w:space="0" w:color="auto"/>
              </w:divBdr>
              <w:divsChild>
                <w:div w:id="692070568">
                  <w:marLeft w:val="0"/>
                  <w:marRight w:val="0"/>
                  <w:marTop w:val="120"/>
                  <w:marBottom w:val="0"/>
                  <w:divBdr>
                    <w:top w:val="none" w:sz="0" w:space="0" w:color="auto"/>
                    <w:left w:val="none" w:sz="0" w:space="0" w:color="auto"/>
                    <w:bottom w:val="none" w:sz="0" w:space="0" w:color="auto"/>
                    <w:right w:val="none" w:sz="0" w:space="0" w:color="auto"/>
                  </w:divBdr>
                </w:div>
                <w:div w:id="1279875552">
                  <w:marLeft w:val="0"/>
                  <w:marRight w:val="0"/>
                  <w:marTop w:val="0"/>
                  <w:marBottom w:val="0"/>
                  <w:divBdr>
                    <w:top w:val="none" w:sz="0" w:space="0" w:color="auto"/>
                    <w:left w:val="none" w:sz="0" w:space="0" w:color="auto"/>
                    <w:bottom w:val="none" w:sz="0" w:space="0" w:color="auto"/>
                    <w:right w:val="none" w:sz="0" w:space="0" w:color="auto"/>
                  </w:divBdr>
                </w:div>
              </w:divsChild>
            </w:div>
            <w:div w:id="246160168">
              <w:marLeft w:val="0"/>
              <w:marRight w:val="0"/>
              <w:marTop w:val="0"/>
              <w:marBottom w:val="0"/>
              <w:divBdr>
                <w:top w:val="none" w:sz="0" w:space="0" w:color="auto"/>
                <w:left w:val="none" w:sz="0" w:space="0" w:color="auto"/>
                <w:bottom w:val="none" w:sz="0" w:space="0" w:color="auto"/>
                <w:right w:val="none" w:sz="0" w:space="0" w:color="auto"/>
              </w:divBdr>
              <w:divsChild>
                <w:div w:id="1079601299">
                  <w:marLeft w:val="0"/>
                  <w:marRight w:val="0"/>
                  <w:marTop w:val="120"/>
                  <w:marBottom w:val="0"/>
                  <w:divBdr>
                    <w:top w:val="none" w:sz="0" w:space="0" w:color="auto"/>
                    <w:left w:val="none" w:sz="0" w:space="0" w:color="auto"/>
                    <w:bottom w:val="none" w:sz="0" w:space="0" w:color="auto"/>
                    <w:right w:val="none" w:sz="0" w:space="0" w:color="auto"/>
                  </w:divBdr>
                </w:div>
                <w:div w:id="2072532701">
                  <w:marLeft w:val="0"/>
                  <w:marRight w:val="0"/>
                  <w:marTop w:val="0"/>
                  <w:marBottom w:val="0"/>
                  <w:divBdr>
                    <w:top w:val="none" w:sz="0" w:space="0" w:color="auto"/>
                    <w:left w:val="none" w:sz="0" w:space="0" w:color="auto"/>
                    <w:bottom w:val="none" w:sz="0" w:space="0" w:color="auto"/>
                    <w:right w:val="none" w:sz="0" w:space="0" w:color="auto"/>
                  </w:divBdr>
                </w:div>
              </w:divsChild>
            </w:div>
            <w:div w:id="537551236">
              <w:marLeft w:val="0"/>
              <w:marRight w:val="0"/>
              <w:marTop w:val="0"/>
              <w:marBottom w:val="0"/>
              <w:divBdr>
                <w:top w:val="none" w:sz="0" w:space="0" w:color="auto"/>
                <w:left w:val="none" w:sz="0" w:space="0" w:color="auto"/>
                <w:bottom w:val="none" w:sz="0" w:space="0" w:color="auto"/>
                <w:right w:val="none" w:sz="0" w:space="0" w:color="auto"/>
              </w:divBdr>
              <w:divsChild>
                <w:div w:id="643239811">
                  <w:marLeft w:val="0"/>
                  <w:marRight w:val="0"/>
                  <w:marTop w:val="0"/>
                  <w:marBottom w:val="0"/>
                  <w:divBdr>
                    <w:top w:val="none" w:sz="0" w:space="0" w:color="auto"/>
                    <w:left w:val="none" w:sz="0" w:space="0" w:color="auto"/>
                    <w:bottom w:val="none" w:sz="0" w:space="0" w:color="auto"/>
                    <w:right w:val="none" w:sz="0" w:space="0" w:color="auto"/>
                  </w:divBdr>
                </w:div>
                <w:div w:id="1377586389">
                  <w:marLeft w:val="0"/>
                  <w:marRight w:val="0"/>
                  <w:marTop w:val="120"/>
                  <w:marBottom w:val="0"/>
                  <w:divBdr>
                    <w:top w:val="none" w:sz="0" w:space="0" w:color="auto"/>
                    <w:left w:val="none" w:sz="0" w:space="0" w:color="auto"/>
                    <w:bottom w:val="none" w:sz="0" w:space="0" w:color="auto"/>
                    <w:right w:val="none" w:sz="0" w:space="0" w:color="auto"/>
                  </w:divBdr>
                </w:div>
              </w:divsChild>
            </w:div>
            <w:div w:id="538595238">
              <w:marLeft w:val="0"/>
              <w:marRight w:val="0"/>
              <w:marTop w:val="0"/>
              <w:marBottom w:val="0"/>
              <w:divBdr>
                <w:top w:val="none" w:sz="0" w:space="0" w:color="auto"/>
                <w:left w:val="none" w:sz="0" w:space="0" w:color="auto"/>
                <w:bottom w:val="none" w:sz="0" w:space="0" w:color="auto"/>
                <w:right w:val="none" w:sz="0" w:space="0" w:color="auto"/>
              </w:divBdr>
              <w:divsChild>
                <w:div w:id="1981884703">
                  <w:marLeft w:val="0"/>
                  <w:marRight w:val="0"/>
                  <w:marTop w:val="0"/>
                  <w:marBottom w:val="0"/>
                  <w:divBdr>
                    <w:top w:val="none" w:sz="0" w:space="0" w:color="auto"/>
                    <w:left w:val="none" w:sz="0" w:space="0" w:color="auto"/>
                    <w:bottom w:val="none" w:sz="0" w:space="0" w:color="auto"/>
                    <w:right w:val="none" w:sz="0" w:space="0" w:color="auto"/>
                  </w:divBdr>
                </w:div>
                <w:div w:id="20014184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51037664">
      <w:bodyDiv w:val="1"/>
      <w:marLeft w:val="0"/>
      <w:marRight w:val="0"/>
      <w:marTop w:val="0"/>
      <w:marBottom w:val="0"/>
      <w:divBdr>
        <w:top w:val="none" w:sz="0" w:space="0" w:color="auto"/>
        <w:left w:val="none" w:sz="0" w:space="0" w:color="auto"/>
        <w:bottom w:val="none" w:sz="0" w:space="0" w:color="auto"/>
        <w:right w:val="none" w:sz="0" w:space="0" w:color="auto"/>
      </w:divBdr>
      <w:divsChild>
        <w:div w:id="1911111168">
          <w:marLeft w:val="0"/>
          <w:marRight w:val="0"/>
          <w:marTop w:val="0"/>
          <w:marBottom w:val="0"/>
          <w:divBdr>
            <w:top w:val="none" w:sz="0" w:space="0" w:color="auto"/>
            <w:left w:val="none" w:sz="0" w:space="0" w:color="auto"/>
            <w:bottom w:val="none" w:sz="0" w:space="0" w:color="auto"/>
            <w:right w:val="none" w:sz="0" w:space="0" w:color="auto"/>
          </w:divBdr>
        </w:div>
      </w:divsChild>
    </w:div>
    <w:div w:id="353775471">
      <w:bodyDiv w:val="1"/>
      <w:marLeft w:val="0"/>
      <w:marRight w:val="0"/>
      <w:marTop w:val="0"/>
      <w:marBottom w:val="0"/>
      <w:divBdr>
        <w:top w:val="none" w:sz="0" w:space="0" w:color="auto"/>
        <w:left w:val="none" w:sz="0" w:space="0" w:color="auto"/>
        <w:bottom w:val="none" w:sz="0" w:space="0" w:color="auto"/>
        <w:right w:val="none" w:sz="0" w:space="0" w:color="auto"/>
      </w:divBdr>
      <w:divsChild>
        <w:div w:id="137381430">
          <w:marLeft w:val="0"/>
          <w:marRight w:val="0"/>
          <w:marTop w:val="0"/>
          <w:marBottom w:val="0"/>
          <w:divBdr>
            <w:top w:val="none" w:sz="0" w:space="0" w:color="auto"/>
            <w:left w:val="none" w:sz="0" w:space="0" w:color="auto"/>
            <w:bottom w:val="none" w:sz="0" w:space="0" w:color="auto"/>
            <w:right w:val="none" w:sz="0" w:space="0" w:color="auto"/>
          </w:divBdr>
          <w:divsChild>
            <w:div w:id="1255044491">
              <w:marLeft w:val="0"/>
              <w:marRight w:val="0"/>
              <w:marTop w:val="0"/>
              <w:marBottom w:val="0"/>
              <w:divBdr>
                <w:top w:val="none" w:sz="0" w:space="0" w:color="auto"/>
                <w:left w:val="none" w:sz="0" w:space="0" w:color="auto"/>
                <w:bottom w:val="none" w:sz="0" w:space="0" w:color="auto"/>
                <w:right w:val="none" w:sz="0" w:space="0" w:color="auto"/>
              </w:divBdr>
              <w:divsChild>
                <w:div w:id="105050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1167">
          <w:marLeft w:val="0"/>
          <w:marRight w:val="0"/>
          <w:marTop w:val="0"/>
          <w:marBottom w:val="0"/>
          <w:divBdr>
            <w:top w:val="none" w:sz="0" w:space="0" w:color="auto"/>
            <w:left w:val="none" w:sz="0" w:space="0" w:color="auto"/>
            <w:bottom w:val="none" w:sz="0" w:space="0" w:color="auto"/>
            <w:right w:val="none" w:sz="0" w:space="0" w:color="auto"/>
          </w:divBdr>
        </w:div>
      </w:divsChild>
    </w:div>
    <w:div w:id="354355700">
      <w:bodyDiv w:val="1"/>
      <w:marLeft w:val="0"/>
      <w:marRight w:val="0"/>
      <w:marTop w:val="0"/>
      <w:marBottom w:val="0"/>
      <w:divBdr>
        <w:top w:val="none" w:sz="0" w:space="0" w:color="auto"/>
        <w:left w:val="none" w:sz="0" w:space="0" w:color="auto"/>
        <w:bottom w:val="none" w:sz="0" w:space="0" w:color="auto"/>
        <w:right w:val="none" w:sz="0" w:space="0" w:color="auto"/>
      </w:divBdr>
      <w:divsChild>
        <w:div w:id="748385822">
          <w:marLeft w:val="0"/>
          <w:marRight w:val="0"/>
          <w:marTop w:val="0"/>
          <w:marBottom w:val="0"/>
          <w:divBdr>
            <w:top w:val="none" w:sz="0" w:space="0" w:color="auto"/>
            <w:left w:val="none" w:sz="0" w:space="0" w:color="auto"/>
            <w:bottom w:val="none" w:sz="0" w:space="0" w:color="auto"/>
            <w:right w:val="none" w:sz="0" w:space="0" w:color="auto"/>
          </w:divBdr>
          <w:divsChild>
            <w:div w:id="13778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7334">
      <w:bodyDiv w:val="1"/>
      <w:marLeft w:val="0"/>
      <w:marRight w:val="0"/>
      <w:marTop w:val="0"/>
      <w:marBottom w:val="0"/>
      <w:divBdr>
        <w:top w:val="none" w:sz="0" w:space="0" w:color="auto"/>
        <w:left w:val="none" w:sz="0" w:space="0" w:color="auto"/>
        <w:bottom w:val="none" w:sz="0" w:space="0" w:color="auto"/>
        <w:right w:val="none" w:sz="0" w:space="0" w:color="auto"/>
      </w:divBdr>
      <w:divsChild>
        <w:div w:id="2032417376">
          <w:marLeft w:val="0"/>
          <w:marRight w:val="0"/>
          <w:marTop w:val="0"/>
          <w:marBottom w:val="0"/>
          <w:divBdr>
            <w:top w:val="none" w:sz="0" w:space="0" w:color="auto"/>
            <w:left w:val="none" w:sz="0" w:space="0" w:color="auto"/>
            <w:bottom w:val="none" w:sz="0" w:space="0" w:color="auto"/>
            <w:right w:val="none" w:sz="0" w:space="0" w:color="auto"/>
          </w:divBdr>
        </w:div>
      </w:divsChild>
    </w:div>
    <w:div w:id="364058743">
      <w:bodyDiv w:val="1"/>
      <w:marLeft w:val="0"/>
      <w:marRight w:val="0"/>
      <w:marTop w:val="0"/>
      <w:marBottom w:val="0"/>
      <w:divBdr>
        <w:top w:val="none" w:sz="0" w:space="0" w:color="auto"/>
        <w:left w:val="none" w:sz="0" w:space="0" w:color="auto"/>
        <w:bottom w:val="none" w:sz="0" w:space="0" w:color="auto"/>
        <w:right w:val="none" w:sz="0" w:space="0" w:color="auto"/>
      </w:divBdr>
      <w:divsChild>
        <w:div w:id="104204282">
          <w:marLeft w:val="0"/>
          <w:marRight w:val="0"/>
          <w:marTop w:val="0"/>
          <w:marBottom w:val="0"/>
          <w:divBdr>
            <w:top w:val="none" w:sz="0" w:space="0" w:color="auto"/>
            <w:left w:val="none" w:sz="0" w:space="0" w:color="auto"/>
            <w:bottom w:val="none" w:sz="0" w:space="0" w:color="auto"/>
            <w:right w:val="none" w:sz="0" w:space="0" w:color="auto"/>
          </w:divBdr>
        </w:div>
      </w:divsChild>
    </w:div>
    <w:div w:id="367878645">
      <w:bodyDiv w:val="1"/>
      <w:marLeft w:val="0"/>
      <w:marRight w:val="0"/>
      <w:marTop w:val="0"/>
      <w:marBottom w:val="0"/>
      <w:divBdr>
        <w:top w:val="none" w:sz="0" w:space="0" w:color="auto"/>
        <w:left w:val="none" w:sz="0" w:space="0" w:color="auto"/>
        <w:bottom w:val="none" w:sz="0" w:space="0" w:color="auto"/>
        <w:right w:val="none" w:sz="0" w:space="0" w:color="auto"/>
      </w:divBdr>
      <w:divsChild>
        <w:div w:id="1522821251">
          <w:marLeft w:val="0"/>
          <w:marRight w:val="0"/>
          <w:marTop w:val="0"/>
          <w:marBottom w:val="0"/>
          <w:divBdr>
            <w:top w:val="none" w:sz="0" w:space="0" w:color="auto"/>
            <w:left w:val="none" w:sz="0" w:space="0" w:color="auto"/>
            <w:bottom w:val="none" w:sz="0" w:space="0" w:color="auto"/>
            <w:right w:val="none" w:sz="0" w:space="0" w:color="auto"/>
          </w:divBdr>
        </w:div>
      </w:divsChild>
    </w:div>
    <w:div w:id="378096514">
      <w:bodyDiv w:val="1"/>
      <w:marLeft w:val="0"/>
      <w:marRight w:val="0"/>
      <w:marTop w:val="0"/>
      <w:marBottom w:val="0"/>
      <w:divBdr>
        <w:top w:val="none" w:sz="0" w:space="0" w:color="auto"/>
        <w:left w:val="none" w:sz="0" w:space="0" w:color="auto"/>
        <w:bottom w:val="none" w:sz="0" w:space="0" w:color="auto"/>
        <w:right w:val="none" w:sz="0" w:space="0" w:color="auto"/>
      </w:divBdr>
      <w:divsChild>
        <w:div w:id="1939214104">
          <w:marLeft w:val="0"/>
          <w:marRight w:val="0"/>
          <w:marTop w:val="0"/>
          <w:marBottom w:val="0"/>
          <w:divBdr>
            <w:top w:val="none" w:sz="0" w:space="0" w:color="auto"/>
            <w:left w:val="none" w:sz="0" w:space="0" w:color="auto"/>
            <w:bottom w:val="none" w:sz="0" w:space="0" w:color="auto"/>
            <w:right w:val="none" w:sz="0" w:space="0" w:color="auto"/>
          </w:divBdr>
        </w:div>
      </w:divsChild>
    </w:div>
    <w:div w:id="391074906">
      <w:bodyDiv w:val="1"/>
      <w:marLeft w:val="0"/>
      <w:marRight w:val="0"/>
      <w:marTop w:val="0"/>
      <w:marBottom w:val="0"/>
      <w:divBdr>
        <w:top w:val="none" w:sz="0" w:space="0" w:color="auto"/>
        <w:left w:val="none" w:sz="0" w:space="0" w:color="auto"/>
        <w:bottom w:val="none" w:sz="0" w:space="0" w:color="auto"/>
        <w:right w:val="none" w:sz="0" w:space="0" w:color="auto"/>
      </w:divBdr>
      <w:divsChild>
        <w:div w:id="800459871">
          <w:marLeft w:val="0"/>
          <w:marRight w:val="0"/>
          <w:marTop w:val="0"/>
          <w:marBottom w:val="0"/>
          <w:divBdr>
            <w:top w:val="none" w:sz="0" w:space="0" w:color="auto"/>
            <w:left w:val="none" w:sz="0" w:space="0" w:color="auto"/>
            <w:bottom w:val="none" w:sz="0" w:space="0" w:color="auto"/>
            <w:right w:val="none" w:sz="0" w:space="0" w:color="auto"/>
          </w:divBdr>
          <w:divsChild>
            <w:div w:id="183598016">
              <w:marLeft w:val="0"/>
              <w:marRight w:val="0"/>
              <w:marTop w:val="0"/>
              <w:marBottom w:val="0"/>
              <w:divBdr>
                <w:top w:val="none" w:sz="0" w:space="0" w:color="auto"/>
                <w:left w:val="none" w:sz="0" w:space="0" w:color="auto"/>
                <w:bottom w:val="none" w:sz="0" w:space="0" w:color="auto"/>
                <w:right w:val="none" w:sz="0" w:space="0" w:color="auto"/>
              </w:divBdr>
            </w:div>
          </w:divsChild>
        </w:div>
        <w:div w:id="829713668">
          <w:marLeft w:val="0"/>
          <w:marRight w:val="0"/>
          <w:marTop w:val="0"/>
          <w:marBottom w:val="0"/>
          <w:divBdr>
            <w:top w:val="none" w:sz="0" w:space="0" w:color="auto"/>
            <w:left w:val="none" w:sz="0" w:space="0" w:color="auto"/>
            <w:bottom w:val="none" w:sz="0" w:space="0" w:color="auto"/>
            <w:right w:val="none" w:sz="0" w:space="0" w:color="auto"/>
          </w:divBdr>
          <w:divsChild>
            <w:div w:id="699819120">
              <w:marLeft w:val="0"/>
              <w:marRight w:val="0"/>
              <w:marTop w:val="0"/>
              <w:marBottom w:val="0"/>
              <w:divBdr>
                <w:top w:val="none" w:sz="0" w:space="0" w:color="auto"/>
                <w:left w:val="none" w:sz="0" w:space="0" w:color="auto"/>
                <w:bottom w:val="none" w:sz="0" w:space="0" w:color="auto"/>
                <w:right w:val="none" w:sz="0" w:space="0" w:color="auto"/>
              </w:divBdr>
            </w:div>
          </w:divsChild>
        </w:div>
        <w:div w:id="1980454708">
          <w:marLeft w:val="0"/>
          <w:marRight w:val="0"/>
          <w:marTop w:val="0"/>
          <w:marBottom w:val="0"/>
          <w:divBdr>
            <w:top w:val="none" w:sz="0" w:space="0" w:color="auto"/>
            <w:left w:val="none" w:sz="0" w:space="0" w:color="auto"/>
            <w:bottom w:val="none" w:sz="0" w:space="0" w:color="auto"/>
            <w:right w:val="none" w:sz="0" w:space="0" w:color="auto"/>
          </w:divBdr>
          <w:divsChild>
            <w:div w:id="1837920854">
              <w:marLeft w:val="0"/>
              <w:marRight w:val="0"/>
              <w:marTop w:val="0"/>
              <w:marBottom w:val="0"/>
              <w:divBdr>
                <w:top w:val="none" w:sz="0" w:space="0" w:color="auto"/>
                <w:left w:val="none" w:sz="0" w:space="0" w:color="auto"/>
                <w:bottom w:val="none" w:sz="0" w:space="0" w:color="auto"/>
                <w:right w:val="none" w:sz="0" w:space="0" w:color="auto"/>
              </w:divBdr>
            </w:div>
          </w:divsChild>
        </w:div>
        <w:div w:id="2045053588">
          <w:marLeft w:val="0"/>
          <w:marRight w:val="0"/>
          <w:marTop w:val="0"/>
          <w:marBottom w:val="0"/>
          <w:divBdr>
            <w:top w:val="none" w:sz="0" w:space="0" w:color="auto"/>
            <w:left w:val="none" w:sz="0" w:space="0" w:color="auto"/>
            <w:bottom w:val="none" w:sz="0" w:space="0" w:color="auto"/>
            <w:right w:val="none" w:sz="0" w:space="0" w:color="auto"/>
          </w:divBdr>
          <w:divsChild>
            <w:div w:id="165263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3418">
      <w:bodyDiv w:val="1"/>
      <w:marLeft w:val="0"/>
      <w:marRight w:val="0"/>
      <w:marTop w:val="0"/>
      <w:marBottom w:val="0"/>
      <w:divBdr>
        <w:top w:val="none" w:sz="0" w:space="0" w:color="auto"/>
        <w:left w:val="none" w:sz="0" w:space="0" w:color="auto"/>
        <w:bottom w:val="none" w:sz="0" w:space="0" w:color="auto"/>
        <w:right w:val="none" w:sz="0" w:space="0" w:color="auto"/>
      </w:divBdr>
      <w:divsChild>
        <w:div w:id="1963149578">
          <w:marLeft w:val="0"/>
          <w:marRight w:val="0"/>
          <w:marTop w:val="0"/>
          <w:marBottom w:val="0"/>
          <w:divBdr>
            <w:top w:val="none" w:sz="0" w:space="0" w:color="auto"/>
            <w:left w:val="none" w:sz="0" w:space="0" w:color="auto"/>
            <w:bottom w:val="none" w:sz="0" w:space="0" w:color="auto"/>
            <w:right w:val="none" w:sz="0" w:space="0" w:color="auto"/>
          </w:divBdr>
          <w:divsChild>
            <w:div w:id="383333064">
              <w:marLeft w:val="0"/>
              <w:marRight w:val="0"/>
              <w:marTop w:val="120"/>
              <w:marBottom w:val="0"/>
              <w:divBdr>
                <w:top w:val="none" w:sz="0" w:space="0" w:color="auto"/>
                <w:left w:val="none" w:sz="0" w:space="0" w:color="auto"/>
                <w:bottom w:val="none" w:sz="0" w:space="0" w:color="auto"/>
                <w:right w:val="none" w:sz="0" w:space="0" w:color="auto"/>
              </w:divBdr>
            </w:div>
            <w:div w:id="664089455">
              <w:marLeft w:val="0"/>
              <w:marRight w:val="0"/>
              <w:marTop w:val="120"/>
              <w:marBottom w:val="0"/>
              <w:divBdr>
                <w:top w:val="none" w:sz="0" w:space="0" w:color="auto"/>
                <w:left w:val="none" w:sz="0" w:space="0" w:color="auto"/>
                <w:bottom w:val="none" w:sz="0" w:space="0" w:color="auto"/>
                <w:right w:val="none" w:sz="0" w:space="0" w:color="auto"/>
              </w:divBdr>
            </w:div>
            <w:div w:id="9667390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99982773">
      <w:bodyDiv w:val="1"/>
      <w:marLeft w:val="0"/>
      <w:marRight w:val="0"/>
      <w:marTop w:val="0"/>
      <w:marBottom w:val="0"/>
      <w:divBdr>
        <w:top w:val="none" w:sz="0" w:space="0" w:color="auto"/>
        <w:left w:val="none" w:sz="0" w:space="0" w:color="auto"/>
        <w:bottom w:val="none" w:sz="0" w:space="0" w:color="auto"/>
        <w:right w:val="none" w:sz="0" w:space="0" w:color="auto"/>
      </w:divBdr>
      <w:divsChild>
        <w:div w:id="138966358">
          <w:marLeft w:val="0"/>
          <w:marRight w:val="0"/>
          <w:marTop w:val="0"/>
          <w:marBottom w:val="0"/>
          <w:divBdr>
            <w:top w:val="none" w:sz="0" w:space="0" w:color="auto"/>
            <w:left w:val="none" w:sz="0" w:space="0" w:color="auto"/>
            <w:bottom w:val="none" w:sz="0" w:space="0" w:color="auto"/>
            <w:right w:val="none" w:sz="0" w:space="0" w:color="auto"/>
          </w:divBdr>
          <w:divsChild>
            <w:div w:id="84035726">
              <w:marLeft w:val="0"/>
              <w:marRight w:val="0"/>
              <w:marTop w:val="0"/>
              <w:marBottom w:val="0"/>
              <w:divBdr>
                <w:top w:val="none" w:sz="0" w:space="0" w:color="auto"/>
                <w:left w:val="none" w:sz="0" w:space="0" w:color="auto"/>
                <w:bottom w:val="none" w:sz="0" w:space="0" w:color="auto"/>
                <w:right w:val="none" w:sz="0" w:space="0" w:color="auto"/>
              </w:divBdr>
              <w:divsChild>
                <w:div w:id="137035780">
                  <w:marLeft w:val="0"/>
                  <w:marRight w:val="0"/>
                  <w:marTop w:val="120"/>
                  <w:marBottom w:val="0"/>
                  <w:divBdr>
                    <w:top w:val="none" w:sz="0" w:space="0" w:color="auto"/>
                    <w:left w:val="none" w:sz="0" w:space="0" w:color="auto"/>
                    <w:bottom w:val="none" w:sz="0" w:space="0" w:color="auto"/>
                    <w:right w:val="none" w:sz="0" w:space="0" w:color="auto"/>
                  </w:divBdr>
                </w:div>
                <w:div w:id="403338088">
                  <w:marLeft w:val="0"/>
                  <w:marRight w:val="0"/>
                  <w:marTop w:val="0"/>
                  <w:marBottom w:val="0"/>
                  <w:divBdr>
                    <w:top w:val="none" w:sz="0" w:space="0" w:color="auto"/>
                    <w:left w:val="none" w:sz="0" w:space="0" w:color="auto"/>
                    <w:bottom w:val="none" w:sz="0" w:space="0" w:color="auto"/>
                    <w:right w:val="none" w:sz="0" w:space="0" w:color="auto"/>
                  </w:divBdr>
                </w:div>
              </w:divsChild>
            </w:div>
            <w:div w:id="208491623">
              <w:marLeft w:val="0"/>
              <w:marRight w:val="0"/>
              <w:marTop w:val="0"/>
              <w:marBottom w:val="0"/>
              <w:divBdr>
                <w:top w:val="none" w:sz="0" w:space="0" w:color="auto"/>
                <w:left w:val="none" w:sz="0" w:space="0" w:color="auto"/>
                <w:bottom w:val="none" w:sz="0" w:space="0" w:color="auto"/>
                <w:right w:val="none" w:sz="0" w:space="0" w:color="auto"/>
              </w:divBdr>
              <w:divsChild>
                <w:div w:id="706757339">
                  <w:marLeft w:val="0"/>
                  <w:marRight w:val="0"/>
                  <w:marTop w:val="120"/>
                  <w:marBottom w:val="0"/>
                  <w:divBdr>
                    <w:top w:val="none" w:sz="0" w:space="0" w:color="auto"/>
                    <w:left w:val="none" w:sz="0" w:space="0" w:color="auto"/>
                    <w:bottom w:val="none" w:sz="0" w:space="0" w:color="auto"/>
                    <w:right w:val="none" w:sz="0" w:space="0" w:color="auto"/>
                  </w:divBdr>
                </w:div>
                <w:div w:id="1553230896">
                  <w:marLeft w:val="0"/>
                  <w:marRight w:val="0"/>
                  <w:marTop w:val="0"/>
                  <w:marBottom w:val="0"/>
                  <w:divBdr>
                    <w:top w:val="none" w:sz="0" w:space="0" w:color="auto"/>
                    <w:left w:val="none" w:sz="0" w:space="0" w:color="auto"/>
                    <w:bottom w:val="none" w:sz="0" w:space="0" w:color="auto"/>
                    <w:right w:val="none" w:sz="0" w:space="0" w:color="auto"/>
                  </w:divBdr>
                </w:div>
              </w:divsChild>
            </w:div>
            <w:div w:id="326136064">
              <w:marLeft w:val="0"/>
              <w:marRight w:val="0"/>
              <w:marTop w:val="0"/>
              <w:marBottom w:val="0"/>
              <w:divBdr>
                <w:top w:val="none" w:sz="0" w:space="0" w:color="auto"/>
                <w:left w:val="none" w:sz="0" w:space="0" w:color="auto"/>
                <w:bottom w:val="none" w:sz="0" w:space="0" w:color="auto"/>
                <w:right w:val="none" w:sz="0" w:space="0" w:color="auto"/>
              </w:divBdr>
              <w:divsChild>
                <w:div w:id="994796588">
                  <w:marLeft w:val="0"/>
                  <w:marRight w:val="0"/>
                  <w:marTop w:val="0"/>
                  <w:marBottom w:val="0"/>
                  <w:divBdr>
                    <w:top w:val="none" w:sz="0" w:space="0" w:color="auto"/>
                    <w:left w:val="none" w:sz="0" w:space="0" w:color="auto"/>
                    <w:bottom w:val="none" w:sz="0" w:space="0" w:color="auto"/>
                    <w:right w:val="none" w:sz="0" w:space="0" w:color="auto"/>
                  </w:divBdr>
                </w:div>
                <w:div w:id="1048383667">
                  <w:marLeft w:val="0"/>
                  <w:marRight w:val="0"/>
                  <w:marTop w:val="120"/>
                  <w:marBottom w:val="0"/>
                  <w:divBdr>
                    <w:top w:val="none" w:sz="0" w:space="0" w:color="auto"/>
                    <w:left w:val="none" w:sz="0" w:space="0" w:color="auto"/>
                    <w:bottom w:val="none" w:sz="0" w:space="0" w:color="auto"/>
                    <w:right w:val="none" w:sz="0" w:space="0" w:color="auto"/>
                  </w:divBdr>
                </w:div>
              </w:divsChild>
            </w:div>
            <w:div w:id="695735111">
              <w:marLeft w:val="0"/>
              <w:marRight w:val="0"/>
              <w:marTop w:val="0"/>
              <w:marBottom w:val="0"/>
              <w:divBdr>
                <w:top w:val="none" w:sz="0" w:space="0" w:color="auto"/>
                <w:left w:val="none" w:sz="0" w:space="0" w:color="auto"/>
                <w:bottom w:val="none" w:sz="0" w:space="0" w:color="auto"/>
                <w:right w:val="none" w:sz="0" w:space="0" w:color="auto"/>
              </w:divBdr>
              <w:divsChild>
                <w:div w:id="1070929986">
                  <w:marLeft w:val="0"/>
                  <w:marRight w:val="0"/>
                  <w:marTop w:val="0"/>
                  <w:marBottom w:val="0"/>
                  <w:divBdr>
                    <w:top w:val="none" w:sz="0" w:space="0" w:color="auto"/>
                    <w:left w:val="none" w:sz="0" w:space="0" w:color="auto"/>
                    <w:bottom w:val="none" w:sz="0" w:space="0" w:color="auto"/>
                    <w:right w:val="none" w:sz="0" w:space="0" w:color="auto"/>
                  </w:divBdr>
                </w:div>
                <w:div w:id="1874465381">
                  <w:marLeft w:val="0"/>
                  <w:marRight w:val="0"/>
                  <w:marTop w:val="120"/>
                  <w:marBottom w:val="0"/>
                  <w:divBdr>
                    <w:top w:val="none" w:sz="0" w:space="0" w:color="auto"/>
                    <w:left w:val="none" w:sz="0" w:space="0" w:color="auto"/>
                    <w:bottom w:val="none" w:sz="0" w:space="0" w:color="auto"/>
                    <w:right w:val="none" w:sz="0" w:space="0" w:color="auto"/>
                  </w:divBdr>
                </w:div>
              </w:divsChild>
            </w:div>
            <w:div w:id="731008454">
              <w:marLeft w:val="0"/>
              <w:marRight w:val="0"/>
              <w:marTop w:val="0"/>
              <w:marBottom w:val="0"/>
              <w:divBdr>
                <w:top w:val="none" w:sz="0" w:space="0" w:color="auto"/>
                <w:left w:val="none" w:sz="0" w:space="0" w:color="auto"/>
                <w:bottom w:val="none" w:sz="0" w:space="0" w:color="auto"/>
                <w:right w:val="none" w:sz="0" w:space="0" w:color="auto"/>
              </w:divBdr>
              <w:divsChild>
                <w:div w:id="1750467712">
                  <w:marLeft w:val="0"/>
                  <w:marRight w:val="0"/>
                  <w:marTop w:val="0"/>
                  <w:marBottom w:val="0"/>
                  <w:divBdr>
                    <w:top w:val="none" w:sz="0" w:space="0" w:color="auto"/>
                    <w:left w:val="none" w:sz="0" w:space="0" w:color="auto"/>
                    <w:bottom w:val="none" w:sz="0" w:space="0" w:color="auto"/>
                    <w:right w:val="none" w:sz="0" w:space="0" w:color="auto"/>
                  </w:divBdr>
                </w:div>
                <w:div w:id="2075273782">
                  <w:marLeft w:val="0"/>
                  <w:marRight w:val="0"/>
                  <w:marTop w:val="120"/>
                  <w:marBottom w:val="0"/>
                  <w:divBdr>
                    <w:top w:val="none" w:sz="0" w:space="0" w:color="auto"/>
                    <w:left w:val="none" w:sz="0" w:space="0" w:color="auto"/>
                    <w:bottom w:val="none" w:sz="0" w:space="0" w:color="auto"/>
                    <w:right w:val="none" w:sz="0" w:space="0" w:color="auto"/>
                  </w:divBdr>
                </w:div>
              </w:divsChild>
            </w:div>
            <w:div w:id="882600412">
              <w:marLeft w:val="0"/>
              <w:marRight w:val="0"/>
              <w:marTop w:val="0"/>
              <w:marBottom w:val="0"/>
              <w:divBdr>
                <w:top w:val="none" w:sz="0" w:space="0" w:color="auto"/>
                <w:left w:val="none" w:sz="0" w:space="0" w:color="auto"/>
                <w:bottom w:val="none" w:sz="0" w:space="0" w:color="auto"/>
                <w:right w:val="none" w:sz="0" w:space="0" w:color="auto"/>
              </w:divBdr>
              <w:divsChild>
                <w:div w:id="296689260">
                  <w:marLeft w:val="0"/>
                  <w:marRight w:val="0"/>
                  <w:marTop w:val="120"/>
                  <w:marBottom w:val="0"/>
                  <w:divBdr>
                    <w:top w:val="none" w:sz="0" w:space="0" w:color="auto"/>
                    <w:left w:val="none" w:sz="0" w:space="0" w:color="auto"/>
                    <w:bottom w:val="none" w:sz="0" w:space="0" w:color="auto"/>
                    <w:right w:val="none" w:sz="0" w:space="0" w:color="auto"/>
                  </w:divBdr>
                </w:div>
                <w:div w:id="807940878">
                  <w:marLeft w:val="0"/>
                  <w:marRight w:val="0"/>
                  <w:marTop w:val="0"/>
                  <w:marBottom w:val="0"/>
                  <w:divBdr>
                    <w:top w:val="none" w:sz="0" w:space="0" w:color="auto"/>
                    <w:left w:val="none" w:sz="0" w:space="0" w:color="auto"/>
                    <w:bottom w:val="none" w:sz="0" w:space="0" w:color="auto"/>
                    <w:right w:val="none" w:sz="0" w:space="0" w:color="auto"/>
                  </w:divBdr>
                </w:div>
              </w:divsChild>
            </w:div>
            <w:div w:id="987629245">
              <w:marLeft w:val="0"/>
              <w:marRight w:val="0"/>
              <w:marTop w:val="0"/>
              <w:marBottom w:val="0"/>
              <w:divBdr>
                <w:top w:val="none" w:sz="0" w:space="0" w:color="auto"/>
                <w:left w:val="none" w:sz="0" w:space="0" w:color="auto"/>
                <w:bottom w:val="none" w:sz="0" w:space="0" w:color="auto"/>
                <w:right w:val="none" w:sz="0" w:space="0" w:color="auto"/>
              </w:divBdr>
              <w:divsChild>
                <w:div w:id="659890306">
                  <w:marLeft w:val="0"/>
                  <w:marRight w:val="0"/>
                  <w:marTop w:val="120"/>
                  <w:marBottom w:val="0"/>
                  <w:divBdr>
                    <w:top w:val="none" w:sz="0" w:space="0" w:color="auto"/>
                    <w:left w:val="none" w:sz="0" w:space="0" w:color="auto"/>
                    <w:bottom w:val="none" w:sz="0" w:space="0" w:color="auto"/>
                    <w:right w:val="none" w:sz="0" w:space="0" w:color="auto"/>
                  </w:divBdr>
                </w:div>
                <w:div w:id="743453631">
                  <w:marLeft w:val="0"/>
                  <w:marRight w:val="0"/>
                  <w:marTop w:val="0"/>
                  <w:marBottom w:val="0"/>
                  <w:divBdr>
                    <w:top w:val="none" w:sz="0" w:space="0" w:color="auto"/>
                    <w:left w:val="none" w:sz="0" w:space="0" w:color="auto"/>
                    <w:bottom w:val="none" w:sz="0" w:space="0" w:color="auto"/>
                    <w:right w:val="none" w:sz="0" w:space="0" w:color="auto"/>
                  </w:divBdr>
                </w:div>
              </w:divsChild>
            </w:div>
            <w:div w:id="2060471931">
              <w:marLeft w:val="0"/>
              <w:marRight w:val="0"/>
              <w:marTop w:val="0"/>
              <w:marBottom w:val="0"/>
              <w:divBdr>
                <w:top w:val="none" w:sz="0" w:space="0" w:color="auto"/>
                <w:left w:val="none" w:sz="0" w:space="0" w:color="auto"/>
                <w:bottom w:val="none" w:sz="0" w:space="0" w:color="auto"/>
                <w:right w:val="none" w:sz="0" w:space="0" w:color="auto"/>
              </w:divBdr>
              <w:divsChild>
                <w:div w:id="141891405">
                  <w:marLeft w:val="0"/>
                  <w:marRight w:val="0"/>
                  <w:marTop w:val="0"/>
                  <w:marBottom w:val="0"/>
                  <w:divBdr>
                    <w:top w:val="none" w:sz="0" w:space="0" w:color="auto"/>
                    <w:left w:val="none" w:sz="0" w:space="0" w:color="auto"/>
                    <w:bottom w:val="none" w:sz="0" w:space="0" w:color="auto"/>
                    <w:right w:val="none" w:sz="0" w:space="0" w:color="auto"/>
                  </w:divBdr>
                </w:div>
                <w:div w:id="14524328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02407841">
      <w:bodyDiv w:val="1"/>
      <w:marLeft w:val="0"/>
      <w:marRight w:val="0"/>
      <w:marTop w:val="0"/>
      <w:marBottom w:val="0"/>
      <w:divBdr>
        <w:top w:val="none" w:sz="0" w:space="0" w:color="auto"/>
        <w:left w:val="none" w:sz="0" w:space="0" w:color="auto"/>
        <w:bottom w:val="none" w:sz="0" w:space="0" w:color="auto"/>
        <w:right w:val="none" w:sz="0" w:space="0" w:color="auto"/>
      </w:divBdr>
      <w:divsChild>
        <w:div w:id="67725997">
          <w:marLeft w:val="0"/>
          <w:marRight w:val="0"/>
          <w:marTop w:val="0"/>
          <w:marBottom w:val="0"/>
          <w:divBdr>
            <w:top w:val="none" w:sz="0" w:space="0" w:color="auto"/>
            <w:left w:val="none" w:sz="0" w:space="0" w:color="auto"/>
            <w:bottom w:val="none" w:sz="0" w:space="0" w:color="auto"/>
            <w:right w:val="none" w:sz="0" w:space="0" w:color="auto"/>
          </w:divBdr>
          <w:divsChild>
            <w:div w:id="1103957160">
              <w:marLeft w:val="0"/>
              <w:marRight w:val="0"/>
              <w:marTop w:val="0"/>
              <w:marBottom w:val="0"/>
              <w:divBdr>
                <w:top w:val="none" w:sz="0" w:space="0" w:color="auto"/>
                <w:left w:val="none" w:sz="0" w:space="0" w:color="auto"/>
                <w:bottom w:val="none" w:sz="0" w:space="0" w:color="auto"/>
                <w:right w:val="none" w:sz="0" w:space="0" w:color="auto"/>
              </w:divBdr>
            </w:div>
          </w:divsChild>
        </w:div>
        <w:div w:id="891306217">
          <w:marLeft w:val="0"/>
          <w:marRight w:val="0"/>
          <w:marTop w:val="0"/>
          <w:marBottom w:val="0"/>
          <w:divBdr>
            <w:top w:val="none" w:sz="0" w:space="0" w:color="auto"/>
            <w:left w:val="none" w:sz="0" w:space="0" w:color="auto"/>
            <w:bottom w:val="none" w:sz="0" w:space="0" w:color="auto"/>
            <w:right w:val="none" w:sz="0" w:space="0" w:color="auto"/>
          </w:divBdr>
          <w:divsChild>
            <w:div w:id="898511937">
              <w:marLeft w:val="0"/>
              <w:marRight w:val="0"/>
              <w:marTop w:val="0"/>
              <w:marBottom w:val="0"/>
              <w:divBdr>
                <w:top w:val="none" w:sz="0" w:space="0" w:color="auto"/>
                <w:left w:val="none" w:sz="0" w:space="0" w:color="auto"/>
                <w:bottom w:val="none" w:sz="0" w:space="0" w:color="auto"/>
                <w:right w:val="none" w:sz="0" w:space="0" w:color="auto"/>
              </w:divBdr>
            </w:div>
          </w:divsChild>
        </w:div>
        <w:div w:id="1267149824">
          <w:marLeft w:val="0"/>
          <w:marRight w:val="0"/>
          <w:marTop w:val="0"/>
          <w:marBottom w:val="0"/>
          <w:divBdr>
            <w:top w:val="none" w:sz="0" w:space="0" w:color="auto"/>
            <w:left w:val="none" w:sz="0" w:space="0" w:color="auto"/>
            <w:bottom w:val="none" w:sz="0" w:space="0" w:color="auto"/>
            <w:right w:val="none" w:sz="0" w:space="0" w:color="auto"/>
          </w:divBdr>
          <w:divsChild>
            <w:div w:id="3735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1679">
      <w:bodyDiv w:val="1"/>
      <w:marLeft w:val="0"/>
      <w:marRight w:val="0"/>
      <w:marTop w:val="0"/>
      <w:marBottom w:val="0"/>
      <w:divBdr>
        <w:top w:val="none" w:sz="0" w:space="0" w:color="auto"/>
        <w:left w:val="none" w:sz="0" w:space="0" w:color="auto"/>
        <w:bottom w:val="none" w:sz="0" w:space="0" w:color="auto"/>
        <w:right w:val="none" w:sz="0" w:space="0" w:color="auto"/>
      </w:divBdr>
      <w:divsChild>
        <w:div w:id="462432423">
          <w:marLeft w:val="0"/>
          <w:marRight w:val="0"/>
          <w:marTop w:val="0"/>
          <w:marBottom w:val="0"/>
          <w:divBdr>
            <w:top w:val="none" w:sz="0" w:space="0" w:color="auto"/>
            <w:left w:val="none" w:sz="0" w:space="0" w:color="auto"/>
            <w:bottom w:val="none" w:sz="0" w:space="0" w:color="auto"/>
            <w:right w:val="none" w:sz="0" w:space="0" w:color="auto"/>
          </w:divBdr>
        </w:div>
      </w:divsChild>
    </w:div>
    <w:div w:id="413554620">
      <w:bodyDiv w:val="1"/>
      <w:marLeft w:val="0"/>
      <w:marRight w:val="0"/>
      <w:marTop w:val="0"/>
      <w:marBottom w:val="0"/>
      <w:divBdr>
        <w:top w:val="none" w:sz="0" w:space="0" w:color="auto"/>
        <w:left w:val="none" w:sz="0" w:space="0" w:color="auto"/>
        <w:bottom w:val="none" w:sz="0" w:space="0" w:color="auto"/>
        <w:right w:val="none" w:sz="0" w:space="0" w:color="auto"/>
      </w:divBdr>
    </w:div>
    <w:div w:id="425883919">
      <w:bodyDiv w:val="1"/>
      <w:marLeft w:val="0"/>
      <w:marRight w:val="0"/>
      <w:marTop w:val="0"/>
      <w:marBottom w:val="0"/>
      <w:divBdr>
        <w:top w:val="none" w:sz="0" w:space="0" w:color="auto"/>
        <w:left w:val="none" w:sz="0" w:space="0" w:color="auto"/>
        <w:bottom w:val="none" w:sz="0" w:space="0" w:color="auto"/>
        <w:right w:val="none" w:sz="0" w:space="0" w:color="auto"/>
      </w:divBdr>
      <w:divsChild>
        <w:div w:id="1352491429">
          <w:marLeft w:val="0"/>
          <w:marRight w:val="0"/>
          <w:marTop w:val="0"/>
          <w:marBottom w:val="0"/>
          <w:divBdr>
            <w:top w:val="none" w:sz="0" w:space="0" w:color="auto"/>
            <w:left w:val="none" w:sz="0" w:space="0" w:color="auto"/>
            <w:bottom w:val="none" w:sz="0" w:space="0" w:color="auto"/>
            <w:right w:val="none" w:sz="0" w:space="0" w:color="auto"/>
          </w:divBdr>
        </w:div>
      </w:divsChild>
    </w:div>
    <w:div w:id="436679384">
      <w:bodyDiv w:val="1"/>
      <w:marLeft w:val="0"/>
      <w:marRight w:val="0"/>
      <w:marTop w:val="0"/>
      <w:marBottom w:val="0"/>
      <w:divBdr>
        <w:top w:val="none" w:sz="0" w:space="0" w:color="auto"/>
        <w:left w:val="none" w:sz="0" w:space="0" w:color="auto"/>
        <w:bottom w:val="none" w:sz="0" w:space="0" w:color="auto"/>
        <w:right w:val="none" w:sz="0" w:space="0" w:color="auto"/>
      </w:divBdr>
      <w:divsChild>
        <w:div w:id="1877155963">
          <w:marLeft w:val="0"/>
          <w:marRight w:val="0"/>
          <w:marTop w:val="0"/>
          <w:marBottom w:val="0"/>
          <w:divBdr>
            <w:top w:val="none" w:sz="0" w:space="0" w:color="auto"/>
            <w:left w:val="none" w:sz="0" w:space="0" w:color="auto"/>
            <w:bottom w:val="none" w:sz="0" w:space="0" w:color="auto"/>
            <w:right w:val="none" w:sz="0" w:space="0" w:color="auto"/>
          </w:divBdr>
        </w:div>
      </w:divsChild>
    </w:div>
    <w:div w:id="446199150">
      <w:bodyDiv w:val="1"/>
      <w:marLeft w:val="0"/>
      <w:marRight w:val="0"/>
      <w:marTop w:val="0"/>
      <w:marBottom w:val="0"/>
      <w:divBdr>
        <w:top w:val="none" w:sz="0" w:space="0" w:color="auto"/>
        <w:left w:val="none" w:sz="0" w:space="0" w:color="auto"/>
        <w:bottom w:val="none" w:sz="0" w:space="0" w:color="auto"/>
        <w:right w:val="none" w:sz="0" w:space="0" w:color="auto"/>
      </w:divBdr>
      <w:divsChild>
        <w:div w:id="1933931986">
          <w:marLeft w:val="0"/>
          <w:marRight w:val="0"/>
          <w:marTop w:val="0"/>
          <w:marBottom w:val="0"/>
          <w:divBdr>
            <w:top w:val="none" w:sz="0" w:space="0" w:color="auto"/>
            <w:left w:val="none" w:sz="0" w:space="0" w:color="auto"/>
            <w:bottom w:val="none" w:sz="0" w:space="0" w:color="auto"/>
            <w:right w:val="none" w:sz="0" w:space="0" w:color="auto"/>
          </w:divBdr>
          <w:divsChild>
            <w:div w:id="660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19114">
      <w:bodyDiv w:val="1"/>
      <w:marLeft w:val="0"/>
      <w:marRight w:val="0"/>
      <w:marTop w:val="0"/>
      <w:marBottom w:val="0"/>
      <w:divBdr>
        <w:top w:val="none" w:sz="0" w:space="0" w:color="auto"/>
        <w:left w:val="none" w:sz="0" w:space="0" w:color="auto"/>
        <w:bottom w:val="none" w:sz="0" w:space="0" w:color="auto"/>
        <w:right w:val="none" w:sz="0" w:space="0" w:color="auto"/>
      </w:divBdr>
      <w:divsChild>
        <w:div w:id="312149332">
          <w:marLeft w:val="0"/>
          <w:marRight w:val="0"/>
          <w:marTop w:val="0"/>
          <w:marBottom w:val="0"/>
          <w:divBdr>
            <w:top w:val="none" w:sz="0" w:space="0" w:color="auto"/>
            <w:left w:val="none" w:sz="0" w:space="0" w:color="auto"/>
            <w:bottom w:val="none" w:sz="0" w:space="0" w:color="auto"/>
            <w:right w:val="none" w:sz="0" w:space="0" w:color="auto"/>
          </w:divBdr>
          <w:divsChild>
            <w:div w:id="1018851683">
              <w:marLeft w:val="0"/>
              <w:marRight w:val="0"/>
              <w:marTop w:val="0"/>
              <w:marBottom w:val="0"/>
              <w:divBdr>
                <w:top w:val="none" w:sz="0" w:space="0" w:color="auto"/>
                <w:left w:val="none" w:sz="0" w:space="0" w:color="auto"/>
                <w:bottom w:val="none" w:sz="0" w:space="0" w:color="auto"/>
                <w:right w:val="none" w:sz="0" w:space="0" w:color="auto"/>
              </w:divBdr>
            </w:div>
          </w:divsChild>
        </w:div>
        <w:div w:id="961151904">
          <w:marLeft w:val="0"/>
          <w:marRight w:val="0"/>
          <w:marTop w:val="0"/>
          <w:marBottom w:val="0"/>
          <w:divBdr>
            <w:top w:val="none" w:sz="0" w:space="0" w:color="auto"/>
            <w:left w:val="none" w:sz="0" w:space="0" w:color="auto"/>
            <w:bottom w:val="none" w:sz="0" w:space="0" w:color="auto"/>
            <w:right w:val="none" w:sz="0" w:space="0" w:color="auto"/>
          </w:divBdr>
          <w:divsChild>
            <w:div w:id="1918593066">
              <w:marLeft w:val="0"/>
              <w:marRight w:val="0"/>
              <w:marTop w:val="0"/>
              <w:marBottom w:val="0"/>
              <w:divBdr>
                <w:top w:val="none" w:sz="0" w:space="0" w:color="auto"/>
                <w:left w:val="none" w:sz="0" w:space="0" w:color="auto"/>
                <w:bottom w:val="none" w:sz="0" w:space="0" w:color="auto"/>
                <w:right w:val="none" w:sz="0" w:space="0" w:color="auto"/>
              </w:divBdr>
              <w:divsChild>
                <w:div w:id="17457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3155">
      <w:bodyDiv w:val="1"/>
      <w:marLeft w:val="0"/>
      <w:marRight w:val="0"/>
      <w:marTop w:val="0"/>
      <w:marBottom w:val="0"/>
      <w:divBdr>
        <w:top w:val="none" w:sz="0" w:space="0" w:color="auto"/>
        <w:left w:val="none" w:sz="0" w:space="0" w:color="auto"/>
        <w:bottom w:val="none" w:sz="0" w:space="0" w:color="auto"/>
        <w:right w:val="none" w:sz="0" w:space="0" w:color="auto"/>
      </w:divBdr>
      <w:divsChild>
        <w:div w:id="1257253164">
          <w:marLeft w:val="0"/>
          <w:marRight w:val="0"/>
          <w:marTop w:val="0"/>
          <w:marBottom w:val="0"/>
          <w:divBdr>
            <w:top w:val="none" w:sz="0" w:space="0" w:color="auto"/>
            <w:left w:val="none" w:sz="0" w:space="0" w:color="auto"/>
            <w:bottom w:val="none" w:sz="0" w:space="0" w:color="auto"/>
            <w:right w:val="none" w:sz="0" w:space="0" w:color="auto"/>
          </w:divBdr>
        </w:div>
      </w:divsChild>
    </w:div>
    <w:div w:id="453985803">
      <w:bodyDiv w:val="1"/>
      <w:marLeft w:val="0"/>
      <w:marRight w:val="0"/>
      <w:marTop w:val="0"/>
      <w:marBottom w:val="0"/>
      <w:divBdr>
        <w:top w:val="none" w:sz="0" w:space="0" w:color="auto"/>
        <w:left w:val="none" w:sz="0" w:space="0" w:color="auto"/>
        <w:bottom w:val="none" w:sz="0" w:space="0" w:color="auto"/>
        <w:right w:val="none" w:sz="0" w:space="0" w:color="auto"/>
      </w:divBdr>
      <w:divsChild>
        <w:div w:id="954945966">
          <w:marLeft w:val="0"/>
          <w:marRight w:val="0"/>
          <w:marTop w:val="0"/>
          <w:marBottom w:val="0"/>
          <w:divBdr>
            <w:top w:val="none" w:sz="0" w:space="0" w:color="auto"/>
            <w:left w:val="none" w:sz="0" w:space="0" w:color="auto"/>
            <w:bottom w:val="none" w:sz="0" w:space="0" w:color="auto"/>
            <w:right w:val="none" w:sz="0" w:space="0" w:color="auto"/>
          </w:divBdr>
          <w:divsChild>
            <w:div w:id="11248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950856">
      <w:bodyDiv w:val="1"/>
      <w:marLeft w:val="0"/>
      <w:marRight w:val="0"/>
      <w:marTop w:val="0"/>
      <w:marBottom w:val="0"/>
      <w:divBdr>
        <w:top w:val="none" w:sz="0" w:space="0" w:color="auto"/>
        <w:left w:val="none" w:sz="0" w:space="0" w:color="auto"/>
        <w:bottom w:val="none" w:sz="0" w:space="0" w:color="auto"/>
        <w:right w:val="none" w:sz="0" w:space="0" w:color="auto"/>
      </w:divBdr>
      <w:divsChild>
        <w:div w:id="1554002238">
          <w:marLeft w:val="0"/>
          <w:marRight w:val="0"/>
          <w:marTop w:val="0"/>
          <w:marBottom w:val="0"/>
          <w:divBdr>
            <w:top w:val="none" w:sz="0" w:space="0" w:color="auto"/>
            <w:left w:val="none" w:sz="0" w:space="0" w:color="auto"/>
            <w:bottom w:val="none" w:sz="0" w:space="0" w:color="auto"/>
            <w:right w:val="none" w:sz="0" w:space="0" w:color="auto"/>
          </w:divBdr>
        </w:div>
      </w:divsChild>
    </w:div>
    <w:div w:id="457338244">
      <w:bodyDiv w:val="1"/>
      <w:marLeft w:val="0"/>
      <w:marRight w:val="0"/>
      <w:marTop w:val="0"/>
      <w:marBottom w:val="0"/>
      <w:divBdr>
        <w:top w:val="none" w:sz="0" w:space="0" w:color="auto"/>
        <w:left w:val="none" w:sz="0" w:space="0" w:color="auto"/>
        <w:bottom w:val="none" w:sz="0" w:space="0" w:color="auto"/>
        <w:right w:val="none" w:sz="0" w:space="0" w:color="auto"/>
      </w:divBdr>
      <w:divsChild>
        <w:div w:id="231933509">
          <w:marLeft w:val="0"/>
          <w:marRight w:val="0"/>
          <w:marTop w:val="0"/>
          <w:marBottom w:val="0"/>
          <w:divBdr>
            <w:top w:val="none" w:sz="0" w:space="0" w:color="auto"/>
            <w:left w:val="none" w:sz="0" w:space="0" w:color="auto"/>
            <w:bottom w:val="none" w:sz="0" w:space="0" w:color="auto"/>
            <w:right w:val="none" w:sz="0" w:space="0" w:color="auto"/>
          </w:divBdr>
        </w:div>
      </w:divsChild>
    </w:div>
    <w:div w:id="462161863">
      <w:bodyDiv w:val="1"/>
      <w:marLeft w:val="0"/>
      <w:marRight w:val="0"/>
      <w:marTop w:val="0"/>
      <w:marBottom w:val="0"/>
      <w:divBdr>
        <w:top w:val="none" w:sz="0" w:space="0" w:color="auto"/>
        <w:left w:val="none" w:sz="0" w:space="0" w:color="auto"/>
        <w:bottom w:val="none" w:sz="0" w:space="0" w:color="auto"/>
        <w:right w:val="none" w:sz="0" w:space="0" w:color="auto"/>
      </w:divBdr>
    </w:div>
    <w:div w:id="468789348">
      <w:bodyDiv w:val="1"/>
      <w:marLeft w:val="0"/>
      <w:marRight w:val="0"/>
      <w:marTop w:val="0"/>
      <w:marBottom w:val="0"/>
      <w:divBdr>
        <w:top w:val="none" w:sz="0" w:space="0" w:color="auto"/>
        <w:left w:val="none" w:sz="0" w:space="0" w:color="auto"/>
        <w:bottom w:val="none" w:sz="0" w:space="0" w:color="auto"/>
        <w:right w:val="none" w:sz="0" w:space="0" w:color="auto"/>
      </w:divBdr>
      <w:divsChild>
        <w:div w:id="893194368">
          <w:marLeft w:val="0"/>
          <w:marRight w:val="0"/>
          <w:marTop w:val="0"/>
          <w:marBottom w:val="0"/>
          <w:divBdr>
            <w:top w:val="none" w:sz="0" w:space="0" w:color="auto"/>
            <w:left w:val="none" w:sz="0" w:space="0" w:color="auto"/>
            <w:bottom w:val="none" w:sz="0" w:space="0" w:color="auto"/>
            <w:right w:val="none" w:sz="0" w:space="0" w:color="auto"/>
          </w:divBdr>
        </w:div>
      </w:divsChild>
    </w:div>
    <w:div w:id="472144423">
      <w:bodyDiv w:val="1"/>
      <w:marLeft w:val="0"/>
      <w:marRight w:val="0"/>
      <w:marTop w:val="0"/>
      <w:marBottom w:val="0"/>
      <w:divBdr>
        <w:top w:val="none" w:sz="0" w:space="0" w:color="auto"/>
        <w:left w:val="none" w:sz="0" w:space="0" w:color="auto"/>
        <w:bottom w:val="none" w:sz="0" w:space="0" w:color="auto"/>
        <w:right w:val="none" w:sz="0" w:space="0" w:color="auto"/>
      </w:divBdr>
      <w:divsChild>
        <w:div w:id="346833462">
          <w:marLeft w:val="0"/>
          <w:marRight w:val="0"/>
          <w:marTop w:val="0"/>
          <w:marBottom w:val="0"/>
          <w:divBdr>
            <w:top w:val="none" w:sz="0" w:space="0" w:color="auto"/>
            <w:left w:val="none" w:sz="0" w:space="0" w:color="auto"/>
            <w:bottom w:val="none" w:sz="0" w:space="0" w:color="auto"/>
            <w:right w:val="none" w:sz="0" w:space="0" w:color="auto"/>
          </w:divBdr>
          <w:divsChild>
            <w:div w:id="652486953">
              <w:marLeft w:val="0"/>
              <w:marRight w:val="0"/>
              <w:marTop w:val="120"/>
              <w:marBottom w:val="0"/>
              <w:divBdr>
                <w:top w:val="none" w:sz="0" w:space="0" w:color="auto"/>
                <w:left w:val="none" w:sz="0" w:space="0" w:color="auto"/>
                <w:bottom w:val="none" w:sz="0" w:space="0" w:color="auto"/>
                <w:right w:val="none" w:sz="0" w:space="0" w:color="auto"/>
              </w:divBdr>
            </w:div>
            <w:div w:id="18904122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84128539">
      <w:bodyDiv w:val="1"/>
      <w:marLeft w:val="0"/>
      <w:marRight w:val="0"/>
      <w:marTop w:val="0"/>
      <w:marBottom w:val="0"/>
      <w:divBdr>
        <w:top w:val="none" w:sz="0" w:space="0" w:color="auto"/>
        <w:left w:val="none" w:sz="0" w:space="0" w:color="auto"/>
        <w:bottom w:val="none" w:sz="0" w:space="0" w:color="auto"/>
        <w:right w:val="none" w:sz="0" w:space="0" w:color="auto"/>
      </w:divBdr>
      <w:divsChild>
        <w:div w:id="1303970240">
          <w:marLeft w:val="0"/>
          <w:marRight w:val="0"/>
          <w:marTop w:val="0"/>
          <w:marBottom w:val="0"/>
          <w:divBdr>
            <w:top w:val="none" w:sz="0" w:space="0" w:color="auto"/>
            <w:left w:val="none" w:sz="0" w:space="0" w:color="auto"/>
            <w:bottom w:val="none" w:sz="0" w:space="0" w:color="auto"/>
            <w:right w:val="none" w:sz="0" w:space="0" w:color="auto"/>
          </w:divBdr>
          <w:divsChild>
            <w:div w:id="23941361">
              <w:marLeft w:val="0"/>
              <w:marRight w:val="0"/>
              <w:marTop w:val="0"/>
              <w:marBottom w:val="0"/>
              <w:divBdr>
                <w:top w:val="none" w:sz="0" w:space="0" w:color="auto"/>
                <w:left w:val="none" w:sz="0" w:space="0" w:color="auto"/>
                <w:bottom w:val="none" w:sz="0" w:space="0" w:color="auto"/>
                <w:right w:val="none" w:sz="0" w:space="0" w:color="auto"/>
              </w:divBdr>
            </w:div>
          </w:divsChild>
        </w:div>
        <w:div w:id="1550073036">
          <w:marLeft w:val="0"/>
          <w:marRight w:val="0"/>
          <w:marTop w:val="0"/>
          <w:marBottom w:val="0"/>
          <w:divBdr>
            <w:top w:val="none" w:sz="0" w:space="0" w:color="auto"/>
            <w:left w:val="none" w:sz="0" w:space="0" w:color="auto"/>
            <w:bottom w:val="none" w:sz="0" w:space="0" w:color="auto"/>
            <w:right w:val="none" w:sz="0" w:space="0" w:color="auto"/>
          </w:divBdr>
        </w:div>
      </w:divsChild>
    </w:div>
    <w:div w:id="484200301">
      <w:bodyDiv w:val="1"/>
      <w:marLeft w:val="0"/>
      <w:marRight w:val="0"/>
      <w:marTop w:val="0"/>
      <w:marBottom w:val="0"/>
      <w:divBdr>
        <w:top w:val="none" w:sz="0" w:space="0" w:color="auto"/>
        <w:left w:val="none" w:sz="0" w:space="0" w:color="auto"/>
        <w:bottom w:val="none" w:sz="0" w:space="0" w:color="auto"/>
        <w:right w:val="none" w:sz="0" w:space="0" w:color="auto"/>
      </w:divBdr>
      <w:divsChild>
        <w:div w:id="431052193">
          <w:marLeft w:val="0"/>
          <w:marRight w:val="0"/>
          <w:marTop w:val="0"/>
          <w:marBottom w:val="0"/>
          <w:divBdr>
            <w:top w:val="none" w:sz="0" w:space="0" w:color="auto"/>
            <w:left w:val="none" w:sz="0" w:space="0" w:color="auto"/>
            <w:bottom w:val="none" w:sz="0" w:space="0" w:color="auto"/>
            <w:right w:val="none" w:sz="0" w:space="0" w:color="auto"/>
          </w:divBdr>
        </w:div>
      </w:divsChild>
    </w:div>
    <w:div w:id="492448568">
      <w:bodyDiv w:val="1"/>
      <w:marLeft w:val="0"/>
      <w:marRight w:val="0"/>
      <w:marTop w:val="0"/>
      <w:marBottom w:val="0"/>
      <w:divBdr>
        <w:top w:val="none" w:sz="0" w:space="0" w:color="auto"/>
        <w:left w:val="none" w:sz="0" w:space="0" w:color="auto"/>
        <w:bottom w:val="none" w:sz="0" w:space="0" w:color="auto"/>
        <w:right w:val="none" w:sz="0" w:space="0" w:color="auto"/>
      </w:divBdr>
      <w:divsChild>
        <w:div w:id="1574581045">
          <w:marLeft w:val="0"/>
          <w:marRight w:val="0"/>
          <w:marTop w:val="0"/>
          <w:marBottom w:val="0"/>
          <w:divBdr>
            <w:top w:val="none" w:sz="0" w:space="0" w:color="auto"/>
            <w:left w:val="none" w:sz="0" w:space="0" w:color="auto"/>
            <w:bottom w:val="none" w:sz="0" w:space="0" w:color="auto"/>
            <w:right w:val="none" w:sz="0" w:space="0" w:color="auto"/>
          </w:divBdr>
          <w:divsChild>
            <w:div w:id="607857819">
              <w:marLeft w:val="0"/>
              <w:marRight w:val="0"/>
              <w:marTop w:val="0"/>
              <w:marBottom w:val="0"/>
              <w:divBdr>
                <w:top w:val="none" w:sz="0" w:space="0" w:color="auto"/>
                <w:left w:val="none" w:sz="0" w:space="0" w:color="auto"/>
                <w:bottom w:val="none" w:sz="0" w:space="0" w:color="auto"/>
                <w:right w:val="none" w:sz="0" w:space="0" w:color="auto"/>
              </w:divBdr>
              <w:divsChild>
                <w:div w:id="22437274">
                  <w:marLeft w:val="0"/>
                  <w:marRight w:val="0"/>
                  <w:marTop w:val="120"/>
                  <w:marBottom w:val="0"/>
                  <w:divBdr>
                    <w:top w:val="none" w:sz="0" w:space="0" w:color="auto"/>
                    <w:left w:val="none" w:sz="0" w:space="0" w:color="auto"/>
                    <w:bottom w:val="none" w:sz="0" w:space="0" w:color="auto"/>
                    <w:right w:val="none" w:sz="0" w:space="0" w:color="auto"/>
                  </w:divBdr>
                </w:div>
                <w:div w:id="164825139">
                  <w:marLeft w:val="0"/>
                  <w:marRight w:val="0"/>
                  <w:marTop w:val="0"/>
                  <w:marBottom w:val="0"/>
                  <w:divBdr>
                    <w:top w:val="none" w:sz="0" w:space="0" w:color="auto"/>
                    <w:left w:val="none" w:sz="0" w:space="0" w:color="auto"/>
                    <w:bottom w:val="none" w:sz="0" w:space="0" w:color="auto"/>
                    <w:right w:val="none" w:sz="0" w:space="0" w:color="auto"/>
                  </w:divBdr>
                </w:div>
              </w:divsChild>
            </w:div>
            <w:div w:id="1419517951">
              <w:marLeft w:val="0"/>
              <w:marRight w:val="0"/>
              <w:marTop w:val="0"/>
              <w:marBottom w:val="0"/>
              <w:divBdr>
                <w:top w:val="none" w:sz="0" w:space="0" w:color="auto"/>
                <w:left w:val="none" w:sz="0" w:space="0" w:color="auto"/>
                <w:bottom w:val="none" w:sz="0" w:space="0" w:color="auto"/>
                <w:right w:val="none" w:sz="0" w:space="0" w:color="auto"/>
              </w:divBdr>
              <w:divsChild>
                <w:div w:id="962426533">
                  <w:marLeft w:val="0"/>
                  <w:marRight w:val="0"/>
                  <w:marTop w:val="0"/>
                  <w:marBottom w:val="0"/>
                  <w:divBdr>
                    <w:top w:val="none" w:sz="0" w:space="0" w:color="auto"/>
                    <w:left w:val="none" w:sz="0" w:space="0" w:color="auto"/>
                    <w:bottom w:val="none" w:sz="0" w:space="0" w:color="auto"/>
                    <w:right w:val="none" w:sz="0" w:space="0" w:color="auto"/>
                  </w:divBdr>
                </w:div>
                <w:div w:id="17928684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3181240">
      <w:bodyDiv w:val="1"/>
      <w:marLeft w:val="0"/>
      <w:marRight w:val="0"/>
      <w:marTop w:val="0"/>
      <w:marBottom w:val="0"/>
      <w:divBdr>
        <w:top w:val="none" w:sz="0" w:space="0" w:color="auto"/>
        <w:left w:val="none" w:sz="0" w:space="0" w:color="auto"/>
        <w:bottom w:val="none" w:sz="0" w:space="0" w:color="auto"/>
        <w:right w:val="none" w:sz="0" w:space="0" w:color="auto"/>
      </w:divBdr>
      <w:divsChild>
        <w:div w:id="1633557346">
          <w:marLeft w:val="0"/>
          <w:marRight w:val="0"/>
          <w:marTop w:val="0"/>
          <w:marBottom w:val="0"/>
          <w:divBdr>
            <w:top w:val="none" w:sz="0" w:space="0" w:color="auto"/>
            <w:left w:val="none" w:sz="0" w:space="0" w:color="auto"/>
            <w:bottom w:val="none" w:sz="0" w:space="0" w:color="auto"/>
            <w:right w:val="none" w:sz="0" w:space="0" w:color="auto"/>
          </w:divBdr>
        </w:div>
      </w:divsChild>
    </w:div>
    <w:div w:id="493186061">
      <w:bodyDiv w:val="1"/>
      <w:marLeft w:val="0"/>
      <w:marRight w:val="0"/>
      <w:marTop w:val="0"/>
      <w:marBottom w:val="0"/>
      <w:divBdr>
        <w:top w:val="none" w:sz="0" w:space="0" w:color="auto"/>
        <w:left w:val="none" w:sz="0" w:space="0" w:color="auto"/>
        <w:bottom w:val="none" w:sz="0" w:space="0" w:color="auto"/>
        <w:right w:val="none" w:sz="0" w:space="0" w:color="auto"/>
      </w:divBdr>
      <w:divsChild>
        <w:div w:id="289242291">
          <w:marLeft w:val="0"/>
          <w:marRight w:val="0"/>
          <w:marTop w:val="0"/>
          <w:marBottom w:val="0"/>
          <w:divBdr>
            <w:top w:val="none" w:sz="0" w:space="0" w:color="auto"/>
            <w:left w:val="none" w:sz="0" w:space="0" w:color="auto"/>
            <w:bottom w:val="none" w:sz="0" w:space="0" w:color="auto"/>
            <w:right w:val="none" w:sz="0" w:space="0" w:color="auto"/>
          </w:divBdr>
          <w:divsChild>
            <w:div w:id="796799924">
              <w:marLeft w:val="0"/>
              <w:marRight w:val="0"/>
              <w:marTop w:val="0"/>
              <w:marBottom w:val="0"/>
              <w:divBdr>
                <w:top w:val="none" w:sz="0" w:space="0" w:color="auto"/>
                <w:left w:val="none" w:sz="0" w:space="0" w:color="auto"/>
                <w:bottom w:val="none" w:sz="0" w:space="0" w:color="auto"/>
                <w:right w:val="none" w:sz="0" w:space="0" w:color="auto"/>
              </w:divBdr>
            </w:div>
            <w:div w:id="806051928">
              <w:marLeft w:val="0"/>
              <w:marRight w:val="0"/>
              <w:marTop w:val="120"/>
              <w:marBottom w:val="0"/>
              <w:divBdr>
                <w:top w:val="none" w:sz="0" w:space="0" w:color="auto"/>
                <w:left w:val="none" w:sz="0" w:space="0" w:color="auto"/>
                <w:bottom w:val="none" w:sz="0" w:space="0" w:color="auto"/>
                <w:right w:val="none" w:sz="0" w:space="0" w:color="auto"/>
              </w:divBdr>
            </w:div>
          </w:divsChild>
        </w:div>
        <w:div w:id="1904682815">
          <w:marLeft w:val="0"/>
          <w:marRight w:val="0"/>
          <w:marTop w:val="0"/>
          <w:marBottom w:val="0"/>
          <w:divBdr>
            <w:top w:val="none" w:sz="0" w:space="0" w:color="auto"/>
            <w:left w:val="none" w:sz="0" w:space="0" w:color="auto"/>
            <w:bottom w:val="none" w:sz="0" w:space="0" w:color="auto"/>
            <w:right w:val="none" w:sz="0" w:space="0" w:color="auto"/>
          </w:divBdr>
          <w:divsChild>
            <w:div w:id="107429929">
              <w:marLeft w:val="0"/>
              <w:marRight w:val="0"/>
              <w:marTop w:val="0"/>
              <w:marBottom w:val="0"/>
              <w:divBdr>
                <w:top w:val="none" w:sz="0" w:space="0" w:color="auto"/>
                <w:left w:val="none" w:sz="0" w:space="0" w:color="auto"/>
                <w:bottom w:val="none" w:sz="0" w:space="0" w:color="auto"/>
                <w:right w:val="none" w:sz="0" w:space="0" w:color="auto"/>
              </w:divBdr>
            </w:div>
            <w:div w:id="9497774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5653191">
      <w:bodyDiv w:val="1"/>
      <w:marLeft w:val="0"/>
      <w:marRight w:val="0"/>
      <w:marTop w:val="0"/>
      <w:marBottom w:val="0"/>
      <w:divBdr>
        <w:top w:val="none" w:sz="0" w:space="0" w:color="auto"/>
        <w:left w:val="none" w:sz="0" w:space="0" w:color="auto"/>
        <w:bottom w:val="none" w:sz="0" w:space="0" w:color="auto"/>
        <w:right w:val="none" w:sz="0" w:space="0" w:color="auto"/>
      </w:divBdr>
      <w:divsChild>
        <w:div w:id="347411895">
          <w:marLeft w:val="0"/>
          <w:marRight w:val="0"/>
          <w:marTop w:val="0"/>
          <w:marBottom w:val="0"/>
          <w:divBdr>
            <w:top w:val="none" w:sz="0" w:space="0" w:color="auto"/>
            <w:left w:val="none" w:sz="0" w:space="0" w:color="auto"/>
            <w:bottom w:val="none" w:sz="0" w:space="0" w:color="auto"/>
            <w:right w:val="none" w:sz="0" w:space="0" w:color="auto"/>
          </w:divBdr>
          <w:divsChild>
            <w:div w:id="14835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2625">
      <w:bodyDiv w:val="1"/>
      <w:marLeft w:val="0"/>
      <w:marRight w:val="0"/>
      <w:marTop w:val="0"/>
      <w:marBottom w:val="0"/>
      <w:divBdr>
        <w:top w:val="none" w:sz="0" w:space="0" w:color="auto"/>
        <w:left w:val="none" w:sz="0" w:space="0" w:color="auto"/>
        <w:bottom w:val="none" w:sz="0" w:space="0" w:color="auto"/>
        <w:right w:val="none" w:sz="0" w:space="0" w:color="auto"/>
      </w:divBdr>
      <w:divsChild>
        <w:div w:id="691564980">
          <w:marLeft w:val="0"/>
          <w:marRight w:val="0"/>
          <w:marTop w:val="0"/>
          <w:marBottom w:val="0"/>
          <w:divBdr>
            <w:top w:val="none" w:sz="0" w:space="0" w:color="auto"/>
            <w:left w:val="none" w:sz="0" w:space="0" w:color="auto"/>
            <w:bottom w:val="none" w:sz="0" w:space="0" w:color="auto"/>
            <w:right w:val="none" w:sz="0" w:space="0" w:color="auto"/>
          </w:divBdr>
        </w:div>
      </w:divsChild>
    </w:div>
    <w:div w:id="503014409">
      <w:bodyDiv w:val="1"/>
      <w:marLeft w:val="0"/>
      <w:marRight w:val="0"/>
      <w:marTop w:val="0"/>
      <w:marBottom w:val="0"/>
      <w:divBdr>
        <w:top w:val="none" w:sz="0" w:space="0" w:color="auto"/>
        <w:left w:val="none" w:sz="0" w:space="0" w:color="auto"/>
        <w:bottom w:val="none" w:sz="0" w:space="0" w:color="auto"/>
        <w:right w:val="none" w:sz="0" w:space="0" w:color="auto"/>
      </w:divBdr>
      <w:divsChild>
        <w:div w:id="80109522">
          <w:marLeft w:val="0"/>
          <w:marRight w:val="0"/>
          <w:marTop w:val="0"/>
          <w:marBottom w:val="0"/>
          <w:divBdr>
            <w:top w:val="none" w:sz="0" w:space="0" w:color="auto"/>
            <w:left w:val="none" w:sz="0" w:space="0" w:color="auto"/>
            <w:bottom w:val="none" w:sz="0" w:space="0" w:color="auto"/>
            <w:right w:val="none" w:sz="0" w:space="0" w:color="auto"/>
          </w:divBdr>
          <w:divsChild>
            <w:div w:id="761098735">
              <w:marLeft w:val="0"/>
              <w:marRight w:val="0"/>
              <w:marTop w:val="0"/>
              <w:marBottom w:val="0"/>
              <w:divBdr>
                <w:top w:val="none" w:sz="0" w:space="0" w:color="auto"/>
                <w:left w:val="none" w:sz="0" w:space="0" w:color="auto"/>
                <w:bottom w:val="none" w:sz="0" w:space="0" w:color="auto"/>
                <w:right w:val="none" w:sz="0" w:space="0" w:color="auto"/>
              </w:divBdr>
            </w:div>
          </w:divsChild>
        </w:div>
        <w:div w:id="284508753">
          <w:marLeft w:val="0"/>
          <w:marRight w:val="0"/>
          <w:marTop w:val="0"/>
          <w:marBottom w:val="0"/>
          <w:divBdr>
            <w:top w:val="none" w:sz="0" w:space="0" w:color="auto"/>
            <w:left w:val="none" w:sz="0" w:space="0" w:color="auto"/>
            <w:bottom w:val="none" w:sz="0" w:space="0" w:color="auto"/>
            <w:right w:val="none" w:sz="0" w:space="0" w:color="auto"/>
          </w:divBdr>
          <w:divsChild>
            <w:div w:id="19321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0543">
      <w:bodyDiv w:val="1"/>
      <w:marLeft w:val="0"/>
      <w:marRight w:val="0"/>
      <w:marTop w:val="0"/>
      <w:marBottom w:val="0"/>
      <w:divBdr>
        <w:top w:val="none" w:sz="0" w:space="0" w:color="auto"/>
        <w:left w:val="none" w:sz="0" w:space="0" w:color="auto"/>
        <w:bottom w:val="none" w:sz="0" w:space="0" w:color="auto"/>
        <w:right w:val="none" w:sz="0" w:space="0" w:color="auto"/>
      </w:divBdr>
      <w:divsChild>
        <w:div w:id="2022782086">
          <w:marLeft w:val="0"/>
          <w:marRight w:val="0"/>
          <w:marTop w:val="0"/>
          <w:marBottom w:val="0"/>
          <w:divBdr>
            <w:top w:val="none" w:sz="0" w:space="0" w:color="auto"/>
            <w:left w:val="none" w:sz="0" w:space="0" w:color="auto"/>
            <w:bottom w:val="none" w:sz="0" w:space="0" w:color="auto"/>
            <w:right w:val="none" w:sz="0" w:space="0" w:color="auto"/>
          </w:divBdr>
          <w:divsChild>
            <w:div w:id="647129198">
              <w:marLeft w:val="0"/>
              <w:marRight w:val="0"/>
              <w:marTop w:val="0"/>
              <w:marBottom w:val="0"/>
              <w:divBdr>
                <w:top w:val="none" w:sz="0" w:space="0" w:color="auto"/>
                <w:left w:val="none" w:sz="0" w:space="0" w:color="auto"/>
                <w:bottom w:val="none" w:sz="0" w:space="0" w:color="auto"/>
                <w:right w:val="none" w:sz="0" w:space="0" w:color="auto"/>
              </w:divBdr>
              <w:divsChild>
                <w:div w:id="1036851122">
                  <w:marLeft w:val="0"/>
                  <w:marRight w:val="0"/>
                  <w:marTop w:val="0"/>
                  <w:marBottom w:val="0"/>
                  <w:divBdr>
                    <w:top w:val="none" w:sz="0" w:space="0" w:color="auto"/>
                    <w:left w:val="none" w:sz="0" w:space="0" w:color="auto"/>
                    <w:bottom w:val="none" w:sz="0" w:space="0" w:color="auto"/>
                    <w:right w:val="none" w:sz="0" w:space="0" w:color="auto"/>
                  </w:divBdr>
                </w:div>
                <w:div w:id="1604150314">
                  <w:marLeft w:val="0"/>
                  <w:marRight w:val="0"/>
                  <w:marTop w:val="120"/>
                  <w:marBottom w:val="0"/>
                  <w:divBdr>
                    <w:top w:val="none" w:sz="0" w:space="0" w:color="auto"/>
                    <w:left w:val="none" w:sz="0" w:space="0" w:color="auto"/>
                    <w:bottom w:val="none" w:sz="0" w:space="0" w:color="auto"/>
                    <w:right w:val="none" w:sz="0" w:space="0" w:color="auto"/>
                  </w:divBdr>
                </w:div>
              </w:divsChild>
            </w:div>
            <w:div w:id="647709974">
              <w:marLeft w:val="0"/>
              <w:marRight w:val="0"/>
              <w:marTop w:val="0"/>
              <w:marBottom w:val="0"/>
              <w:divBdr>
                <w:top w:val="none" w:sz="0" w:space="0" w:color="auto"/>
                <w:left w:val="none" w:sz="0" w:space="0" w:color="auto"/>
                <w:bottom w:val="none" w:sz="0" w:space="0" w:color="auto"/>
                <w:right w:val="none" w:sz="0" w:space="0" w:color="auto"/>
              </w:divBdr>
              <w:divsChild>
                <w:div w:id="1411729075">
                  <w:marLeft w:val="0"/>
                  <w:marRight w:val="0"/>
                  <w:marTop w:val="120"/>
                  <w:marBottom w:val="0"/>
                  <w:divBdr>
                    <w:top w:val="none" w:sz="0" w:space="0" w:color="auto"/>
                    <w:left w:val="none" w:sz="0" w:space="0" w:color="auto"/>
                    <w:bottom w:val="none" w:sz="0" w:space="0" w:color="auto"/>
                    <w:right w:val="none" w:sz="0" w:space="0" w:color="auto"/>
                  </w:divBdr>
                </w:div>
                <w:div w:id="1421834533">
                  <w:marLeft w:val="0"/>
                  <w:marRight w:val="0"/>
                  <w:marTop w:val="0"/>
                  <w:marBottom w:val="0"/>
                  <w:divBdr>
                    <w:top w:val="none" w:sz="0" w:space="0" w:color="auto"/>
                    <w:left w:val="none" w:sz="0" w:space="0" w:color="auto"/>
                    <w:bottom w:val="none" w:sz="0" w:space="0" w:color="auto"/>
                    <w:right w:val="none" w:sz="0" w:space="0" w:color="auto"/>
                  </w:divBdr>
                </w:div>
              </w:divsChild>
            </w:div>
            <w:div w:id="754934293">
              <w:marLeft w:val="0"/>
              <w:marRight w:val="0"/>
              <w:marTop w:val="0"/>
              <w:marBottom w:val="0"/>
              <w:divBdr>
                <w:top w:val="none" w:sz="0" w:space="0" w:color="auto"/>
                <w:left w:val="none" w:sz="0" w:space="0" w:color="auto"/>
                <w:bottom w:val="none" w:sz="0" w:space="0" w:color="auto"/>
                <w:right w:val="none" w:sz="0" w:space="0" w:color="auto"/>
              </w:divBdr>
              <w:divsChild>
                <w:div w:id="983005714">
                  <w:marLeft w:val="0"/>
                  <w:marRight w:val="0"/>
                  <w:marTop w:val="0"/>
                  <w:marBottom w:val="0"/>
                  <w:divBdr>
                    <w:top w:val="none" w:sz="0" w:space="0" w:color="auto"/>
                    <w:left w:val="none" w:sz="0" w:space="0" w:color="auto"/>
                    <w:bottom w:val="none" w:sz="0" w:space="0" w:color="auto"/>
                    <w:right w:val="none" w:sz="0" w:space="0" w:color="auto"/>
                  </w:divBdr>
                </w:div>
                <w:div w:id="17165444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5217725">
      <w:bodyDiv w:val="1"/>
      <w:marLeft w:val="0"/>
      <w:marRight w:val="0"/>
      <w:marTop w:val="0"/>
      <w:marBottom w:val="0"/>
      <w:divBdr>
        <w:top w:val="none" w:sz="0" w:space="0" w:color="auto"/>
        <w:left w:val="none" w:sz="0" w:space="0" w:color="auto"/>
        <w:bottom w:val="none" w:sz="0" w:space="0" w:color="auto"/>
        <w:right w:val="none" w:sz="0" w:space="0" w:color="auto"/>
      </w:divBdr>
      <w:divsChild>
        <w:div w:id="321735663">
          <w:marLeft w:val="0"/>
          <w:marRight w:val="0"/>
          <w:marTop w:val="0"/>
          <w:marBottom w:val="0"/>
          <w:divBdr>
            <w:top w:val="none" w:sz="0" w:space="0" w:color="auto"/>
            <w:left w:val="none" w:sz="0" w:space="0" w:color="auto"/>
            <w:bottom w:val="none" w:sz="0" w:space="0" w:color="auto"/>
            <w:right w:val="none" w:sz="0" w:space="0" w:color="auto"/>
          </w:divBdr>
        </w:div>
      </w:divsChild>
    </w:div>
    <w:div w:id="514685492">
      <w:bodyDiv w:val="1"/>
      <w:marLeft w:val="0"/>
      <w:marRight w:val="0"/>
      <w:marTop w:val="0"/>
      <w:marBottom w:val="0"/>
      <w:divBdr>
        <w:top w:val="none" w:sz="0" w:space="0" w:color="auto"/>
        <w:left w:val="none" w:sz="0" w:space="0" w:color="auto"/>
        <w:bottom w:val="none" w:sz="0" w:space="0" w:color="auto"/>
        <w:right w:val="none" w:sz="0" w:space="0" w:color="auto"/>
      </w:divBdr>
      <w:divsChild>
        <w:div w:id="1658261446">
          <w:marLeft w:val="0"/>
          <w:marRight w:val="0"/>
          <w:marTop w:val="0"/>
          <w:marBottom w:val="0"/>
          <w:divBdr>
            <w:top w:val="none" w:sz="0" w:space="0" w:color="auto"/>
            <w:left w:val="none" w:sz="0" w:space="0" w:color="auto"/>
            <w:bottom w:val="none" w:sz="0" w:space="0" w:color="auto"/>
            <w:right w:val="none" w:sz="0" w:space="0" w:color="auto"/>
          </w:divBdr>
          <w:divsChild>
            <w:div w:id="4472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236">
      <w:bodyDiv w:val="1"/>
      <w:marLeft w:val="0"/>
      <w:marRight w:val="0"/>
      <w:marTop w:val="0"/>
      <w:marBottom w:val="0"/>
      <w:divBdr>
        <w:top w:val="none" w:sz="0" w:space="0" w:color="auto"/>
        <w:left w:val="none" w:sz="0" w:space="0" w:color="auto"/>
        <w:bottom w:val="none" w:sz="0" w:space="0" w:color="auto"/>
        <w:right w:val="none" w:sz="0" w:space="0" w:color="auto"/>
      </w:divBdr>
      <w:divsChild>
        <w:div w:id="1319722632">
          <w:marLeft w:val="0"/>
          <w:marRight w:val="0"/>
          <w:marTop w:val="0"/>
          <w:marBottom w:val="0"/>
          <w:divBdr>
            <w:top w:val="none" w:sz="0" w:space="0" w:color="auto"/>
            <w:left w:val="none" w:sz="0" w:space="0" w:color="auto"/>
            <w:bottom w:val="none" w:sz="0" w:space="0" w:color="auto"/>
            <w:right w:val="none" w:sz="0" w:space="0" w:color="auto"/>
          </w:divBdr>
          <w:divsChild>
            <w:div w:id="21403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3274">
      <w:bodyDiv w:val="1"/>
      <w:marLeft w:val="0"/>
      <w:marRight w:val="0"/>
      <w:marTop w:val="0"/>
      <w:marBottom w:val="0"/>
      <w:divBdr>
        <w:top w:val="none" w:sz="0" w:space="0" w:color="auto"/>
        <w:left w:val="none" w:sz="0" w:space="0" w:color="auto"/>
        <w:bottom w:val="none" w:sz="0" w:space="0" w:color="auto"/>
        <w:right w:val="none" w:sz="0" w:space="0" w:color="auto"/>
      </w:divBdr>
      <w:divsChild>
        <w:div w:id="2097554615">
          <w:marLeft w:val="0"/>
          <w:marRight w:val="0"/>
          <w:marTop w:val="0"/>
          <w:marBottom w:val="0"/>
          <w:divBdr>
            <w:top w:val="none" w:sz="0" w:space="0" w:color="auto"/>
            <w:left w:val="none" w:sz="0" w:space="0" w:color="auto"/>
            <w:bottom w:val="none" w:sz="0" w:space="0" w:color="auto"/>
            <w:right w:val="none" w:sz="0" w:space="0" w:color="auto"/>
          </w:divBdr>
          <w:divsChild>
            <w:div w:id="341590684">
              <w:marLeft w:val="0"/>
              <w:marRight w:val="0"/>
              <w:marTop w:val="0"/>
              <w:marBottom w:val="0"/>
              <w:divBdr>
                <w:top w:val="none" w:sz="0" w:space="0" w:color="auto"/>
                <w:left w:val="none" w:sz="0" w:space="0" w:color="auto"/>
                <w:bottom w:val="none" w:sz="0" w:space="0" w:color="auto"/>
                <w:right w:val="none" w:sz="0" w:space="0" w:color="auto"/>
              </w:divBdr>
              <w:divsChild>
                <w:div w:id="239101388">
                  <w:marLeft w:val="0"/>
                  <w:marRight w:val="0"/>
                  <w:marTop w:val="0"/>
                  <w:marBottom w:val="0"/>
                  <w:divBdr>
                    <w:top w:val="none" w:sz="0" w:space="0" w:color="auto"/>
                    <w:left w:val="none" w:sz="0" w:space="0" w:color="auto"/>
                    <w:bottom w:val="none" w:sz="0" w:space="0" w:color="auto"/>
                    <w:right w:val="none" w:sz="0" w:space="0" w:color="auto"/>
                  </w:divBdr>
                  <w:divsChild>
                    <w:div w:id="691685828">
                      <w:marLeft w:val="0"/>
                      <w:marRight w:val="0"/>
                      <w:marTop w:val="120"/>
                      <w:marBottom w:val="0"/>
                      <w:divBdr>
                        <w:top w:val="none" w:sz="0" w:space="0" w:color="auto"/>
                        <w:left w:val="none" w:sz="0" w:space="0" w:color="auto"/>
                        <w:bottom w:val="none" w:sz="0" w:space="0" w:color="auto"/>
                        <w:right w:val="none" w:sz="0" w:space="0" w:color="auto"/>
                      </w:divBdr>
                    </w:div>
                    <w:div w:id="2045053312">
                      <w:marLeft w:val="0"/>
                      <w:marRight w:val="0"/>
                      <w:marTop w:val="0"/>
                      <w:marBottom w:val="0"/>
                      <w:divBdr>
                        <w:top w:val="none" w:sz="0" w:space="0" w:color="auto"/>
                        <w:left w:val="none" w:sz="0" w:space="0" w:color="auto"/>
                        <w:bottom w:val="none" w:sz="0" w:space="0" w:color="auto"/>
                        <w:right w:val="none" w:sz="0" w:space="0" w:color="auto"/>
                      </w:divBdr>
                    </w:div>
                  </w:divsChild>
                </w:div>
                <w:div w:id="958680667">
                  <w:marLeft w:val="0"/>
                  <w:marRight w:val="0"/>
                  <w:marTop w:val="0"/>
                  <w:marBottom w:val="0"/>
                  <w:divBdr>
                    <w:top w:val="none" w:sz="0" w:space="0" w:color="auto"/>
                    <w:left w:val="none" w:sz="0" w:space="0" w:color="auto"/>
                    <w:bottom w:val="none" w:sz="0" w:space="0" w:color="auto"/>
                    <w:right w:val="none" w:sz="0" w:space="0" w:color="auto"/>
                  </w:divBdr>
                  <w:divsChild>
                    <w:div w:id="559554777">
                      <w:marLeft w:val="0"/>
                      <w:marRight w:val="0"/>
                      <w:marTop w:val="0"/>
                      <w:marBottom w:val="0"/>
                      <w:divBdr>
                        <w:top w:val="none" w:sz="0" w:space="0" w:color="auto"/>
                        <w:left w:val="none" w:sz="0" w:space="0" w:color="auto"/>
                        <w:bottom w:val="none" w:sz="0" w:space="0" w:color="auto"/>
                        <w:right w:val="none" w:sz="0" w:space="0" w:color="auto"/>
                      </w:divBdr>
                    </w:div>
                    <w:div w:id="15394669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30337354">
      <w:bodyDiv w:val="1"/>
      <w:marLeft w:val="0"/>
      <w:marRight w:val="0"/>
      <w:marTop w:val="0"/>
      <w:marBottom w:val="0"/>
      <w:divBdr>
        <w:top w:val="none" w:sz="0" w:space="0" w:color="auto"/>
        <w:left w:val="none" w:sz="0" w:space="0" w:color="auto"/>
        <w:bottom w:val="none" w:sz="0" w:space="0" w:color="auto"/>
        <w:right w:val="none" w:sz="0" w:space="0" w:color="auto"/>
      </w:divBdr>
      <w:divsChild>
        <w:div w:id="342783771">
          <w:marLeft w:val="0"/>
          <w:marRight w:val="0"/>
          <w:marTop w:val="0"/>
          <w:marBottom w:val="0"/>
          <w:divBdr>
            <w:top w:val="none" w:sz="0" w:space="0" w:color="auto"/>
            <w:left w:val="none" w:sz="0" w:space="0" w:color="auto"/>
            <w:bottom w:val="none" w:sz="0" w:space="0" w:color="auto"/>
            <w:right w:val="none" w:sz="0" w:space="0" w:color="auto"/>
          </w:divBdr>
        </w:div>
        <w:div w:id="888423343">
          <w:marLeft w:val="0"/>
          <w:marRight w:val="0"/>
          <w:marTop w:val="0"/>
          <w:marBottom w:val="0"/>
          <w:divBdr>
            <w:top w:val="none" w:sz="0" w:space="0" w:color="auto"/>
            <w:left w:val="none" w:sz="0" w:space="0" w:color="auto"/>
            <w:bottom w:val="none" w:sz="0" w:space="0" w:color="auto"/>
            <w:right w:val="none" w:sz="0" w:space="0" w:color="auto"/>
          </w:divBdr>
          <w:divsChild>
            <w:div w:id="1323971012">
              <w:marLeft w:val="0"/>
              <w:marRight w:val="0"/>
              <w:marTop w:val="0"/>
              <w:marBottom w:val="0"/>
              <w:divBdr>
                <w:top w:val="none" w:sz="0" w:space="0" w:color="auto"/>
                <w:left w:val="none" w:sz="0" w:space="0" w:color="auto"/>
                <w:bottom w:val="none" w:sz="0" w:space="0" w:color="auto"/>
                <w:right w:val="none" w:sz="0" w:space="0" w:color="auto"/>
              </w:divBdr>
              <w:divsChild>
                <w:div w:id="179355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36245">
      <w:bodyDiv w:val="1"/>
      <w:marLeft w:val="0"/>
      <w:marRight w:val="0"/>
      <w:marTop w:val="0"/>
      <w:marBottom w:val="0"/>
      <w:divBdr>
        <w:top w:val="none" w:sz="0" w:space="0" w:color="auto"/>
        <w:left w:val="none" w:sz="0" w:space="0" w:color="auto"/>
        <w:bottom w:val="none" w:sz="0" w:space="0" w:color="auto"/>
        <w:right w:val="none" w:sz="0" w:space="0" w:color="auto"/>
      </w:divBdr>
      <w:divsChild>
        <w:div w:id="897857470">
          <w:marLeft w:val="0"/>
          <w:marRight w:val="0"/>
          <w:marTop w:val="0"/>
          <w:marBottom w:val="0"/>
          <w:divBdr>
            <w:top w:val="none" w:sz="0" w:space="0" w:color="auto"/>
            <w:left w:val="none" w:sz="0" w:space="0" w:color="auto"/>
            <w:bottom w:val="none" w:sz="0" w:space="0" w:color="auto"/>
            <w:right w:val="none" w:sz="0" w:space="0" w:color="auto"/>
          </w:divBdr>
        </w:div>
      </w:divsChild>
    </w:div>
    <w:div w:id="535436186">
      <w:bodyDiv w:val="1"/>
      <w:marLeft w:val="0"/>
      <w:marRight w:val="0"/>
      <w:marTop w:val="0"/>
      <w:marBottom w:val="0"/>
      <w:divBdr>
        <w:top w:val="none" w:sz="0" w:space="0" w:color="auto"/>
        <w:left w:val="none" w:sz="0" w:space="0" w:color="auto"/>
        <w:bottom w:val="none" w:sz="0" w:space="0" w:color="auto"/>
        <w:right w:val="none" w:sz="0" w:space="0" w:color="auto"/>
      </w:divBdr>
      <w:divsChild>
        <w:div w:id="793599087">
          <w:marLeft w:val="0"/>
          <w:marRight w:val="0"/>
          <w:marTop w:val="0"/>
          <w:marBottom w:val="0"/>
          <w:divBdr>
            <w:top w:val="none" w:sz="0" w:space="0" w:color="auto"/>
            <w:left w:val="none" w:sz="0" w:space="0" w:color="auto"/>
            <w:bottom w:val="none" w:sz="0" w:space="0" w:color="auto"/>
            <w:right w:val="none" w:sz="0" w:space="0" w:color="auto"/>
          </w:divBdr>
        </w:div>
      </w:divsChild>
    </w:div>
    <w:div w:id="538787142">
      <w:bodyDiv w:val="1"/>
      <w:marLeft w:val="0"/>
      <w:marRight w:val="0"/>
      <w:marTop w:val="0"/>
      <w:marBottom w:val="0"/>
      <w:divBdr>
        <w:top w:val="none" w:sz="0" w:space="0" w:color="auto"/>
        <w:left w:val="none" w:sz="0" w:space="0" w:color="auto"/>
        <w:bottom w:val="none" w:sz="0" w:space="0" w:color="auto"/>
        <w:right w:val="none" w:sz="0" w:space="0" w:color="auto"/>
      </w:divBdr>
      <w:divsChild>
        <w:div w:id="164369193">
          <w:marLeft w:val="0"/>
          <w:marRight w:val="0"/>
          <w:marTop w:val="0"/>
          <w:marBottom w:val="0"/>
          <w:divBdr>
            <w:top w:val="none" w:sz="0" w:space="0" w:color="auto"/>
            <w:left w:val="none" w:sz="0" w:space="0" w:color="auto"/>
            <w:bottom w:val="none" w:sz="0" w:space="0" w:color="auto"/>
            <w:right w:val="none" w:sz="0" w:space="0" w:color="auto"/>
          </w:divBdr>
        </w:div>
      </w:divsChild>
    </w:div>
    <w:div w:id="547649051">
      <w:bodyDiv w:val="1"/>
      <w:marLeft w:val="0"/>
      <w:marRight w:val="0"/>
      <w:marTop w:val="0"/>
      <w:marBottom w:val="0"/>
      <w:divBdr>
        <w:top w:val="none" w:sz="0" w:space="0" w:color="auto"/>
        <w:left w:val="none" w:sz="0" w:space="0" w:color="auto"/>
        <w:bottom w:val="none" w:sz="0" w:space="0" w:color="auto"/>
        <w:right w:val="none" w:sz="0" w:space="0" w:color="auto"/>
      </w:divBdr>
      <w:divsChild>
        <w:div w:id="1680691837">
          <w:marLeft w:val="0"/>
          <w:marRight w:val="0"/>
          <w:marTop w:val="0"/>
          <w:marBottom w:val="0"/>
          <w:divBdr>
            <w:top w:val="none" w:sz="0" w:space="0" w:color="auto"/>
            <w:left w:val="none" w:sz="0" w:space="0" w:color="auto"/>
            <w:bottom w:val="none" w:sz="0" w:space="0" w:color="auto"/>
            <w:right w:val="none" w:sz="0" w:space="0" w:color="auto"/>
          </w:divBdr>
        </w:div>
      </w:divsChild>
    </w:div>
    <w:div w:id="552041759">
      <w:bodyDiv w:val="1"/>
      <w:marLeft w:val="0"/>
      <w:marRight w:val="0"/>
      <w:marTop w:val="0"/>
      <w:marBottom w:val="0"/>
      <w:divBdr>
        <w:top w:val="none" w:sz="0" w:space="0" w:color="auto"/>
        <w:left w:val="none" w:sz="0" w:space="0" w:color="auto"/>
        <w:bottom w:val="none" w:sz="0" w:space="0" w:color="auto"/>
        <w:right w:val="none" w:sz="0" w:space="0" w:color="auto"/>
      </w:divBdr>
      <w:divsChild>
        <w:div w:id="639386261">
          <w:marLeft w:val="0"/>
          <w:marRight w:val="0"/>
          <w:marTop w:val="0"/>
          <w:marBottom w:val="0"/>
          <w:divBdr>
            <w:top w:val="none" w:sz="0" w:space="0" w:color="auto"/>
            <w:left w:val="none" w:sz="0" w:space="0" w:color="auto"/>
            <w:bottom w:val="none" w:sz="0" w:space="0" w:color="auto"/>
            <w:right w:val="none" w:sz="0" w:space="0" w:color="auto"/>
          </w:divBdr>
          <w:divsChild>
            <w:div w:id="832455345">
              <w:marLeft w:val="0"/>
              <w:marRight w:val="0"/>
              <w:marTop w:val="0"/>
              <w:marBottom w:val="0"/>
              <w:divBdr>
                <w:top w:val="none" w:sz="0" w:space="0" w:color="auto"/>
                <w:left w:val="none" w:sz="0" w:space="0" w:color="auto"/>
                <w:bottom w:val="none" w:sz="0" w:space="0" w:color="auto"/>
                <w:right w:val="none" w:sz="0" w:space="0" w:color="auto"/>
              </w:divBdr>
            </w:div>
          </w:divsChild>
        </w:div>
        <w:div w:id="1027832755">
          <w:marLeft w:val="0"/>
          <w:marRight w:val="0"/>
          <w:marTop w:val="0"/>
          <w:marBottom w:val="0"/>
          <w:divBdr>
            <w:top w:val="none" w:sz="0" w:space="0" w:color="auto"/>
            <w:left w:val="none" w:sz="0" w:space="0" w:color="auto"/>
            <w:bottom w:val="none" w:sz="0" w:space="0" w:color="auto"/>
            <w:right w:val="none" w:sz="0" w:space="0" w:color="auto"/>
          </w:divBdr>
          <w:divsChild>
            <w:div w:id="139616568">
              <w:marLeft w:val="0"/>
              <w:marRight w:val="0"/>
              <w:marTop w:val="0"/>
              <w:marBottom w:val="0"/>
              <w:divBdr>
                <w:top w:val="none" w:sz="0" w:space="0" w:color="auto"/>
                <w:left w:val="none" w:sz="0" w:space="0" w:color="auto"/>
                <w:bottom w:val="none" w:sz="0" w:space="0" w:color="auto"/>
                <w:right w:val="none" w:sz="0" w:space="0" w:color="auto"/>
              </w:divBdr>
            </w:div>
          </w:divsChild>
        </w:div>
        <w:div w:id="1460996787">
          <w:marLeft w:val="0"/>
          <w:marRight w:val="0"/>
          <w:marTop w:val="0"/>
          <w:marBottom w:val="0"/>
          <w:divBdr>
            <w:top w:val="none" w:sz="0" w:space="0" w:color="auto"/>
            <w:left w:val="none" w:sz="0" w:space="0" w:color="auto"/>
            <w:bottom w:val="none" w:sz="0" w:space="0" w:color="auto"/>
            <w:right w:val="none" w:sz="0" w:space="0" w:color="auto"/>
          </w:divBdr>
          <w:divsChild>
            <w:div w:id="997734670">
              <w:marLeft w:val="0"/>
              <w:marRight w:val="0"/>
              <w:marTop w:val="0"/>
              <w:marBottom w:val="0"/>
              <w:divBdr>
                <w:top w:val="none" w:sz="0" w:space="0" w:color="auto"/>
                <w:left w:val="none" w:sz="0" w:space="0" w:color="auto"/>
                <w:bottom w:val="none" w:sz="0" w:space="0" w:color="auto"/>
                <w:right w:val="none" w:sz="0" w:space="0" w:color="auto"/>
              </w:divBdr>
            </w:div>
          </w:divsChild>
        </w:div>
        <w:div w:id="1712654034">
          <w:marLeft w:val="0"/>
          <w:marRight w:val="0"/>
          <w:marTop w:val="0"/>
          <w:marBottom w:val="0"/>
          <w:divBdr>
            <w:top w:val="none" w:sz="0" w:space="0" w:color="auto"/>
            <w:left w:val="none" w:sz="0" w:space="0" w:color="auto"/>
            <w:bottom w:val="none" w:sz="0" w:space="0" w:color="auto"/>
            <w:right w:val="none" w:sz="0" w:space="0" w:color="auto"/>
          </w:divBdr>
          <w:divsChild>
            <w:div w:id="1042897272">
              <w:marLeft w:val="0"/>
              <w:marRight w:val="0"/>
              <w:marTop w:val="0"/>
              <w:marBottom w:val="0"/>
              <w:divBdr>
                <w:top w:val="none" w:sz="0" w:space="0" w:color="auto"/>
                <w:left w:val="none" w:sz="0" w:space="0" w:color="auto"/>
                <w:bottom w:val="none" w:sz="0" w:space="0" w:color="auto"/>
                <w:right w:val="none" w:sz="0" w:space="0" w:color="auto"/>
              </w:divBdr>
            </w:div>
          </w:divsChild>
        </w:div>
        <w:div w:id="2096389452">
          <w:marLeft w:val="0"/>
          <w:marRight w:val="0"/>
          <w:marTop w:val="0"/>
          <w:marBottom w:val="0"/>
          <w:divBdr>
            <w:top w:val="none" w:sz="0" w:space="0" w:color="auto"/>
            <w:left w:val="none" w:sz="0" w:space="0" w:color="auto"/>
            <w:bottom w:val="none" w:sz="0" w:space="0" w:color="auto"/>
            <w:right w:val="none" w:sz="0" w:space="0" w:color="auto"/>
          </w:divBdr>
          <w:divsChild>
            <w:div w:id="1732969542">
              <w:marLeft w:val="0"/>
              <w:marRight w:val="0"/>
              <w:marTop w:val="0"/>
              <w:marBottom w:val="0"/>
              <w:divBdr>
                <w:top w:val="none" w:sz="0" w:space="0" w:color="auto"/>
                <w:left w:val="none" w:sz="0" w:space="0" w:color="auto"/>
                <w:bottom w:val="none" w:sz="0" w:space="0" w:color="auto"/>
                <w:right w:val="none" w:sz="0" w:space="0" w:color="auto"/>
              </w:divBdr>
            </w:div>
          </w:divsChild>
        </w:div>
        <w:div w:id="2113354460">
          <w:marLeft w:val="0"/>
          <w:marRight w:val="0"/>
          <w:marTop w:val="0"/>
          <w:marBottom w:val="0"/>
          <w:divBdr>
            <w:top w:val="none" w:sz="0" w:space="0" w:color="auto"/>
            <w:left w:val="none" w:sz="0" w:space="0" w:color="auto"/>
            <w:bottom w:val="none" w:sz="0" w:space="0" w:color="auto"/>
            <w:right w:val="none" w:sz="0" w:space="0" w:color="auto"/>
          </w:divBdr>
          <w:divsChild>
            <w:div w:id="90834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89492">
      <w:bodyDiv w:val="1"/>
      <w:marLeft w:val="0"/>
      <w:marRight w:val="0"/>
      <w:marTop w:val="0"/>
      <w:marBottom w:val="0"/>
      <w:divBdr>
        <w:top w:val="none" w:sz="0" w:space="0" w:color="auto"/>
        <w:left w:val="none" w:sz="0" w:space="0" w:color="auto"/>
        <w:bottom w:val="none" w:sz="0" w:space="0" w:color="auto"/>
        <w:right w:val="none" w:sz="0" w:space="0" w:color="auto"/>
      </w:divBdr>
      <w:divsChild>
        <w:div w:id="646011868">
          <w:marLeft w:val="0"/>
          <w:marRight w:val="0"/>
          <w:marTop w:val="0"/>
          <w:marBottom w:val="0"/>
          <w:divBdr>
            <w:top w:val="none" w:sz="0" w:space="0" w:color="auto"/>
            <w:left w:val="none" w:sz="0" w:space="0" w:color="auto"/>
            <w:bottom w:val="none" w:sz="0" w:space="0" w:color="auto"/>
            <w:right w:val="none" w:sz="0" w:space="0" w:color="auto"/>
          </w:divBdr>
        </w:div>
      </w:divsChild>
    </w:div>
    <w:div w:id="572349660">
      <w:bodyDiv w:val="1"/>
      <w:marLeft w:val="0"/>
      <w:marRight w:val="0"/>
      <w:marTop w:val="0"/>
      <w:marBottom w:val="0"/>
      <w:divBdr>
        <w:top w:val="none" w:sz="0" w:space="0" w:color="auto"/>
        <w:left w:val="none" w:sz="0" w:space="0" w:color="auto"/>
        <w:bottom w:val="none" w:sz="0" w:space="0" w:color="auto"/>
        <w:right w:val="none" w:sz="0" w:space="0" w:color="auto"/>
      </w:divBdr>
      <w:divsChild>
        <w:div w:id="499782952">
          <w:marLeft w:val="0"/>
          <w:marRight w:val="0"/>
          <w:marTop w:val="0"/>
          <w:marBottom w:val="0"/>
          <w:divBdr>
            <w:top w:val="none" w:sz="0" w:space="0" w:color="auto"/>
            <w:left w:val="none" w:sz="0" w:space="0" w:color="auto"/>
            <w:bottom w:val="none" w:sz="0" w:space="0" w:color="auto"/>
            <w:right w:val="none" w:sz="0" w:space="0" w:color="auto"/>
          </w:divBdr>
        </w:div>
      </w:divsChild>
    </w:div>
    <w:div w:id="572393404">
      <w:bodyDiv w:val="1"/>
      <w:marLeft w:val="0"/>
      <w:marRight w:val="0"/>
      <w:marTop w:val="0"/>
      <w:marBottom w:val="0"/>
      <w:divBdr>
        <w:top w:val="none" w:sz="0" w:space="0" w:color="auto"/>
        <w:left w:val="none" w:sz="0" w:space="0" w:color="auto"/>
        <w:bottom w:val="none" w:sz="0" w:space="0" w:color="auto"/>
        <w:right w:val="none" w:sz="0" w:space="0" w:color="auto"/>
      </w:divBdr>
      <w:divsChild>
        <w:div w:id="1310209936">
          <w:marLeft w:val="0"/>
          <w:marRight w:val="0"/>
          <w:marTop w:val="0"/>
          <w:marBottom w:val="0"/>
          <w:divBdr>
            <w:top w:val="none" w:sz="0" w:space="0" w:color="auto"/>
            <w:left w:val="none" w:sz="0" w:space="0" w:color="auto"/>
            <w:bottom w:val="none" w:sz="0" w:space="0" w:color="auto"/>
            <w:right w:val="none" w:sz="0" w:space="0" w:color="auto"/>
          </w:divBdr>
          <w:divsChild>
            <w:div w:id="11837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41626">
      <w:bodyDiv w:val="1"/>
      <w:marLeft w:val="0"/>
      <w:marRight w:val="0"/>
      <w:marTop w:val="0"/>
      <w:marBottom w:val="0"/>
      <w:divBdr>
        <w:top w:val="none" w:sz="0" w:space="0" w:color="auto"/>
        <w:left w:val="none" w:sz="0" w:space="0" w:color="auto"/>
        <w:bottom w:val="none" w:sz="0" w:space="0" w:color="auto"/>
        <w:right w:val="none" w:sz="0" w:space="0" w:color="auto"/>
      </w:divBdr>
      <w:divsChild>
        <w:div w:id="320275650">
          <w:marLeft w:val="0"/>
          <w:marRight w:val="0"/>
          <w:marTop w:val="0"/>
          <w:marBottom w:val="0"/>
          <w:divBdr>
            <w:top w:val="none" w:sz="0" w:space="0" w:color="auto"/>
            <w:left w:val="none" w:sz="0" w:space="0" w:color="auto"/>
            <w:bottom w:val="none" w:sz="0" w:space="0" w:color="auto"/>
            <w:right w:val="none" w:sz="0" w:space="0" w:color="auto"/>
          </w:divBdr>
        </w:div>
      </w:divsChild>
    </w:div>
    <w:div w:id="574826019">
      <w:bodyDiv w:val="1"/>
      <w:marLeft w:val="0"/>
      <w:marRight w:val="0"/>
      <w:marTop w:val="0"/>
      <w:marBottom w:val="0"/>
      <w:divBdr>
        <w:top w:val="none" w:sz="0" w:space="0" w:color="auto"/>
        <w:left w:val="none" w:sz="0" w:space="0" w:color="auto"/>
        <w:bottom w:val="none" w:sz="0" w:space="0" w:color="auto"/>
        <w:right w:val="none" w:sz="0" w:space="0" w:color="auto"/>
      </w:divBdr>
      <w:divsChild>
        <w:div w:id="682979250">
          <w:marLeft w:val="0"/>
          <w:marRight w:val="0"/>
          <w:marTop w:val="0"/>
          <w:marBottom w:val="0"/>
          <w:divBdr>
            <w:top w:val="none" w:sz="0" w:space="0" w:color="auto"/>
            <w:left w:val="none" w:sz="0" w:space="0" w:color="auto"/>
            <w:bottom w:val="none" w:sz="0" w:space="0" w:color="auto"/>
            <w:right w:val="none" w:sz="0" w:space="0" w:color="auto"/>
          </w:divBdr>
          <w:divsChild>
            <w:div w:id="911886969">
              <w:marLeft w:val="0"/>
              <w:marRight w:val="0"/>
              <w:marTop w:val="0"/>
              <w:marBottom w:val="0"/>
              <w:divBdr>
                <w:top w:val="none" w:sz="0" w:space="0" w:color="auto"/>
                <w:left w:val="none" w:sz="0" w:space="0" w:color="auto"/>
                <w:bottom w:val="none" w:sz="0" w:space="0" w:color="auto"/>
                <w:right w:val="none" w:sz="0" w:space="0" w:color="auto"/>
              </w:divBdr>
              <w:divsChild>
                <w:div w:id="328022789">
                  <w:marLeft w:val="0"/>
                  <w:marRight w:val="0"/>
                  <w:marTop w:val="0"/>
                  <w:marBottom w:val="0"/>
                  <w:divBdr>
                    <w:top w:val="none" w:sz="0" w:space="0" w:color="auto"/>
                    <w:left w:val="none" w:sz="0" w:space="0" w:color="auto"/>
                    <w:bottom w:val="none" w:sz="0" w:space="0" w:color="auto"/>
                    <w:right w:val="none" w:sz="0" w:space="0" w:color="auto"/>
                  </w:divBdr>
                </w:div>
                <w:div w:id="1579635375">
                  <w:marLeft w:val="0"/>
                  <w:marRight w:val="0"/>
                  <w:marTop w:val="120"/>
                  <w:marBottom w:val="0"/>
                  <w:divBdr>
                    <w:top w:val="none" w:sz="0" w:space="0" w:color="auto"/>
                    <w:left w:val="none" w:sz="0" w:space="0" w:color="auto"/>
                    <w:bottom w:val="none" w:sz="0" w:space="0" w:color="auto"/>
                    <w:right w:val="none" w:sz="0" w:space="0" w:color="auto"/>
                  </w:divBdr>
                </w:div>
              </w:divsChild>
            </w:div>
            <w:div w:id="1019233157">
              <w:marLeft w:val="0"/>
              <w:marRight w:val="0"/>
              <w:marTop w:val="0"/>
              <w:marBottom w:val="0"/>
              <w:divBdr>
                <w:top w:val="none" w:sz="0" w:space="0" w:color="auto"/>
                <w:left w:val="none" w:sz="0" w:space="0" w:color="auto"/>
                <w:bottom w:val="none" w:sz="0" w:space="0" w:color="auto"/>
                <w:right w:val="none" w:sz="0" w:space="0" w:color="auto"/>
              </w:divBdr>
              <w:divsChild>
                <w:div w:id="258104074">
                  <w:marLeft w:val="0"/>
                  <w:marRight w:val="0"/>
                  <w:marTop w:val="0"/>
                  <w:marBottom w:val="0"/>
                  <w:divBdr>
                    <w:top w:val="none" w:sz="0" w:space="0" w:color="auto"/>
                    <w:left w:val="none" w:sz="0" w:space="0" w:color="auto"/>
                    <w:bottom w:val="none" w:sz="0" w:space="0" w:color="auto"/>
                    <w:right w:val="none" w:sz="0" w:space="0" w:color="auto"/>
                  </w:divBdr>
                </w:div>
                <w:div w:id="1001860670">
                  <w:marLeft w:val="0"/>
                  <w:marRight w:val="0"/>
                  <w:marTop w:val="120"/>
                  <w:marBottom w:val="0"/>
                  <w:divBdr>
                    <w:top w:val="none" w:sz="0" w:space="0" w:color="auto"/>
                    <w:left w:val="none" w:sz="0" w:space="0" w:color="auto"/>
                    <w:bottom w:val="none" w:sz="0" w:space="0" w:color="auto"/>
                    <w:right w:val="none" w:sz="0" w:space="0" w:color="auto"/>
                  </w:divBdr>
                </w:div>
              </w:divsChild>
            </w:div>
            <w:div w:id="1874150864">
              <w:marLeft w:val="0"/>
              <w:marRight w:val="0"/>
              <w:marTop w:val="0"/>
              <w:marBottom w:val="0"/>
              <w:divBdr>
                <w:top w:val="none" w:sz="0" w:space="0" w:color="auto"/>
                <w:left w:val="none" w:sz="0" w:space="0" w:color="auto"/>
                <w:bottom w:val="none" w:sz="0" w:space="0" w:color="auto"/>
                <w:right w:val="none" w:sz="0" w:space="0" w:color="auto"/>
              </w:divBdr>
              <w:divsChild>
                <w:div w:id="587813326">
                  <w:marLeft w:val="0"/>
                  <w:marRight w:val="0"/>
                  <w:marTop w:val="0"/>
                  <w:marBottom w:val="0"/>
                  <w:divBdr>
                    <w:top w:val="none" w:sz="0" w:space="0" w:color="auto"/>
                    <w:left w:val="none" w:sz="0" w:space="0" w:color="auto"/>
                    <w:bottom w:val="none" w:sz="0" w:space="0" w:color="auto"/>
                    <w:right w:val="none" w:sz="0" w:space="0" w:color="auto"/>
                  </w:divBdr>
                </w:div>
                <w:div w:id="1702049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79364854">
      <w:bodyDiv w:val="1"/>
      <w:marLeft w:val="0"/>
      <w:marRight w:val="0"/>
      <w:marTop w:val="0"/>
      <w:marBottom w:val="0"/>
      <w:divBdr>
        <w:top w:val="none" w:sz="0" w:space="0" w:color="auto"/>
        <w:left w:val="none" w:sz="0" w:space="0" w:color="auto"/>
        <w:bottom w:val="none" w:sz="0" w:space="0" w:color="auto"/>
        <w:right w:val="none" w:sz="0" w:space="0" w:color="auto"/>
      </w:divBdr>
      <w:divsChild>
        <w:div w:id="1895114605">
          <w:marLeft w:val="0"/>
          <w:marRight w:val="0"/>
          <w:marTop w:val="0"/>
          <w:marBottom w:val="0"/>
          <w:divBdr>
            <w:top w:val="none" w:sz="0" w:space="0" w:color="auto"/>
            <w:left w:val="none" w:sz="0" w:space="0" w:color="auto"/>
            <w:bottom w:val="none" w:sz="0" w:space="0" w:color="auto"/>
            <w:right w:val="none" w:sz="0" w:space="0" w:color="auto"/>
          </w:divBdr>
          <w:divsChild>
            <w:div w:id="16249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8176">
      <w:bodyDiv w:val="1"/>
      <w:marLeft w:val="0"/>
      <w:marRight w:val="0"/>
      <w:marTop w:val="0"/>
      <w:marBottom w:val="0"/>
      <w:divBdr>
        <w:top w:val="none" w:sz="0" w:space="0" w:color="auto"/>
        <w:left w:val="none" w:sz="0" w:space="0" w:color="auto"/>
        <w:bottom w:val="none" w:sz="0" w:space="0" w:color="auto"/>
        <w:right w:val="none" w:sz="0" w:space="0" w:color="auto"/>
      </w:divBdr>
      <w:divsChild>
        <w:div w:id="754474138">
          <w:marLeft w:val="0"/>
          <w:marRight w:val="0"/>
          <w:marTop w:val="0"/>
          <w:marBottom w:val="0"/>
          <w:divBdr>
            <w:top w:val="none" w:sz="0" w:space="0" w:color="auto"/>
            <w:left w:val="none" w:sz="0" w:space="0" w:color="auto"/>
            <w:bottom w:val="none" w:sz="0" w:space="0" w:color="auto"/>
            <w:right w:val="none" w:sz="0" w:space="0" w:color="auto"/>
          </w:divBdr>
          <w:divsChild>
            <w:div w:id="952860060">
              <w:marLeft w:val="0"/>
              <w:marRight w:val="0"/>
              <w:marTop w:val="0"/>
              <w:marBottom w:val="0"/>
              <w:divBdr>
                <w:top w:val="none" w:sz="0" w:space="0" w:color="auto"/>
                <w:left w:val="none" w:sz="0" w:space="0" w:color="auto"/>
                <w:bottom w:val="none" w:sz="0" w:space="0" w:color="auto"/>
                <w:right w:val="none" w:sz="0" w:space="0" w:color="auto"/>
              </w:divBdr>
              <w:divsChild>
                <w:div w:id="150220655">
                  <w:marLeft w:val="0"/>
                  <w:marRight w:val="0"/>
                  <w:marTop w:val="12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sChild>
            </w:div>
            <w:div w:id="1552814068">
              <w:marLeft w:val="0"/>
              <w:marRight w:val="0"/>
              <w:marTop w:val="0"/>
              <w:marBottom w:val="0"/>
              <w:divBdr>
                <w:top w:val="none" w:sz="0" w:space="0" w:color="auto"/>
                <w:left w:val="none" w:sz="0" w:space="0" w:color="auto"/>
                <w:bottom w:val="none" w:sz="0" w:space="0" w:color="auto"/>
                <w:right w:val="none" w:sz="0" w:space="0" w:color="auto"/>
              </w:divBdr>
              <w:divsChild>
                <w:div w:id="518858530">
                  <w:marLeft w:val="0"/>
                  <w:marRight w:val="0"/>
                  <w:marTop w:val="120"/>
                  <w:marBottom w:val="0"/>
                  <w:divBdr>
                    <w:top w:val="none" w:sz="0" w:space="0" w:color="auto"/>
                    <w:left w:val="none" w:sz="0" w:space="0" w:color="auto"/>
                    <w:bottom w:val="none" w:sz="0" w:space="0" w:color="auto"/>
                    <w:right w:val="none" w:sz="0" w:space="0" w:color="auto"/>
                  </w:divBdr>
                </w:div>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2006590771">
              <w:marLeft w:val="0"/>
              <w:marRight w:val="0"/>
              <w:marTop w:val="0"/>
              <w:marBottom w:val="0"/>
              <w:divBdr>
                <w:top w:val="none" w:sz="0" w:space="0" w:color="auto"/>
                <w:left w:val="none" w:sz="0" w:space="0" w:color="auto"/>
                <w:bottom w:val="none" w:sz="0" w:space="0" w:color="auto"/>
                <w:right w:val="none" w:sz="0" w:space="0" w:color="auto"/>
              </w:divBdr>
              <w:divsChild>
                <w:div w:id="48572991">
                  <w:marLeft w:val="0"/>
                  <w:marRight w:val="0"/>
                  <w:marTop w:val="120"/>
                  <w:marBottom w:val="0"/>
                  <w:divBdr>
                    <w:top w:val="none" w:sz="0" w:space="0" w:color="auto"/>
                    <w:left w:val="none" w:sz="0" w:space="0" w:color="auto"/>
                    <w:bottom w:val="none" w:sz="0" w:space="0" w:color="auto"/>
                    <w:right w:val="none" w:sz="0" w:space="0" w:color="auto"/>
                  </w:divBdr>
                </w:div>
                <w:div w:id="12885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08936">
      <w:bodyDiv w:val="1"/>
      <w:marLeft w:val="0"/>
      <w:marRight w:val="0"/>
      <w:marTop w:val="0"/>
      <w:marBottom w:val="0"/>
      <w:divBdr>
        <w:top w:val="none" w:sz="0" w:space="0" w:color="auto"/>
        <w:left w:val="none" w:sz="0" w:space="0" w:color="auto"/>
        <w:bottom w:val="none" w:sz="0" w:space="0" w:color="auto"/>
        <w:right w:val="none" w:sz="0" w:space="0" w:color="auto"/>
      </w:divBdr>
      <w:divsChild>
        <w:div w:id="1770659506">
          <w:marLeft w:val="0"/>
          <w:marRight w:val="0"/>
          <w:marTop w:val="0"/>
          <w:marBottom w:val="0"/>
          <w:divBdr>
            <w:top w:val="none" w:sz="0" w:space="0" w:color="auto"/>
            <w:left w:val="none" w:sz="0" w:space="0" w:color="auto"/>
            <w:bottom w:val="none" w:sz="0" w:space="0" w:color="auto"/>
            <w:right w:val="none" w:sz="0" w:space="0" w:color="auto"/>
          </w:divBdr>
        </w:div>
      </w:divsChild>
    </w:div>
    <w:div w:id="584073921">
      <w:bodyDiv w:val="1"/>
      <w:marLeft w:val="0"/>
      <w:marRight w:val="0"/>
      <w:marTop w:val="0"/>
      <w:marBottom w:val="0"/>
      <w:divBdr>
        <w:top w:val="none" w:sz="0" w:space="0" w:color="auto"/>
        <w:left w:val="none" w:sz="0" w:space="0" w:color="auto"/>
        <w:bottom w:val="none" w:sz="0" w:space="0" w:color="auto"/>
        <w:right w:val="none" w:sz="0" w:space="0" w:color="auto"/>
      </w:divBdr>
      <w:divsChild>
        <w:div w:id="255332267">
          <w:marLeft w:val="0"/>
          <w:marRight w:val="0"/>
          <w:marTop w:val="0"/>
          <w:marBottom w:val="0"/>
          <w:divBdr>
            <w:top w:val="none" w:sz="0" w:space="0" w:color="auto"/>
            <w:left w:val="none" w:sz="0" w:space="0" w:color="auto"/>
            <w:bottom w:val="none" w:sz="0" w:space="0" w:color="auto"/>
            <w:right w:val="none" w:sz="0" w:space="0" w:color="auto"/>
          </w:divBdr>
          <w:divsChild>
            <w:div w:id="17390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7900">
      <w:bodyDiv w:val="1"/>
      <w:marLeft w:val="0"/>
      <w:marRight w:val="0"/>
      <w:marTop w:val="0"/>
      <w:marBottom w:val="0"/>
      <w:divBdr>
        <w:top w:val="none" w:sz="0" w:space="0" w:color="auto"/>
        <w:left w:val="none" w:sz="0" w:space="0" w:color="auto"/>
        <w:bottom w:val="none" w:sz="0" w:space="0" w:color="auto"/>
        <w:right w:val="none" w:sz="0" w:space="0" w:color="auto"/>
      </w:divBdr>
      <w:divsChild>
        <w:div w:id="1283802821">
          <w:marLeft w:val="0"/>
          <w:marRight w:val="0"/>
          <w:marTop w:val="0"/>
          <w:marBottom w:val="0"/>
          <w:divBdr>
            <w:top w:val="none" w:sz="0" w:space="0" w:color="auto"/>
            <w:left w:val="none" w:sz="0" w:space="0" w:color="auto"/>
            <w:bottom w:val="none" w:sz="0" w:space="0" w:color="auto"/>
            <w:right w:val="none" w:sz="0" w:space="0" w:color="auto"/>
          </w:divBdr>
        </w:div>
      </w:divsChild>
    </w:div>
    <w:div w:id="592668123">
      <w:bodyDiv w:val="1"/>
      <w:marLeft w:val="0"/>
      <w:marRight w:val="0"/>
      <w:marTop w:val="0"/>
      <w:marBottom w:val="0"/>
      <w:divBdr>
        <w:top w:val="none" w:sz="0" w:space="0" w:color="auto"/>
        <w:left w:val="none" w:sz="0" w:space="0" w:color="auto"/>
        <w:bottom w:val="none" w:sz="0" w:space="0" w:color="auto"/>
        <w:right w:val="none" w:sz="0" w:space="0" w:color="auto"/>
      </w:divBdr>
      <w:divsChild>
        <w:div w:id="1172332908">
          <w:marLeft w:val="0"/>
          <w:marRight w:val="0"/>
          <w:marTop w:val="0"/>
          <w:marBottom w:val="0"/>
          <w:divBdr>
            <w:top w:val="none" w:sz="0" w:space="0" w:color="auto"/>
            <w:left w:val="none" w:sz="0" w:space="0" w:color="auto"/>
            <w:bottom w:val="none" w:sz="0" w:space="0" w:color="auto"/>
            <w:right w:val="none" w:sz="0" w:space="0" w:color="auto"/>
          </w:divBdr>
        </w:div>
      </w:divsChild>
    </w:div>
    <w:div w:id="594169191">
      <w:bodyDiv w:val="1"/>
      <w:marLeft w:val="0"/>
      <w:marRight w:val="0"/>
      <w:marTop w:val="0"/>
      <w:marBottom w:val="0"/>
      <w:divBdr>
        <w:top w:val="none" w:sz="0" w:space="0" w:color="auto"/>
        <w:left w:val="none" w:sz="0" w:space="0" w:color="auto"/>
        <w:bottom w:val="none" w:sz="0" w:space="0" w:color="auto"/>
        <w:right w:val="none" w:sz="0" w:space="0" w:color="auto"/>
      </w:divBdr>
      <w:divsChild>
        <w:div w:id="446779239">
          <w:marLeft w:val="0"/>
          <w:marRight w:val="0"/>
          <w:marTop w:val="0"/>
          <w:marBottom w:val="0"/>
          <w:divBdr>
            <w:top w:val="none" w:sz="0" w:space="0" w:color="auto"/>
            <w:left w:val="none" w:sz="0" w:space="0" w:color="auto"/>
            <w:bottom w:val="none" w:sz="0" w:space="0" w:color="auto"/>
            <w:right w:val="none" w:sz="0" w:space="0" w:color="auto"/>
          </w:divBdr>
          <w:divsChild>
            <w:div w:id="1700231074">
              <w:marLeft w:val="0"/>
              <w:marRight w:val="0"/>
              <w:marTop w:val="0"/>
              <w:marBottom w:val="0"/>
              <w:divBdr>
                <w:top w:val="none" w:sz="0" w:space="0" w:color="auto"/>
                <w:left w:val="none" w:sz="0" w:space="0" w:color="auto"/>
                <w:bottom w:val="none" w:sz="0" w:space="0" w:color="auto"/>
                <w:right w:val="none" w:sz="0" w:space="0" w:color="auto"/>
              </w:divBdr>
              <w:divsChild>
                <w:div w:id="1033848355">
                  <w:marLeft w:val="0"/>
                  <w:marRight w:val="0"/>
                  <w:marTop w:val="0"/>
                  <w:marBottom w:val="0"/>
                  <w:divBdr>
                    <w:top w:val="none" w:sz="0" w:space="0" w:color="auto"/>
                    <w:left w:val="none" w:sz="0" w:space="0" w:color="auto"/>
                    <w:bottom w:val="none" w:sz="0" w:space="0" w:color="auto"/>
                    <w:right w:val="none" w:sz="0" w:space="0" w:color="auto"/>
                  </w:divBdr>
                  <w:divsChild>
                    <w:div w:id="1385837407">
                      <w:marLeft w:val="0"/>
                      <w:marRight w:val="0"/>
                      <w:marTop w:val="120"/>
                      <w:marBottom w:val="0"/>
                      <w:divBdr>
                        <w:top w:val="none" w:sz="0" w:space="0" w:color="auto"/>
                        <w:left w:val="none" w:sz="0" w:space="0" w:color="auto"/>
                        <w:bottom w:val="none" w:sz="0" w:space="0" w:color="auto"/>
                        <w:right w:val="none" w:sz="0" w:space="0" w:color="auto"/>
                      </w:divBdr>
                    </w:div>
                    <w:div w:id="1492670615">
                      <w:marLeft w:val="0"/>
                      <w:marRight w:val="0"/>
                      <w:marTop w:val="0"/>
                      <w:marBottom w:val="0"/>
                      <w:divBdr>
                        <w:top w:val="none" w:sz="0" w:space="0" w:color="auto"/>
                        <w:left w:val="none" w:sz="0" w:space="0" w:color="auto"/>
                        <w:bottom w:val="none" w:sz="0" w:space="0" w:color="auto"/>
                        <w:right w:val="none" w:sz="0" w:space="0" w:color="auto"/>
                      </w:divBdr>
                    </w:div>
                  </w:divsChild>
                </w:div>
                <w:div w:id="1266040125">
                  <w:marLeft w:val="0"/>
                  <w:marRight w:val="0"/>
                  <w:marTop w:val="0"/>
                  <w:marBottom w:val="0"/>
                  <w:divBdr>
                    <w:top w:val="none" w:sz="0" w:space="0" w:color="auto"/>
                    <w:left w:val="none" w:sz="0" w:space="0" w:color="auto"/>
                    <w:bottom w:val="none" w:sz="0" w:space="0" w:color="auto"/>
                    <w:right w:val="none" w:sz="0" w:space="0" w:color="auto"/>
                  </w:divBdr>
                  <w:divsChild>
                    <w:div w:id="1190098074">
                      <w:marLeft w:val="0"/>
                      <w:marRight w:val="0"/>
                      <w:marTop w:val="120"/>
                      <w:marBottom w:val="0"/>
                      <w:divBdr>
                        <w:top w:val="none" w:sz="0" w:space="0" w:color="auto"/>
                        <w:left w:val="none" w:sz="0" w:space="0" w:color="auto"/>
                        <w:bottom w:val="none" w:sz="0" w:space="0" w:color="auto"/>
                        <w:right w:val="none" w:sz="0" w:space="0" w:color="auto"/>
                      </w:divBdr>
                    </w:div>
                    <w:div w:id="19055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31951">
          <w:marLeft w:val="0"/>
          <w:marRight w:val="0"/>
          <w:marTop w:val="0"/>
          <w:marBottom w:val="0"/>
          <w:divBdr>
            <w:top w:val="none" w:sz="0" w:space="0" w:color="auto"/>
            <w:left w:val="none" w:sz="0" w:space="0" w:color="auto"/>
            <w:bottom w:val="none" w:sz="0" w:space="0" w:color="auto"/>
            <w:right w:val="none" w:sz="0" w:space="0" w:color="auto"/>
          </w:divBdr>
          <w:divsChild>
            <w:div w:id="14295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3857">
      <w:bodyDiv w:val="1"/>
      <w:marLeft w:val="0"/>
      <w:marRight w:val="0"/>
      <w:marTop w:val="0"/>
      <w:marBottom w:val="0"/>
      <w:divBdr>
        <w:top w:val="none" w:sz="0" w:space="0" w:color="auto"/>
        <w:left w:val="none" w:sz="0" w:space="0" w:color="auto"/>
        <w:bottom w:val="none" w:sz="0" w:space="0" w:color="auto"/>
        <w:right w:val="none" w:sz="0" w:space="0" w:color="auto"/>
      </w:divBdr>
      <w:divsChild>
        <w:div w:id="1739402636">
          <w:marLeft w:val="0"/>
          <w:marRight w:val="0"/>
          <w:marTop w:val="0"/>
          <w:marBottom w:val="0"/>
          <w:divBdr>
            <w:top w:val="none" w:sz="0" w:space="0" w:color="auto"/>
            <w:left w:val="none" w:sz="0" w:space="0" w:color="auto"/>
            <w:bottom w:val="none" w:sz="0" w:space="0" w:color="auto"/>
            <w:right w:val="none" w:sz="0" w:space="0" w:color="auto"/>
          </w:divBdr>
        </w:div>
        <w:div w:id="2069765500">
          <w:marLeft w:val="0"/>
          <w:marRight w:val="0"/>
          <w:marTop w:val="0"/>
          <w:marBottom w:val="0"/>
          <w:divBdr>
            <w:top w:val="none" w:sz="0" w:space="0" w:color="auto"/>
            <w:left w:val="none" w:sz="0" w:space="0" w:color="auto"/>
            <w:bottom w:val="none" w:sz="0" w:space="0" w:color="auto"/>
            <w:right w:val="none" w:sz="0" w:space="0" w:color="auto"/>
          </w:divBdr>
          <w:divsChild>
            <w:div w:id="1621768162">
              <w:marLeft w:val="0"/>
              <w:marRight w:val="0"/>
              <w:marTop w:val="0"/>
              <w:marBottom w:val="0"/>
              <w:divBdr>
                <w:top w:val="none" w:sz="0" w:space="0" w:color="auto"/>
                <w:left w:val="none" w:sz="0" w:space="0" w:color="auto"/>
                <w:bottom w:val="none" w:sz="0" w:space="0" w:color="auto"/>
                <w:right w:val="none" w:sz="0" w:space="0" w:color="auto"/>
              </w:divBdr>
              <w:divsChild>
                <w:div w:id="310062950">
                  <w:marLeft w:val="0"/>
                  <w:marRight w:val="0"/>
                  <w:marTop w:val="0"/>
                  <w:marBottom w:val="0"/>
                  <w:divBdr>
                    <w:top w:val="none" w:sz="0" w:space="0" w:color="auto"/>
                    <w:left w:val="none" w:sz="0" w:space="0" w:color="auto"/>
                    <w:bottom w:val="none" w:sz="0" w:space="0" w:color="auto"/>
                    <w:right w:val="none" w:sz="0" w:space="0" w:color="auto"/>
                  </w:divBdr>
                  <w:divsChild>
                    <w:div w:id="1658341604">
                      <w:marLeft w:val="0"/>
                      <w:marRight w:val="0"/>
                      <w:marTop w:val="120"/>
                      <w:marBottom w:val="0"/>
                      <w:divBdr>
                        <w:top w:val="none" w:sz="0" w:space="0" w:color="auto"/>
                        <w:left w:val="none" w:sz="0" w:space="0" w:color="auto"/>
                        <w:bottom w:val="none" w:sz="0" w:space="0" w:color="auto"/>
                        <w:right w:val="none" w:sz="0" w:space="0" w:color="auto"/>
                      </w:divBdr>
                    </w:div>
                    <w:div w:id="2035763102">
                      <w:marLeft w:val="0"/>
                      <w:marRight w:val="0"/>
                      <w:marTop w:val="0"/>
                      <w:marBottom w:val="0"/>
                      <w:divBdr>
                        <w:top w:val="none" w:sz="0" w:space="0" w:color="auto"/>
                        <w:left w:val="none" w:sz="0" w:space="0" w:color="auto"/>
                        <w:bottom w:val="none" w:sz="0" w:space="0" w:color="auto"/>
                        <w:right w:val="none" w:sz="0" w:space="0" w:color="auto"/>
                      </w:divBdr>
                    </w:div>
                  </w:divsChild>
                </w:div>
                <w:div w:id="939459109">
                  <w:marLeft w:val="0"/>
                  <w:marRight w:val="0"/>
                  <w:marTop w:val="0"/>
                  <w:marBottom w:val="0"/>
                  <w:divBdr>
                    <w:top w:val="none" w:sz="0" w:space="0" w:color="auto"/>
                    <w:left w:val="none" w:sz="0" w:space="0" w:color="auto"/>
                    <w:bottom w:val="none" w:sz="0" w:space="0" w:color="auto"/>
                    <w:right w:val="none" w:sz="0" w:space="0" w:color="auto"/>
                  </w:divBdr>
                  <w:divsChild>
                    <w:div w:id="10420729">
                      <w:marLeft w:val="0"/>
                      <w:marRight w:val="0"/>
                      <w:marTop w:val="0"/>
                      <w:marBottom w:val="0"/>
                      <w:divBdr>
                        <w:top w:val="none" w:sz="0" w:space="0" w:color="auto"/>
                        <w:left w:val="none" w:sz="0" w:space="0" w:color="auto"/>
                        <w:bottom w:val="none" w:sz="0" w:space="0" w:color="auto"/>
                        <w:right w:val="none" w:sz="0" w:space="0" w:color="auto"/>
                      </w:divBdr>
                    </w:div>
                    <w:div w:id="1719206058">
                      <w:marLeft w:val="0"/>
                      <w:marRight w:val="0"/>
                      <w:marTop w:val="120"/>
                      <w:marBottom w:val="0"/>
                      <w:divBdr>
                        <w:top w:val="none" w:sz="0" w:space="0" w:color="auto"/>
                        <w:left w:val="none" w:sz="0" w:space="0" w:color="auto"/>
                        <w:bottom w:val="none" w:sz="0" w:space="0" w:color="auto"/>
                        <w:right w:val="none" w:sz="0" w:space="0" w:color="auto"/>
                      </w:divBdr>
                    </w:div>
                  </w:divsChild>
                </w:div>
                <w:div w:id="1929315454">
                  <w:marLeft w:val="0"/>
                  <w:marRight w:val="0"/>
                  <w:marTop w:val="0"/>
                  <w:marBottom w:val="0"/>
                  <w:divBdr>
                    <w:top w:val="none" w:sz="0" w:space="0" w:color="auto"/>
                    <w:left w:val="none" w:sz="0" w:space="0" w:color="auto"/>
                    <w:bottom w:val="none" w:sz="0" w:space="0" w:color="auto"/>
                    <w:right w:val="none" w:sz="0" w:space="0" w:color="auto"/>
                  </w:divBdr>
                  <w:divsChild>
                    <w:div w:id="4215820">
                      <w:marLeft w:val="0"/>
                      <w:marRight w:val="0"/>
                      <w:marTop w:val="0"/>
                      <w:marBottom w:val="0"/>
                      <w:divBdr>
                        <w:top w:val="none" w:sz="0" w:space="0" w:color="auto"/>
                        <w:left w:val="none" w:sz="0" w:space="0" w:color="auto"/>
                        <w:bottom w:val="none" w:sz="0" w:space="0" w:color="auto"/>
                        <w:right w:val="none" w:sz="0" w:space="0" w:color="auto"/>
                      </w:divBdr>
                      <w:divsChild>
                        <w:div w:id="522549170">
                          <w:marLeft w:val="0"/>
                          <w:marRight w:val="0"/>
                          <w:marTop w:val="0"/>
                          <w:marBottom w:val="0"/>
                          <w:divBdr>
                            <w:top w:val="none" w:sz="0" w:space="0" w:color="auto"/>
                            <w:left w:val="none" w:sz="0" w:space="0" w:color="auto"/>
                            <w:bottom w:val="none" w:sz="0" w:space="0" w:color="auto"/>
                            <w:right w:val="none" w:sz="0" w:space="0" w:color="auto"/>
                          </w:divBdr>
                          <w:divsChild>
                            <w:div w:id="712659328">
                              <w:marLeft w:val="0"/>
                              <w:marRight w:val="0"/>
                              <w:marTop w:val="120"/>
                              <w:marBottom w:val="0"/>
                              <w:divBdr>
                                <w:top w:val="none" w:sz="0" w:space="0" w:color="auto"/>
                                <w:left w:val="none" w:sz="0" w:space="0" w:color="auto"/>
                                <w:bottom w:val="none" w:sz="0" w:space="0" w:color="auto"/>
                                <w:right w:val="none" w:sz="0" w:space="0" w:color="auto"/>
                              </w:divBdr>
                            </w:div>
                            <w:div w:id="1078210921">
                              <w:marLeft w:val="0"/>
                              <w:marRight w:val="0"/>
                              <w:marTop w:val="0"/>
                              <w:marBottom w:val="0"/>
                              <w:divBdr>
                                <w:top w:val="none" w:sz="0" w:space="0" w:color="auto"/>
                                <w:left w:val="none" w:sz="0" w:space="0" w:color="auto"/>
                                <w:bottom w:val="none" w:sz="0" w:space="0" w:color="auto"/>
                                <w:right w:val="none" w:sz="0" w:space="0" w:color="auto"/>
                              </w:divBdr>
                            </w:div>
                          </w:divsChild>
                        </w:div>
                        <w:div w:id="1192499530">
                          <w:marLeft w:val="0"/>
                          <w:marRight w:val="0"/>
                          <w:marTop w:val="0"/>
                          <w:marBottom w:val="0"/>
                          <w:divBdr>
                            <w:top w:val="none" w:sz="0" w:space="0" w:color="auto"/>
                            <w:left w:val="none" w:sz="0" w:space="0" w:color="auto"/>
                            <w:bottom w:val="none" w:sz="0" w:space="0" w:color="auto"/>
                            <w:right w:val="none" w:sz="0" w:space="0" w:color="auto"/>
                          </w:divBdr>
                          <w:divsChild>
                            <w:div w:id="1549998238">
                              <w:marLeft w:val="0"/>
                              <w:marRight w:val="0"/>
                              <w:marTop w:val="120"/>
                              <w:marBottom w:val="0"/>
                              <w:divBdr>
                                <w:top w:val="none" w:sz="0" w:space="0" w:color="auto"/>
                                <w:left w:val="none" w:sz="0" w:space="0" w:color="auto"/>
                                <w:bottom w:val="none" w:sz="0" w:space="0" w:color="auto"/>
                                <w:right w:val="none" w:sz="0" w:space="0" w:color="auto"/>
                              </w:divBdr>
                            </w:div>
                            <w:div w:id="18040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16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03271355">
      <w:bodyDiv w:val="1"/>
      <w:marLeft w:val="0"/>
      <w:marRight w:val="0"/>
      <w:marTop w:val="0"/>
      <w:marBottom w:val="0"/>
      <w:divBdr>
        <w:top w:val="none" w:sz="0" w:space="0" w:color="auto"/>
        <w:left w:val="none" w:sz="0" w:space="0" w:color="auto"/>
        <w:bottom w:val="none" w:sz="0" w:space="0" w:color="auto"/>
        <w:right w:val="none" w:sz="0" w:space="0" w:color="auto"/>
      </w:divBdr>
      <w:divsChild>
        <w:div w:id="158808476">
          <w:marLeft w:val="0"/>
          <w:marRight w:val="0"/>
          <w:marTop w:val="0"/>
          <w:marBottom w:val="0"/>
          <w:divBdr>
            <w:top w:val="none" w:sz="0" w:space="0" w:color="auto"/>
            <w:left w:val="none" w:sz="0" w:space="0" w:color="auto"/>
            <w:bottom w:val="none" w:sz="0" w:space="0" w:color="auto"/>
            <w:right w:val="none" w:sz="0" w:space="0" w:color="auto"/>
          </w:divBdr>
          <w:divsChild>
            <w:div w:id="515846978">
              <w:marLeft w:val="0"/>
              <w:marRight w:val="0"/>
              <w:marTop w:val="0"/>
              <w:marBottom w:val="0"/>
              <w:divBdr>
                <w:top w:val="none" w:sz="0" w:space="0" w:color="auto"/>
                <w:left w:val="none" w:sz="0" w:space="0" w:color="auto"/>
                <w:bottom w:val="none" w:sz="0" w:space="0" w:color="auto"/>
                <w:right w:val="none" w:sz="0" w:space="0" w:color="auto"/>
              </w:divBdr>
              <w:divsChild>
                <w:div w:id="38285463">
                  <w:marLeft w:val="0"/>
                  <w:marRight w:val="0"/>
                  <w:marTop w:val="0"/>
                  <w:marBottom w:val="0"/>
                  <w:divBdr>
                    <w:top w:val="none" w:sz="0" w:space="0" w:color="auto"/>
                    <w:left w:val="none" w:sz="0" w:space="0" w:color="auto"/>
                    <w:bottom w:val="none" w:sz="0" w:space="0" w:color="auto"/>
                    <w:right w:val="none" w:sz="0" w:space="0" w:color="auto"/>
                  </w:divBdr>
                  <w:divsChild>
                    <w:div w:id="899367720">
                      <w:marLeft w:val="0"/>
                      <w:marRight w:val="0"/>
                      <w:marTop w:val="120"/>
                      <w:marBottom w:val="0"/>
                      <w:divBdr>
                        <w:top w:val="none" w:sz="0" w:space="0" w:color="auto"/>
                        <w:left w:val="none" w:sz="0" w:space="0" w:color="auto"/>
                        <w:bottom w:val="none" w:sz="0" w:space="0" w:color="auto"/>
                        <w:right w:val="none" w:sz="0" w:space="0" w:color="auto"/>
                      </w:divBdr>
                    </w:div>
                    <w:div w:id="1907884482">
                      <w:marLeft w:val="0"/>
                      <w:marRight w:val="0"/>
                      <w:marTop w:val="0"/>
                      <w:marBottom w:val="0"/>
                      <w:divBdr>
                        <w:top w:val="none" w:sz="0" w:space="0" w:color="auto"/>
                        <w:left w:val="none" w:sz="0" w:space="0" w:color="auto"/>
                        <w:bottom w:val="none" w:sz="0" w:space="0" w:color="auto"/>
                        <w:right w:val="none" w:sz="0" w:space="0" w:color="auto"/>
                      </w:divBdr>
                    </w:div>
                  </w:divsChild>
                </w:div>
                <w:div w:id="2037807854">
                  <w:marLeft w:val="0"/>
                  <w:marRight w:val="0"/>
                  <w:marTop w:val="0"/>
                  <w:marBottom w:val="0"/>
                  <w:divBdr>
                    <w:top w:val="none" w:sz="0" w:space="0" w:color="auto"/>
                    <w:left w:val="none" w:sz="0" w:space="0" w:color="auto"/>
                    <w:bottom w:val="none" w:sz="0" w:space="0" w:color="auto"/>
                    <w:right w:val="none" w:sz="0" w:space="0" w:color="auto"/>
                  </w:divBdr>
                  <w:divsChild>
                    <w:div w:id="227301500">
                      <w:marLeft w:val="0"/>
                      <w:marRight w:val="0"/>
                      <w:marTop w:val="120"/>
                      <w:marBottom w:val="0"/>
                      <w:divBdr>
                        <w:top w:val="none" w:sz="0" w:space="0" w:color="auto"/>
                        <w:left w:val="none" w:sz="0" w:space="0" w:color="auto"/>
                        <w:bottom w:val="none" w:sz="0" w:space="0" w:color="auto"/>
                        <w:right w:val="none" w:sz="0" w:space="0" w:color="auto"/>
                      </w:divBdr>
                    </w:div>
                    <w:div w:id="825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246309">
      <w:bodyDiv w:val="1"/>
      <w:marLeft w:val="0"/>
      <w:marRight w:val="0"/>
      <w:marTop w:val="0"/>
      <w:marBottom w:val="0"/>
      <w:divBdr>
        <w:top w:val="none" w:sz="0" w:space="0" w:color="auto"/>
        <w:left w:val="none" w:sz="0" w:space="0" w:color="auto"/>
        <w:bottom w:val="none" w:sz="0" w:space="0" w:color="auto"/>
        <w:right w:val="none" w:sz="0" w:space="0" w:color="auto"/>
      </w:divBdr>
      <w:divsChild>
        <w:div w:id="1964842814">
          <w:marLeft w:val="0"/>
          <w:marRight w:val="0"/>
          <w:marTop w:val="0"/>
          <w:marBottom w:val="0"/>
          <w:divBdr>
            <w:top w:val="none" w:sz="0" w:space="0" w:color="auto"/>
            <w:left w:val="none" w:sz="0" w:space="0" w:color="auto"/>
            <w:bottom w:val="none" w:sz="0" w:space="0" w:color="auto"/>
            <w:right w:val="none" w:sz="0" w:space="0" w:color="auto"/>
          </w:divBdr>
        </w:div>
      </w:divsChild>
    </w:div>
    <w:div w:id="613833079">
      <w:bodyDiv w:val="1"/>
      <w:marLeft w:val="0"/>
      <w:marRight w:val="0"/>
      <w:marTop w:val="0"/>
      <w:marBottom w:val="0"/>
      <w:divBdr>
        <w:top w:val="none" w:sz="0" w:space="0" w:color="auto"/>
        <w:left w:val="none" w:sz="0" w:space="0" w:color="auto"/>
        <w:bottom w:val="none" w:sz="0" w:space="0" w:color="auto"/>
        <w:right w:val="none" w:sz="0" w:space="0" w:color="auto"/>
      </w:divBdr>
      <w:divsChild>
        <w:div w:id="688065926">
          <w:marLeft w:val="0"/>
          <w:marRight w:val="0"/>
          <w:marTop w:val="0"/>
          <w:marBottom w:val="0"/>
          <w:divBdr>
            <w:top w:val="none" w:sz="0" w:space="0" w:color="auto"/>
            <w:left w:val="none" w:sz="0" w:space="0" w:color="auto"/>
            <w:bottom w:val="none" w:sz="0" w:space="0" w:color="auto"/>
            <w:right w:val="none" w:sz="0" w:space="0" w:color="auto"/>
          </w:divBdr>
          <w:divsChild>
            <w:div w:id="626668485">
              <w:marLeft w:val="0"/>
              <w:marRight w:val="0"/>
              <w:marTop w:val="0"/>
              <w:marBottom w:val="0"/>
              <w:divBdr>
                <w:top w:val="none" w:sz="0" w:space="0" w:color="auto"/>
                <w:left w:val="none" w:sz="0" w:space="0" w:color="auto"/>
                <w:bottom w:val="none" w:sz="0" w:space="0" w:color="auto"/>
                <w:right w:val="none" w:sz="0" w:space="0" w:color="auto"/>
              </w:divBdr>
              <w:divsChild>
                <w:div w:id="1310747096">
                  <w:marLeft w:val="0"/>
                  <w:marRight w:val="0"/>
                  <w:marTop w:val="0"/>
                  <w:marBottom w:val="0"/>
                  <w:divBdr>
                    <w:top w:val="none" w:sz="0" w:space="0" w:color="auto"/>
                    <w:left w:val="none" w:sz="0" w:space="0" w:color="auto"/>
                    <w:bottom w:val="none" w:sz="0" w:space="0" w:color="auto"/>
                    <w:right w:val="none" w:sz="0" w:space="0" w:color="auto"/>
                  </w:divBdr>
                </w:div>
              </w:divsChild>
            </w:div>
            <w:div w:id="914359742">
              <w:marLeft w:val="0"/>
              <w:marRight w:val="0"/>
              <w:marTop w:val="0"/>
              <w:marBottom w:val="0"/>
              <w:divBdr>
                <w:top w:val="none" w:sz="0" w:space="0" w:color="auto"/>
                <w:left w:val="none" w:sz="0" w:space="0" w:color="auto"/>
                <w:bottom w:val="none" w:sz="0" w:space="0" w:color="auto"/>
                <w:right w:val="none" w:sz="0" w:space="0" w:color="auto"/>
              </w:divBdr>
              <w:divsChild>
                <w:div w:id="6263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96195">
      <w:bodyDiv w:val="1"/>
      <w:marLeft w:val="0"/>
      <w:marRight w:val="0"/>
      <w:marTop w:val="0"/>
      <w:marBottom w:val="0"/>
      <w:divBdr>
        <w:top w:val="none" w:sz="0" w:space="0" w:color="auto"/>
        <w:left w:val="none" w:sz="0" w:space="0" w:color="auto"/>
        <w:bottom w:val="none" w:sz="0" w:space="0" w:color="auto"/>
        <w:right w:val="none" w:sz="0" w:space="0" w:color="auto"/>
      </w:divBdr>
      <w:divsChild>
        <w:div w:id="559245270">
          <w:marLeft w:val="0"/>
          <w:marRight w:val="0"/>
          <w:marTop w:val="0"/>
          <w:marBottom w:val="0"/>
          <w:divBdr>
            <w:top w:val="none" w:sz="0" w:space="0" w:color="auto"/>
            <w:left w:val="none" w:sz="0" w:space="0" w:color="auto"/>
            <w:bottom w:val="none" w:sz="0" w:space="0" w:color="auto"/>
            <w:right w:val="none" w:sz="0" w:space="0" w:color="auto"/>
          </w:divBdr>
          <w:divsChild>
            <w:div w:id="109034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00113">
      <w:bodyDiv w:val="1"/>
      <w:marLeft w:val="0"/>
      <w:marRight w:val="0"/>
      <w:marTop w:val="0"/>
      <w:marBottom w:val="0"/>
      <w:divBdr>
        <w:top w:val="none" w:sz="0" w:space="0" w:color="auto"/>
        <w:left w:val="none" w:sz="0" w:space="0" w:color="auto"/>
        <w:bottom w:val="none" w:sz="0" w:space="0" w:color="auto"/>
        <w:right w:val="none" w:sz="0" w:space="0" w:color="auto"/>
      </w:divBdr>
      <w:divsChild>
        <w:div w:id="745759662">
          <w:marLeft w:val="0"/>
          <w:marRight w:val="0"/>
          <w:marTop w:val="0"/>
          <w:marBottom w:val="0"/>
          <w:divBdr>
            <w:top w:val="none" w:sz="0" w:space="0" w:color="auto"/>
            <w:left w:val="none" w:sz="0" w:space="0" w:color="auto"/>
            <w:bottom w:val="none" w:sz="0" w:space="0" w:color="auto"/>
            <w:right w:val="none" w:sz="0" w:space="0" w:color="auto"/>
          </w:divBdr>
          <w:divsChild>
            <w:div w:id="20716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964517">
      <w:bodyDiv w:val="1"/>
      <w:marLeft w:val="0"/>
      <w:marRight w:val="0"/>
      <w:marTop w:val="0"/>
      <w:marBottom w:val="0"/>
      <w:divBdr>
        <w:top w:val="none" w:sz="0" w:space="0" w:color="auto"/>
        <w:left w:val="none" w:sz="0" w:space="0" w:color="auto"/>
        <w:bottom w:val="none" w:sz="0" w:space="0" w:color="auto"/>
        <w:right w:val="none" w:sz="0" w:space="0" w:color="auto"/>
      </w:divBdr>
      <w:divsChild>
        <w:div w:id="1528983681">
          <w:marLeft w:val="0"/>
          <w:marRight w:val="0"/>
          <w:marTop w:val="0"/>
          <w:marBottom w:val="0"/>
          <w:divBdr>
            <w:top w:val="none" w:sz="0" w:space="0" w:color="auto"/>
            <w:left w:val="none" w:sz="0" w:space="0" w:color="auto"/>
            <w:bottom w:val="none" w:sz="0" w:space="0" w:color="auto"/>
            <w:right w:val="none" w:sz="0" w:space="0" w:color="auto"/>
          </w:divBdr>
        </w:div>
      </w:divsChild>
    </w:div>
    <w:div w:id="629242606">
      <w:bodyDiv w:val="1"/>
      <w:marLeft w:val="0"/>
      <w:marRight w:val="0"/>
      <w:marTop w:val="0"/>
      <w:marBottom w:val="0"/>
      <w:divBdr>
        <w:top w:val="none" w:sz="0" w:space="0" w:color="auto"/>
        <w:left w:val="none" w:sz="0" w:space="0" w:color="auto"/>
        <w:bottom w:val="none" w:sz="0" w:space="0" w:color="auto"/>
        <w:right w:val="none" w:sz="0" w:space="0" w:color="auto"/>
      </w:divBdr>
      <w:divsChild>
        <w:div w:id="1070225622">
          <w:marLeft w:val="0"/>
          <w:marRight w:val="0"/>
          <w:marTop w:val="0"/>
          <w:marBottom w:val="0"/>
          <w:divBdr>
            <w:top w:val="none" w:sz="0" w:space="0" w:color="auto"/>
            <w:left w:val="none" w:sz="0" w:space="0" w:color="auto"/>
            <w:bottom w:val="none" w:sz="0" w:space="0" w:color="auto"/>
            <w:right w:val="none" w:sz="0" w:space="0" w:color="auto"/>
          </w:divBdr>
        </w:div>
        <w:div w:id="1983775905">
          <w:marLeft w:val="0"/>
          <w:marRight w:val="0"/>
          <w:marTop w:val="0"/>
          <w:marBottom w:val="0"/>
          <w:divBdr>
            <w:top w:val="none" w:sz="0" w:space="0" w:color="auto"/>
            <w:left w:val="none" w:sz="0" w:space="0" w:color="auto"/>
            <w:bottom w:val="none" w:sz="0" w:space="0" w:color="auto"/>
            <w:right w:val="none" w:sz="0" w:space="0" w:color="auto"/>
          </w:divBdr>
          <w:divsChild>
            <w:div w:id="10383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3788">
      <w:bodyDiv w:val="1"/>
      <w:marLeft w:val="0"/>
      <w:marRight w:val="0"/>
      <w:marTop w:val="0"/>
      <w:marBottom w:val="0"/>
      <w:divBdr>
        <w:top w:val="none" w:sz="0" w:space="0" w:color="auto"/>
        <w:left w:val="none" w:sz="0" w:space="0" w:color="auto"/>
        <w:bottom w:val="none" w:sz="0" w:space="0" w:color="auto"/>
        <w:right w:val="none" w:sz="0" w:space="0" w:color="auto"/>
      </w:divBdr>
      <w:divsChild>
        <w:div w:id="792484061">
          <w:marLeft w:val="0"/>
          <w:marRight w:val="0"/>
          <w:marTop w:val="0"/>
          <w:marBottom w:val="0"/>
          <w:divBdr>
            <w:top w:val="none" w:sz="0" w:space="0" w:color="auto"/>
            <w:left w:val="none" w:sz="0" w:space="0" w:color="auto"/>
            <w:bottom w:val="none" w:sz="0" w:space="0" w:color="auto"/>
            <w:right w:val="none" w:sz="0" w:space="0" w:color="auto"/>
          </w:divBdr>
        </w:div>
      </w:divsChild>
    </w:div>
    <w:div w:id="648289739">
      <w:bodyDiv w:val="1"/>
      <w:marLeft w:val="0"/>
      <w:marRight w:val="0"/>
      <w:marTop w:val="0"/>
      <w:marBottom w:val="0"/>
      <w:divBdr>
        <w:top w:val="none" w:sz="0" w:space="0" w:color="auto"/>
        <w:left w:val="none" w:sz="0" w:space="0" w:color="auto"/>
        <w:bottom w:val="none" w:sz="0" w:space="0" w:color="auto"/>
        <w:right w:val="none" w:sz="0" w:space="0" w:color="auto"/>
      </w:divBdr>
      <w:divsChild>
        <w:div w:id="375783874">
          <w:marLeft w:val="0"/>
          <w:marRight w:val="0"/>
          <w:marTop w:val="0"/>
          <w:marBottom w:val="0"/>
          <w:divBdr>
            <w:top w:val="none" w:sz="0" w:space="0" w:color="auto"/>
            <w:left w:val="none" w:sz="0" w:space="0" w:color="auto"/>
            <w:bottom w:val="none" w:sz="0" w:space="0" w:color="auto"/>
            <w:right w:val="none" w:sz="0" w:space="0" w:color="auto"/>
          </w:divBdr>
        </w:div>
        <w:div w:id="1453089623">
          <w:marLeft w:val="0"/>
          <w:marRight w:val="0"/>
          <w:marTop w:val="0"/>
          <w:marBottom w:val="0"/>
          <w:divBdr>
            <w:top w:val="none" w:sz="0" w:space="0" w:color="auto"/>
            <w:left w:val="none" w:sz="0" w:space="0" w:color="auto"/>
            <w:bottom w:val="none" w:sz="0" w:space="0" w:color="auto"/>
            <w:right w:val="none" w:sz="0" w:space="0" w:color="auto"/>
          </w:divBdr>
          <w:divsChild>
            <w:div w:id="615671744">
              <w:marLeft w:val="0"/>
              <w:marRight w:val="0"/>
              <w:marTop w:val="0"/>
              <w:marBottom w:val="0"/>
              <w:divBdr>
                <w:top w:val="none" w:sz="0" w:space="0" w:color="auto"/>
                <w:left w:val="none" w:sz="0" w:space="0" w:color="auto"/>
                <w:bottom w:val="none" w:sz="0" w:space="0" w:color="auto"/>
                <w:right w:val="none" w:sz="0" w:space="0" w:color="auto"/>
              </w:divBdr>
              <w:divsChild>
                <w:div w:id="168761764">
                  <w:marLeft w:val="0"/>
                  <w:marRight w:val="0"/>
                  <w:marTop w:val="0"/>
                  <w:marBottom w:val="0"/>
                  <w:divBdr>
                    <w:top w:val="none" w:sz="0" w:space="0" w:color="auto"/>
                    <w:left w:val="none" w:sz="0" w:space="0" w:color="auto"/>
                    <w:bottom w:val="none" w:sz="0" w:space="0" w:color="auto"/>
                    <w:right w:val="none" w:sz="0" w:space="0" w:color="auto"/>
                  </w:divBdr>
                  <w:divsChild>
                    <w:div w:id="147981056">
                      <w:marLeft w:val="0"/>
                      <w:marRight w:val="0"/>
                      <w:marTop w:val="120"/>
                      <w:marBottom w:val="0"/>
                      <w:divBdr>
                        <w:top w:val="none" w:sz="0" w:space="0" w:color="auto"/>
                        <w:left w:val="none" w:sz="0" w:space="0" w:color="auto"/>
                        <w:bottom w:val="none" w:sz="0" w:space="0" w:color="auto"/>
                        <w:right w:val="none" w:sz="0" w:space="0" w:color="auto"/>
                      </w:divBdr>
                    </w:div>
                    <w:div w:id="455610646">
                      <w:marLeft w:val="0"/>
                      <w:marRight w:val="0"/>
                      <w:marTop w:val="0"/>
                      <w:marBottom w:val="0"/>
                      <w:divBdr>
                        <w:top w:val="none" w:sz="0" w:space="0" w:color="auto"/>
                        <w:left w:val="none" w:sz="0" w:space="0" w:color="auto"/>
                        <w:bottom w:val="none" w:sz="0" w:space="0" w:color="auto"/>
                        <w:right w:val="none" w:sz="0" w:space="0" w:color="auto"/>
                      </w:divBdr>
                    </w:div>
                  </w:divsChild>
                </w:div>
                <w:div w:id="224801149">
                  <w:marLeft w:val="0"/>
                  <w:marRight w:val="0"/>
                  <w:marTop w:val="0"/>
                  <w:marBottom w:val="0"/>
                  <w:divBdr>
                    <w:top w:val="none" w:sz="0" w:space="0" w:color="auto"/>
                    <w:left w:val="none" w:sz="0" w:space="0" w:color="auto"/>
                    <w:bottom w:val="none" w:sz="0" w:space="0" w:color="auto"/>
                    <w:right w:val="none" w:sz="0" w:space="0" w:color="auto"/>
                  </w:divBdr>
                  <w:divsChild>
                    <w:div w:id="1120299749">
                      <w:marLeft w:val="0"/>
                      <w:marRight w:val="0"/>
                      <w:marTop w:val="0"/>
                      <w:marBottom w:val="0"/>
                      <w:divBdr>
                        <w:top w:val="none" w:sz="0" w:space="0" w:color="auto"/>
                        <w:left w:val="none" w:sz="0" w:space="0" w:color="auto"/>
                        <w:bottom w:val="none" w:sz="0" w:space="0" w:color="auto"/>
                        <w:right w:val="none" w:sz="0" w:space="0" w:color="auto"/>
                      </w:divBdr>
                    </w:div>
                    <w:div w:id="1470052171">
                      <w:marLeft w:val="0"/>
                      <w:marRight w:val="0"/>
                      <w:marTop w:val="120"/>
                      <w:marBottom w:val="0"/>
                      <w:divBdr>
                        <w:top w:val="none" w:sz="0" w:space="0" w:color="auto"/>
                        <w:left w:val="none" w:sz="0" w:space="0" w:color="auto"/>
                        <w:bottom w:val="none" w:sz="0" w:space="0" w:color="auto"/>
                        <w:right w:val="none" w:sz="0" w:space="0" w:color="auto"/>
                      </w:divBdr>
                    </w:div>
                  </w:divsChild>
                </w:div>
                <w:div w:id="699015150">
                  <w:marLeft w:val="0"/>
                  <w:marRight w:val="0"/>
                  <w:marTop w:val="0"/>
                  <w:marBottom w:val="0"/>
                  <w:divBdr>
                    <w:top w:val="none" w:sz="0" w:space="0" w:color="auto"/>
                    <w:left w:val="none" w:sz="0" w:space="0" w:color="auto"/>
                    <w:bottom w:val="none" w:sz="0" w:space="0" w:color="auto"/>
                    <w:right w:val="none" w:sz="0" w:space="0" w:color="auto"/>
                  </w:divBdr>
                  <w:divsChild>
                    <w:div w:id="904298061">
                      <w:marLeft w:val="0"/>
                      <w:marRight w:val="0"/>
                      <w:marTop w:val="120"/>
                      <w:marBottom w:val="0"/>
                      <w:divBdr>
                        <w:top w:val="none" w:sz="0" w:space="0" w:color="auto"/>
                        <w:left w:val="none" w:sz="0" w:space="0" w:color="auto"/>
                        <w:bottom w:val="none" w:sz="0" w:space="0" w:color="auto"/>
                        <w:right w:val="none" w:sz="0" w:space="0" w:color="auto"/>
                      </w:divBdr>
                    </w:div>
                    <w:div w:id="1935241555">
                      <w:marLeft w:val="0"/>
                      <w:marRight w:val="0"/>
                      <w:marTop w:val="0"/>
                      <w:marBottom w:val="0"/>
                      <w:divBdr>
                        <w:top w:val="none" w:sz="0" w:space="0" w:color="auto"/>
                        <w:left w:val="none" w:sz="0" w:space="0" w:color="auto"/>
                        <w:bottom w:val="none" w:sz="0" w:space="0" w:color="auto"/>
                        <w:right w:val="none" w:sz="0" w:space="0" w:color="auto"/>
                      </w:divBdr>
                    </w:div>
                  </w:divsChild>
                </w:div>
                <w:div w:id="748507319">
                  <w:marLeft w:val="0"/>
                  <w:marRight w:val="0"/>
                  <w:marTop w:val="0"/>
                  <w:marBottom w:val="0"/>
                  <w:divBdr>
                    <w:top w:val="none" w:sz="0" w:space="0" w:color="auto"/>
                    <w:left w:val="none" w:sz="0" w:space="0" w:color="auto"/>
                    <w:bottom w:val="none" w:sz="0" w:space="0" w:color="auto"/>
                    <w:right w:val="none" w:sz="0" w:space="0" w:color="auto"/>
                  </w:divBdr>
                  <w:divsChild>
                    <w:div w:id="763303118">
                      <w:marLeft w:val="0"/>
                      <w:marRight w:val="0"/>
                      <w:marTop w:val="120"/>
                      <w:marBottom w:val="0"/>
                      <w:divBdr>
                        <w:top w:val="none" w:sz="0" w:space="0" w:color="auto"/>
                        <w:left w:val="none" w:sz="0" w:space="0" w:color="auto"/>
                        <w:bottom w:val="none" w:sz="0" w:space="0" w:color="auto"/>
                        <w:right w:val="none" w:sz="0" w:space="0" w:color="auto"/>
                      </w:divBdr>
                    </w:div>
                    <w:div w:id="1021321503">
                      <w:marLeft w:val="0"/>
                      <w:marRight w:val="0"/>
                      <w:marTop w:val="0"/>
                      <w:marBottom w:val="0"/>
                      <w:divBdr>
                        <w:top w:val="none" w:sz="0" w:space="0" w:color="auto"/>
                        <w:left w:val="none" w:sz="0" w:space="0" w:color="auto"/>
                        <w:bottom w:val="none" w:sz="0" w:space="0" w:color="auto"/>
                        <w:right w:val="none" w:sz="0" w:space="0" w:color="auto"/>
                      </w:divBdr>
                    </w:div>
                  </w:divsChild>
                </w:div>
                <w:div w:id="950010342">
                  <w:marLeft w:val="0"/>
                  <w:marRight w:val="0"/>
                  <w:marTop w:val="0"/>
                  <w:marBottom w:val="0"/>
                  <w:divBdr>
                    <w:top w:val="none" w:sz="0" w:space="0" w:color="auto"/>
                    <w:left w:val="none" w:sz="0" w:space="0" w:color="auto"/>
                    <w:bottom w:val="none" w:sz="0" w:space="0" w:color="auto"/>
                    <w:right w:val="none" w:sz="0" w:space="0" w:color="auto"/>
                  </w:divBdr>
                  <w:divsChild>
                    <w:div w:id="509686759">
                      <w:marLeft w:val="0"/>
                      <w:marRight w:val="0"/>
                      <w:marTop w:val="0"/>
                      <w:marBottom w:val="0"/>
                      <w:divBdr>
                        <w:top w:val="none" w:sz="0" w:space="0" w:color="auto"/>
                        <w:left w:val="none" w:sz="0" w:space="0" w:color="auto"/>
                        <w:bottom w:val="none" w:sz="0" w:space="0" w:color="auto"/>
                        <w:right w:val="none" w:sz="0" w:space="0" w:color="auto"/>
                      </w:divBdr>
                    </w:div>
                    <w:div w:id="693969433">
                      <w:marLeft w:val="0"/>
                      <w:marRight w:val="0"/>
                      <w:marTop w:val="120"/>
                      <w:marBottom w:val="0"/>
                      <w:divBdr>
                        <w:top w:val="none" w:sz="0" w:space="0" w:color="auto"/>
                        <w:left w:val="none" w:sz="0" w:space="0" w:color="auto"/>
                        <w:bottom w:val="none" w:sz="0" w:space="0" w:color="auto"/>
                        <w:right w:val="none" w:sz="0" w:space="0" w:color="auto"/>
                      </w:divBdr>
                    </w:div>
                  </w:divsChild>
                </w:div>
                <w:div w:id="1370883725">
                  <w:marLeft w:val="0"/>
                  <w:marRight w:val="0"/>
                  <w:marTop w:val="0"/>
                  <w:marBottom w:val="0"/>
                  <w:divBdr>
                    <w:top w:val="none" w:sz="0" w:space="0" w:color="auto"/>
                    <w:left w:val="none" w:sz="0" w:space="0" w:color="auto"/>
                    <w:bottom w:val="none" w:sz="0" w:space="0" w:color="auto"/>
                    <w:right w:val="none" w:sz="0" w:space="0" w:color="auto"/>
                  </w:divBdr>
                  <w:divsChild>
                    <w:div w:id="1179194428">
                      <w:marLeft w:val="0"/>
                      <w:marRight w:val="0"/>
                      <w:marTop w:val="0"/>
                      <w:marBottom w:val="0"/>
                      <w:divBdr>
                        <w:top w:val="none" w:sz="0" w:space="0" w:color="auto"/>
                        <w:left w:val="none" w:sz="0" w:space="0" w:color="auto"/>
                        <w:bottom w:val="none" w:sz="0" w:space="0" w:color="auto"/>
                        <w:right w:val="none" w:sz="0" w:space="0" w:color="auto"/>
                      </w:divBdr>
                    </w:div>
                    <w:div w:id="1423062415">
                      <w:marLeft w:val="0"/>
                      <w:marRight w:val="0"/>
                      <w:marTop w:val="120"/>
                      <w:marBottom w:val="0"/>
                      <w:divBdr>
                        <w:top w:val="none" w:sz="0" w:space="0" w:color="auto"/>
                        <w:left w:val="none" w:sz="0" w:space="0" w:color="auto"/>
                        <w:bottom w:val="none" w:sz="0" w:space="0" w:color="auto"/>
                        <w:right w:val="none" w:sz="0" w:space="0" w:color="auto"/>
                      </w:divBdr>
                    </w:div>
                  </w:divsChild>
                </w:div>
                <w:div w:id="1388919537">
                  <w:marLeft w:val="0"/>
                  <w:marRight w:val="0"/>
                  <w:marTop w:val="0"/>
                  <w:marBottom w:val="0"/>
                  <w:divBdr>
                    <w:top w:val="none" w:sz="0" w:space="0" w:color="auto"/>
                    <w:left w:val="none" w:sz="0" w:space="0" w:color="auto"/>
                    <w:bottom w:val="none" w:sz="0" w:space="0" w:color="auto"/>
                    <w:right w:val="none" w:sz="0" w:space="0" w:color="auto"/>
                  </w:divBdr>
                  <w:divsChild>
                    <w:div w:id="938871287">
                      <w:marLeft w:val="0"/>
                      <w:marRight w:val="0"/>
                      <w:marTop w:val="120"/>
                      <w:marBottom w:val="0"/>
                      <w:divBdr>
                        <w:top w:val="none" w:sz="0" w:space="0" w:color="auto"/>
                        <w:left w:val="none" w:sz="0" w:space="0" w:color="auto"/>
                        <w:bottom w:val="none" w:sz="0" w:space="0" w:color="auto"/>
                        <w:right w:val="none" w:sz="0" w:space="0" w:color="auto"/>
                      </w:divBdr>
                    </w:div>
                    <w:div w:id="1446535177">
                      <w:marLeft w:val="0"/>
                      <w:marRight w:val="0"/>
                      <w:marTop w:val="0"/>
                      <w:marBottom w:val="0"/>
                      <w:divBdr>
                        <w:top w:val="none" w:sz="0" w:space="0" w:color="auto"/>
                        <w:left w:val="none" w:sz="0" w:space="0" w:color="auto"/>
                        <w:bottom w:val="none" w:sz="0" w:space="0" w:color="auto"/>
                        <w:right w:val="none" w:sz="0" w:space="0" w:color="auto"/>
                      </w:divBdr>
                    </w:div>
                  </w:divsChild>
                </w:div>
                <w:div w:id="1394889131">
                  <w:marLeft w:val="0"/>
                  <w:marRight w:val="0"/>
                  <w:marTop w:val="0"/>
                  <w:marBottom w:val="0"/>
                  <w:divBdr>
                    <w:top w:val="none" w:sz="0" w:space="0" w:color="auto"/>
                    <w:left w:val="none" w:sz="0" w:space="0" w:color="auto"/>
                    <w:bottom w:val="none" w:sz="0" w:space="0" w:color="auto"/>
                    <w:right w:val="none" w:sz="0" w:space="0" w:color="auto"/>
                  </w:divBdr>
                  <w:divsChild>
                    <w:div w:id="270860616">
                      <w:marLeft w:val="0"/>
                      <w:marRight w:val="0"/>
                      <w:marTop w:val="120"/>
                      <w:marBottom w:val="0"/>
                      <w:divBdr>
                        <w:top w:val="none" w:sz="0" w:space="0" w:color="auto"/>
                        <w:left w:val="none" w:sz="0" w:space="0" w:color="auto"/>
                        <w:bottom w:val="none" w:sz="0" w:space="0" w:color="auto"/>
                        <w:right w:val="none" w:sz="0" w:space="0" w:color="auto"/>
                      </w:divBdr>
                    </w:div>
                    <w:div w:id="5686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86182">
      <w:bodyDiv w:val="1"/>
      <w:marLeft w:val="0"/>
      <w:marRight w:val="0"/>
      <w:marTop w:val="0"/>
      <w:marBottom w:val="0"/>
      <w:divBdr>
        <w:top w:val="none" w:sz="0" w:space="0" w:color="auto"/>
        <w:left w:val="none" w:sz="0" w:space="0" w:color="auto"/>
        <w:bottom w:val="none" w:sz="0" w:space="0" w:color="auto"/>
        <w:right w:val="none" w:sz="0" w:space="0" w:color="auto"/>
      </w:divBdr>
      <w:divsChild>
        <w:div w:id="903106623">
          <w:marLeft w:val="0"/>
          <w:marRight w:val="0"/>
          <w:marTop w:val="0"/>
          <w:marBottom w:val="0"/>
          <w:divBdr>
            <w:top w:val="none" w:sz="0" w:space="0" w:color="auto"/>
            <w:left w:val="none" w:sz="0" w:space="0" w:color="auto"/>
            <w:bottom w:val="none" w:sz="0" w:space="0" w:color="auto"/>
            <w:right w:val="none" w:sz="0" w:space="0" w:color="auto"/>
          </w:divBdr>
          <w:divsChild>
            <w:div w:id="834999856">
              <w:marLeft w:val="0"/>
              <w:marRight w:val="0"/>
              <w:marTop w:val="0"/>
              <w:marBottom w:val="0"/>
              <w:divBdr>
                <w:top w:val="none" w:sz="0" w:space="0" w:color="auto"/>
                <w:left w:val="none" w:sz="0" w:space="0" w:color="auto"/>
                <w:bottom w:val="none" w:sz="0" w:space="0" w:color="auto"/>
                <w:right w:val="none" w:sz="0" w:space="0" w:color="auto"/>
              </w:divBdr>
              <w:divsChild>
                <w:div w:id="203298599">
                  <w:marLeft w:val="0"/>
                  <w:marRight w:val="0"/>
                  <w:marTop w:val="0"/>
                  <w:marBottom w:val="0"/>
                  <w:divBdr>
                    <w:top w:val="none" w:sz="0" w:space="0" w:color="auto"/>
                    <w:left w:val="none" w:sz="0" w:space="0" w:color="auto"/>
                    <w:bottom w:val="none" w:sz="0" w:space="0" w:color="auto"/>
                    <w:right w:val="none" w:sz="0" w:space="0" w:color="auto"/>
                  </w:divBdr>
                </w:div>
                <w:div w:id="1951011371">
                  <w:marLeft w:val="0"/>
                  <w:marRight w:val="0"/>
                  <w:marTop w:val="120"/>
                  <w:marBottom w:val="0"/>
                  <w:divBdr>
                    <w:top w:val="none" w:sz="0" w:space="0" w:color="auto"/>
                    <w:left w:val="none" w:sz="0" w:space="0" w:color="auto"/>
                    <w:bottom w:val="none" w:sz="0" w:space="0" w:color="auto"/>
                    <w:right w:val="none" w:sz="0" w:space="0" w:color="auto"/>
                  </w:divBdr>
                </w:div>
              </w:divsChild>
            </w:div>
            <w:div w:id="1892688648">
              <w:marLeft w:val="0"/>
              <w:marRight w:val="0"/>
              <w:marTop w:val="0"/>
              <w:marBottom w:val="0"/>
              <w:divBdr>
                <w:top w:val="none" w:sz="0" w:space="0" w:color="auto"/>
                <w:left w:val="none" w:sz="0" w:space="0" w:color="auto"/>
                <w:bottom w:val="none" w:sz="0" w:space="0" w:color="auto"/>
                <w:right w:val="none" w:sz="0" w:space="0" w:color="auto"/>
              </w:divBdr>
              <w:divsChild>
                <w:div w:id="451902989">
                  <w:marLeft w:val="0"/>
                  <w:marRight w:val="0"/>
                  <w:marTop w:val="0"/>
                  <w:marBottom w:val="0"/>
                  <w:divBdr>
                    <w:top w:val="none" w:sz="0" w:space="0" w:color="auto"/>
                    <w:left w:val="none" w:sz="0" w:space="0" w:color="auto"/>
                    <w:bottom w:val="none" w:sz="0" w:space="0" w:color="auto"/>
                    <w:right w:val="none" w:sz="0" w:space="0" w:color="auto"/>
                  </w:divBdr>
                </w:div>
                <w:div w:id="6467142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53797940">
      <w:bodyDiv w:val="1"/>
      <w:marLeft w:val="0"/>
      <w:marRight w:val="0"/>
      <w:marTop w:val="0"/>
      <w:marBottom w:val="0"/>
      <w:divBdr>
        <w:top w:val="none" w:sz="0" w:space="0" w:color="auto"/>
        <w:left w:val="none" w:sz="0" w:space="0" w:color="auto"/>
        <w:bottom w:val="none" w:sz="0" w:space="0" w:color="auto"/>
        <w:right w:val="none" w:sz="0" w:space="0" w:color="auto"/>
      </w:divBdr>
      <w:divsChild>
        <w:div w:id="577401051">
          <w:marLeft w:val="0"/>
          <w:marRight w:val="0"/>
          <w:marTop w:val="0"/>
          <w:marBottom w:val="0"/>
          <w:divBdr>
            <w:top w:val="none" w:sz="0" w:space="0" w:color="auto"/>
            <w:left w:val="none" w:sz="0" w:space="0" w:color="auto"/>
            <w:bottom w:val="none" w:sz="0" w:space="0" w:color="auto"/>
            <w:right w:val="none" w:sz="0" w:space="0" w:color="auto"/>
          </w:divBdr>
        </w:div>
      </w:divsChild>
    </w:div>
    <w:div w:id="654988727">
      <w:bodyDiv w:val="1"/>
      <w:marLeft w:val="0"/>
      <w:marRight w:val="0"/>
      <w:marTop w:val="0"/>
      <w:marBottom w:val="0"/>
      <w:divBdr>
        <w:top w:val="none" w:sz="0" w:space="0" w:color="auto"/>
        <w:left w:val="none" w:sz="0" w:space="0" w:color="auto"/>
        <w:bottom w:val="none" w:sz="0" w:space="0" w:color="auto"/>
        <w:right w:val="none" w:sz="0" w:space="0" w:color="auto"/>
      </w:divBdr>
      <w:divsChild>
        <w:div w:id="419256871">
          <w:marLeft w:val="0"/>
          <w:marRight w:val="0"/>
          <w:marTop w:val="0"/>
          <w:marBottom w:val="0"/>
          <w:divBdr>
            <w:top w:val="none" w:sz="0" w:space="0" w:color="auto"/>
            <w:left w:val="none" w:sz="0" w:space="0" w:color="auto"/>
            <w:bottom w:val="none" w:sz="0" w:space="0" w:color="auto"/>
            <w:right w:val="none" w:sz="0" w:space="0" w:color="auto"/>
          </w:divBdr>
          <w:divsChild>
            <w:div w:id="798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8730">
      <w:bodyDiv w:val="1"/>
      <w:marLeft w:val="0"/>
      <w:marRight w:val="0"/>
      <w:marTop w:val="0"/>
      <w:marBottom w:val="0"/>
      <w:divBdr>
        <w:top w:val="none" w:sz="0" w:space="0" w:color="auto"/>
        <w:left w:val="none" w:sz="0" w:space="0" w:color="auto"/>
        <w:bottom w:val="none" w:sz="0" w:space="0" w:color="auto"/>
        <w:right w:val="none" w:sz="0" w:space="0" w:color="auto"/>
      </w:divBdr>
      <w:divsChild>
        <w:div w:id="365452596">
          <w:marLeft w:val="0"/>
          <w:marRight w:val="0"/>
          <w:marTop w:val="0"/>
          <w:marBottom w:val="0"/>
          <w:divBdr>
            <w:top w:val="none" w:sz="0" w:space="0" w:color="auto"/>
            <w:left w:val="none" w:sz="0" w:space="0" w:color="auto"/>
            <w:bottom w:val="none" w:sz="0" w:space="0" w:color="auto"/>
            <w:right w:val="none" w:sz="0" w:space="0" w:color="auto"/>
          </w:divBdr>
          <w:divsChild>
            <w:div w:id="1649475745">
              <w:marLeft w:val="0"/>
              <w:marRight w:val="0"/>
              <w:marTop w:val="0"/>
              <w:marBottom w:val="0"/>
              <w:divBdr>
                <w:top w:val="none" w:sz="0" w:space="0" w:color="auto"/>
                <w:left w:val="none" w:sz="0" w:space="0" w:color="auto"/>
                <w:bottom w:val="none" w:sz="0" w:space="0" w:color="auto"/>
                <w:right w:val="none" w:sz="0" w:space="0" w:color="auto"/>
              </w:divBdr>
              <w:divsChild>
                <w:div w:id="1641228633">
                  <w:marLeft w:val="0"/>
                  <w:marRight w:val="0"/>
                  <w:marTop w:val="0"/>
                  <w:marBottom w:val="0"/>
                  <w:divBdr>
                    <w:top w:val="none" w:sz="0" w:space="0" w:color="auto"/>
                    <w:left w:val="none" w:sz="0" w:space="0" w:color="auto"/>
                    <w:bottom w:val="none" w:sz="0" w:space="0" w:color="auto"/>
                    <w:right w:val="none" w:sz="0" w:space="0" w:color="auto"/>
                  </w:divBdr>
                  <w:divsChild>
                    <w:div w:id="324356522">
                      <w:marLeft w:val="0"/>
                      <w:marRight w:val="0"/>
                      <w:marTop w:val="120"/>
                      <w:marBottom w:val="0"/>
                      <w:divBdr>
                        <w:top w:val="none" w:sz="0" w:space="0" w:color="auto"/>
                        <w:left w:val="none" w:sz="0" w:space="0" w:color="auto"/>
                        <w:bottom w:val="none" w:sz="0" w:space="0" w:color="auto"/>
                        <w:right w:val="none" w:sz="0" w:space="0" w:color="auto"/>
                      </w:divBdr>
                    </w:div>
                    <w:div w:id="430126009">
                      <w:marLeft w:val="0"/>
                      <w:marRight w:val="0"/>
                      <w:marTop w:val="0"/>
                      <w:marBottom w:val="0"/>
                      <w:divBdr>
                        <w:top w:val="none" w:sz="0" w:space="0" w:color="auto"/>
                        <w:left w:val="none" w:sz="0" w:space="0" w:color="auto"/>
                        <w:bottom w:val="none" w:sz="0" w:space="0" w:color="auto"/>
                        <w:right w:val="none" w:sz="0" w:space="0" w:color="auto"/>
                      </w:divBdr>
                    </w:div>
                  </w:divsChild>
                </w:div>
                <w:div w:id="1878815782">
                  <w:marLeft w:val="0"/>
                  <w:marRight w:val="0"/>
                  <w:marTop w:val="0"/>
                  <w:marBottom w:val="0"/>
                  <w:divBdr>
                    <w:top w:val="none" w:sz="0" w:space="0" w:color="auto"/>
                    <w:left w:val="none" w:sz="0" w:space="0" w:color="auto"/>
                    <w:bottom w:val="none" w:sz="0" w:space="0" w:color="auto"/>
                    <w:right w:val="none" w:sz="0" w:space="0" w:color="auto"/>
                  </w:divBdr>
                  <w:divsChild>
                    <w:div w:id="216354272">
                      <w:marLeft w:val="0"/>
                      <w:marRight w:val="0"/>
                      <w:marTop w:val="120"/>
                      <w:marBottom w:val="0"/>
                      <w:divBdr>
                        <w:top w:val="none" w:sz="0" w:space="0" w:color="auto"/>
                        <w:left w:val="none" w:sz="0" w:space="0" w:color="auto"/>
                        <w:bottom w:val="none" w:sz="0" w:space="0" w:color="auto"/>
                        <w:right w:val="none" w:sz="0" w:space="0" w:color="auto"/>
                      </w:divBdr>
                    </w:div>
                    <w:div w:id="716202751">
                      <w:marLeft w:val="0"/>
                      <w:marRight w:val="0"/>
                      <w:marTop w:val="0"/>
                      <w:marBottom w:val="0"/>
                      <w:divBdr>
                        <w:top w:val="none" w:sz="0" w:space="0" w:color="auto"/>
                        <w:left w:val="none" w:sz="0" w:space="0" w:color="auto"/>
                        <w:bottom w:val="none" w:sz="0" w:space="0" w:color="auto"/>
                        <w:right w:val="none" w:sz="0" w:space="0" w:color="auto"/>
                      </w:divBdr>
                    </w:div>
                  </w:divsChild>
                </w:div>
                <w:div w:id="2089450515">
                  <w:marLeft w:val="0"/>
                  <w:marRight w:val="0"/>
                  <w:marTop w:val="0"/>
                  <w:marBottom w:val="0"/>
                  <w:divBdr>
                    <w:top w:val="none" w:sz="0" w:space="0" w:color="auto"/>
                    <w:left w:val="none" w:sz="0" w:space="0" w:color="auto"/>
                    <w:bottom w:val="none" w:sz="0" w:space="0" w:color="auto"/>
                    <w:right w:val="none" w:sz="0" w:space="0" w:color="auto"/>
                  </w:divBdr>
                  <w:divsChild>
                    <w:div w:id="564681378">
                      <w:marLeft w:val="0"/>
                      <w:marRight w:val="0"/>
                      <w:marTop w:val="120"/>
                      <w:marBottom w:val="0"/>
                      <w:divBdr>
                        <w:top w:val="none" w:sz="0" w:space="0" w:color="auto"/>
                        <w:left w:val="none" w:sz="0" w:space="0" w:color="auto"/>
                        <w:bottom w:val="none" w:sz="0" w:space="0" w:color="auto"/>
                        <w:right w:val="none" w:sz="0" w:space="0" w:color="auto"/>
                      </w:divBdr>
                    </w:div>
                    <w:div w:id="67700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78858">
          <w:marLeft w:val="0"/>
          <w:marRight w:val="0"/>
          <w:marTop w:val="0"/>
          <w:marBottom w:val="0"/>
          <w:divBdr>
            <w:top w:val="none" w:sz="0" w:space="0" w:color="auto"/>
            <w:left w:val="none" w:sz="0" w:space="0" w:color="auto"/>
            <w:bottom w:val="none" w:sz="0" w:space="0" w:color="auto"/>
            <w:right w:val="none" w:sz="0" w:space="0" w:color="auto"/>
          </w:divBdr>
          <w:divsChild>
            <w:div w:id="381295041">
              <w:marLeft w:val="0"/>
              <w:marRight w:val="0"/>
              <w:marTop w:val="0"/>
              <w:marBottom w:val="0"/>
              <w:divBdr>
                <w:top w:val="none" w:sz="0" w:space="0" w:color="auto"/>
                <w:left w:val="none" w:sz="0" w:space="0" w:color="auto"/>
                <w:bottom w:val="none" w:sz="0" w:space="0" w:color="auto"/>
                <w:right w:val="none" w:sz="0" w:space="0" w:color="auto"/>
              </w:divBdr>
            </w:div>
          </w:divsChild>
        </w:div>
        <w:div w:id="1906181798">
          <w:marLeft w:val="0"/>
          <w:marRight w:val="0"/>
          <w:marTop w:val="0"/>
          <w:marBottom w:val="0"/>
          <w:divBdr>
            <w:top w:val="none" w:sz="0" w:space="0" w:color="auto"/>
            <w:left w:val="none" w:sz="0" w:space="0" w:color="auto"/>
            <w:bottom w:val="none" w:sz="0" w:space="0" w:color="auto"/>
            <w:right w:val="none" w:sz="0" w:space="0" w:color="auto"/>
          </w:divBdr>
          <w:divsChild>
            <w:div w:id="1165822169">
              <w:marLeft w:val="0"/>
              <w:marRight w:val="0"/>
              <w:marTop w:val="0"/>
              <w:marBottom w:val="0"/>
              <w:divBdr>
                <w:top w:val="none" w:sz="0" w:space="0" w:color="auto"/>
                <w:left w:val="none" w:sz="0" w:space="0" w:color="auto"/>
                <w:bottom w:val="none" w:sz="0" w:space="0" w:color="auto"/>
                <w:right w:val="none" w:sz="0" w:space="0" w:color="auto"/>
              </w:divBdr>
              <w:divsChild>
                <w:div w:id="951401625">
                  <w:marLeft w:val="0"/>
                  <w:marRight w:val="0"/>
                  <w:marTop w:val="0"/>
                  <w:marBottom w:val="0"/>
                  <w:divBdr>
                    <w:top w:val="none" w:sz="0" w:space="0" w:color="auto"/>
                    <w:left w:val="none" w:sz="0" w:space="0" w:color="auto"/>
                    <w:bottom w:val="none" w:sz="0" w:space="0" w:color="auto"/>
                    <w:right w:val="none" w:sz="0" w:space="0" w:color="auto"/>
                  </w:divBdr>
                  <w:divsChild>
                    <w:div w:id="844053046">
                      <w:marLeft w:val="0"/>
                      <w:marRight w:val="0"/>
                      <w:marTop w:val="0"/>
                      <w:marBottom w:val="0"/>
                      <w:divBdr>
                        <w:top w:val="none" w:sz="0" w:space="0" w:color="auto"/>
                        <w:left w:val="none" w:sz="0" w:space="0" w:color="auto"/>
                        <w:bottom w:val="none" w:sz="0" w:space="0" w:color="auto"/>
                        <w:right w:val="none" w:sz="0" w:space="0" w:color="auto"/>
                      </w:divBdr>
                    </w:div>
                    <w:div w:id="1583250842">
                      <w:marLeft w:val="0"/>
                      <w:marRight w:val="0"/>
                      <w:marTop w:val="120"/>
                      <w:marBottom w:val="0"/>
                      <w:divBdr>
                        <w:top w:val="none" w:sz="0" w:space="0" w:color="auto"/>
                        <w:left w:val="none" w:sz="0" w:space="0" w:color="auto"/>
                        <w:bottom w:val="none" w:sz="0" w:space="0" w:color="auto"/>
                        <w:right w:val="none" w:sz="0" w:space="0" w:color="auto"/>
                      </w:divBdr>
                    </w:div>
                  </w:divsChild>
                </w:div>
                <w:div w:id="1156647008">
                  <w:marLeft w:val="0"/>
                  <w:marRight w:val="0"/>
                  <w:marTop w:val="0"/>
                  <w:marBottom w:val="0"/>
                  <w:divBdr>
                    <w:top w:val="none" w:sz="0" w:space="0" w:color="auto"/>
                    <w:left w:val="none" w:sz="0" w:space="0" w:color="auto"/>
                    <w:bottom w:val="none" w:sz="0" w:space="0" w:color="auto"/>
                    <w:right w:val="none" w:sz="0" w:space="0" w:color="auto"/>
                  </w:divBdr>
                  <w:divsChild>
                    <w:div w:id="111631532">
                      <w:marLeft w:val="0"/>
                      <w:marRight w:val="0"/>
                      <w:marTop w:val="0"/>
                      <w:marBottom w:val="0"/>
                      <w:divBdr>
                        <w:top w:val="none" w:sz="0" w:space="0" w:color="auto"/>
                        <w:left w:val="none" w:sz="0" w:space="0" w:color="auto"/>
                        <w:bottom w:val="none" w:sz="0" w:space="0" w:color="auto"/>
                        <w:right w:val="none" w:sz="0" w:space="0" w:color="auto"/>
                      </w:divBdr>
                    </w:div>
                    <w:div w:id="8754327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67138271">
          <w:marLeft w:val="0"/>
          <w:marRight w:val="0"/>
          <w:marTop w:val="0"/>
          <w:marBottom w:val="0"/>
          <w:divBdr>
            <w:top w:val="none" w:sz="0" w:space="0" w:color="auto"/>
            <w:left w:val="none" w:sz="0" w:space="0" w:color="auto"/>
            <w:bottom w:val="none" w:sz="0" w:space="0" w:color="auto"/>
            <w:right w:val="none" w:sz="0" w:space="0" w:color="auto"/>
          </w:divBdr>
          <w:divsChild>
            <w:div w:id="1045331503">
              <w:marLeft w:val="0"/>
              <w:marRight w:val="0"/>
              <w:marTop w:val="0"/>
              <w:marBottom w:val="0"/>
              <w:divBdr>
                <w:top w:val="none" w:sz="0" w:space="0" w:color="auto"/>
                <w:left w:val="none" w:sz="0" w:space="0" w:color="auto"/>
                <w:bottom w:val="none" w:sz="0" w:space="0" w:color="auto"/>
                <w:right w:val="none" w:sz="0" w:space="0" w:color="auto"/>
              </w:divBdr>
              <w:divsChild>
                <w:div w:id="91361763">
                  <w:marLeft w:val="0"/>
                  <w:marRight w:val="0"/>
                  <w:marTop w:val="0"/>
                  <w:marBottom w:val="0"/>
                  <w:divBdr>
                    <w:top w:val="none" w:sz="0" w:space="0" w:color="auto"/>
                    <w:left w:val="none" w:sz="0" w:space="0" w:color="auto"/>
                    <w:bottom w:val="none" w:sz="0" w:space="0" w:color="auto"/>
                    <w:right w:val="none" w:sz="0" w:space="0" w:color="auto"/>
                  </w:divBdr>
                  <w:divsChild>
                    <w:div w:id="9258890">
                      <w:marLeft w:val="0"/>
                      <w:marRight w:val="0"/>
                      <w:marTop w:val="120"/>
                      <w:marBottom w:val="0"/>
                      <w:divBdr>
                        <w:top w:val="none" w:sz="0" w:space="0" w:color="auto"/>
                        <w:left w:val="none" w:sz="0" w:space="0" w:color="auto"/>
                        <w:bottom w:val="none" w:sz="0" w:space="0" w:color="auto"/>
                        <w:right w:val="none" w:sz="0" w:space="0" w:color="auto"/>
                      </w:divBdr>
                    </w:div>
                    <w:div w:id="564686772">
                      <w:marLeft w:val="0"/>
                      <w:marRight w:val="0"/>
                      <w:marTop w:val="0"/>
                      <w:marBottom w:val="0"/>
                      <w:divBdr>
                        <w:top w:val="none" w:sz="0" w:space="0" w:color="auto"/>
                        <w:left w:val="none" w:sz="0" w:space="0" w:color="auto"/>
                        <w:bottom w:val="none" w:sz="0" w:space="0" w:color="auto"/>
                        <w:right w:val="none" w:sz="0" w:space="0" w:color="auto"/>
                      </w:divBdr>
                    </w:div>
                  </w:divsChild>
                </w:div>
                <w:div w:id="846212633">
                  <w:marLeft w:val="0"/>
                  <w:marRight w:val="0"/>
                  <w:marTop w:val="0"/>
                  <w:marBottom w:val="0"/>
                  <w:divBdr>
                    <w:top w:val="none" w:sz="0" w:space="0" w:color="auto"/>
                    <w:left w:val="none" w:sz="0" w:space="0" w:color="auto"/>
                    <w:bottom w:val="none" w:sz="0" w:space="0" w:color="auto"/>
                    <w:right w:val="none" w:sz="0" w:space="0" w:color="auto"/>
                  </w:divBdr>
                  <w:divsChild>
                    <w:div w:id="566184654">
                      <w:marLeft w:val="0"/>
                      <w:marRight w:val="0"/>
                      <w:marTop w:val="120"/>
                      <w:marBottom w:val="0"/>
                      <w:divBdr>
                        <w:top w:val="none" w:sz="0" w:space="0" w:color="auto"/>
                        <w:left w:val="none" w:sz="0" w:space="0" w:color="auto"/>
                        <w:bottom w:val="none" w:sz="0" w:space="0" w:color="auto"/>
                        <w:right w:val="none" w:sz="0" w:space="0" w:color="auto"/>
                      </w:divBdr>
                    </w:div>
                    <w:div w:id="16615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822170">
      <w:bodyDiv w:val="1"/>
      <w:marLeft w:val="0"/>
      <w:marRight w:val="0"/>
      <w:marTop w:val="0"/>
      <w:marBottom w:val="0"/>
      <w:divBdr>
        <w:top w:val="none" w:sz="0" w:space="0" w:color="auto"/>
        <w:left w:val="none" w:sz="0" w:space="0" w:color="auto"/>
        <w:bottom w:val="none" w:sz="0" w:space="0" w:color="auto"/>
        <w:right w:val="none" w:sz="0" w:space="0" w:color="auto"/>
      </w:divBdr>
      <w:divsChild>
        <w:div w:id="1887908258">
          <w:marLeft w:val="0"/>
          <w:marRight w:val="0"/>
          <w:marTop w:val="0"/>
          <w:marBottom w:val="0"/>
          <w:divBdr>
            <w:top w:val="none" w:sz="0" w:space="0" w:color="auto"/>
            <w:left w:val="none" w:sz="0" w:space="0" w:color="auto"/>
            <w:bottom w:val="none" w:sz="0" w:space="0" w:color="auto"/>
            <w:right w:val="none" w:sz="0" w:space="0" w:color="auto"/>
          </w:divBdr>
        </w:div>
      </w:divsChild>
    </w:div>
    <w:div w:id="667056840">
      <w:bodyDiv w:val="1"/>
      <w:marLeft w:val="0"/>
      <w:marRight w:val="0"/>
      <w:marTop w:val="0"/>
      <w:marBottom w:val="0"/>
      <w:divBdr>
        <w:top w:val="none" w:sz="0" w:space="0" w:color="auto"/>
        <w:left w:val="none" w:sz="0" w:space="0" w:color="auto"/>
        <w:bottom w:val="none" w:sz="0" w:space="0" w:color="auto"/>
        <w:right w:val="none" w:sz="0" w:space="0" w:color="auto"/>
      </w:divBdr>
      <w:divsChild>
        <w:div w:id="380204667">
          <w:marLeft w:val="0"/>
          <w:marRight w:val="0"/>
          <w:marTop w:val="0"/>
          <w:marBottom w:val="0"/>
          <w:divBdr>
            <w:top w:val="none" w:sz="0" w:space="0" w:color="auto"/>
            <w:left w:val="none" w:sz="0" w:space="0" w:color="auto"/>
            <w:bottom w:val="none" w:sz="0" w:space="0" w:color="auto"/>
            <w:right w:val="none" w:sz="0" w:space="0" w:color="auto"/>
          </w:divBdr>
          <w:divsChild>
            <w:div w:id="419176738">
              <w:marLeft w:val="0"/>
              <w:marRight w:val="0"/>
              <w:marTop w:val="0"/>
              <w:marBottom w:val="0"/>
              <w:divBdr>
                <w:top w:val="none" w:sz="0" w:space="0" w:color="auto"/>
                <w:left w:val="none" w:sz="0" w:space="0" w:color="auto"/>
                <w:bottom w:val="none" w:sz="0" w:space="0" w:color="auto"/>
                <w:right w:val="none" w:sz="0" w:space="0" w:color="auto"/>
              </w:divBdr>
              <w:divsChild>
                <w:div w:id="88936129">
                  <w:marLeft w:val="0"/>
                  <w:marRight w:val="0"/>
                  <w:marTop w:val="0"/>
                  <w:marBottom w:val="0"/>
                  <w:divBdr>
                    <w:top w:val="none" w:sz="0" w:space="0" w:color="auto"/>
                    <w:left w:val="none" w:sz="0" w:space="0" w:color="auto"/>
                    <w:bottom w:val="none" w:sz="0" w:space="0" w:color="auto"/>
                    <w:right w:val="none" w:sz="0" w:space="0" w:color="auto"/>
                  </w:divBdr>
                  <w:divsChild>
                    <w:div w:id="453407691">
                      <w:marLeft w:val="0"/>
                      <w:marRight w:val="0"/>
                      <w:marTop w:val="120"/>
                      <w:marBottom w:val="0"/>
                      <w:divBdr>
                        <w:top w:val="none" w:sz="0" w:space="0" w:color="auto"/>
                        <w:left w:val="none" w:sz="0" w:space="0" w:color="auto"/>
                        <w:bottom w:val="none" w:sz="0" w:space="0" w:color="auto"/>
                        <w:right w:val="none" w:sz="0" w:space="0" w:color="auto"/>
                      </w:divBdr>
                    </w:div>
                    <w:div w:id="896824358">
                      <w:marLeft w:val="0"/>
                      <w:marRight w:val="0"/>
                      <w:marTop w:val="0"/>
                      <w:marBottom w:val="0"/>
                      <w:divBdr>
                        <w:top w:val="none" w:sz="0" w:space="0" w:color="auto"/>
                        <w:left w:val="none" w:sz="0" w:space="0" w:color="auto"/>
                        <w:bottom w:val="none" w:sz="0" w:space="0" w:color="auto"/>
                        <w:right w:val="none" w:sz="0" w:space="0" w:color="auto"/>
                      </w:divBdr>
                    </w:div>
                  </w:divsChild>
                </w:div>
                <w:div w:id="1969318927">
                  <w:marLeft w:val="0"/>
                  <w:marRight w:val="0"/>
                  <w:marTop w:val="0"/>
                  <w:marBottom w:val="0"/>
                  <w:divBdr>
                    <w:top w:val="none" w:sz="0" w:space="0" w:color="auto"/>
                    <w:left w:val="none" w:sz="0" w:space="0" w:color="auto"/>
                    <w:bottom w:val="none" w:sz="0" w:space="0" w:color="auto"/>
                    <w:right w:val="none" w:sz="0" w:space="0" w:color="auto"/>
                  </w:divBdr>
                  <w:divsChild>
                    <w:div w:id="796602938">
                      <w:marLeft w:val="0"/>
                      <w:marRight w:val="0"/>
                      <w:marTop w:val="0"/>
                      <w:marBottom w:val="0"/>
                      <w:divBdr>
                        <w:top w:val="none" w:sz="0" w:space="0" w:color="auto"/>
                        <w:left w:val="none" w:sz="0" w:space="0" w:color="auto"/>
                        <w:bottom w:val="none" w:sz="0" w:space="0" w:color="auto"/>
                        <w:right w:val="none" w:sz="0" w:space="0" w:color="auto"/>
                      </w:divBdr>
                      <w:divsChild>
                        <w:div w:id="323054241">
                          <w:marLeft w:val="0"/>
                          <w:marRight w:val="0"/>
                          <w:marTop w:val="0"/>
                          <w:marBottom w:val="0"/>
                          <w:divBdr>
                            <w:top w:val="none" w:sz="0" w:space="0" w:color="auto"/>
                            <w:left w:val="none" w:sz="0" w:space="0" w:color="auto"/>
                            <w:bottom w:val="none" w:sz="0" w:space="0" w:color="auto"/>
                            <w:right w:val="none" w:sz="0" w:space="0" w:color="auto"/>
                          </w:divBdr>
                          <w:divsChild>
                            <w:div w:id="26804508">
                              <w:marLeft w:val="0"/>
                              <w:marRight w:val="0"/>
                              <w:marTop w:val="0"/>
                              <w:marBottom w:val="0"/>
                              <w:divBdr>
                                <w:top w:val="none" w:sz="0" w:space="0" w:color="auto"/>
                                <w:left w:val="none" w:sz="0" w:space="0" w:color="auto"/>
                                <w:bottom w:val="none" w:sz="0" w:space="0" w:color="auto"/>
                                <w:right w:val="none" w:sz="0" w:space="0" w:color="auto"/>
                              </w:divBdr>
                            </w:div>
                            <w:div w:id="2024940947">
                              <w:marLeft w:val="0"/>
                              <w:marRight w:val="0"/>
                              <w:marTop w:val="120"/>
                              <w:marBottom w:val="0"/>
                              <w:divBdr>
                                <w:top w:val="none" w:sz="0" w:space="0" w:color="auto"/>
                                <w:left w:val="none" w:sz="0" w:space="0" w:color="auto"/>
                                <w:bottom w:val="none" w:sz="0" w:space="0" w:color="auto"/>
                                <w:right w:val="none" w:sz="0" w:space="0" w:color="auto"/>
                              </w:divBdr>
                            </w:div>
                          </w:divsChild>
                        </w:div>
                        <w:div w:id="518546137">
                          <w:marLeft w:val="0"/>
                          <w:marRight w:val="0"/>
                          <w:marTop w:val="0"/>
                          <w:marBottom w:val="0"/>
                          <w:divBdr>
                            <w:top w:val="none" w:sz="0" w:space="0" w:color="auto"/>
                            <w:left w:val="none" w:sz="0" w:space="0" w:color="auto"/>
                            <w:bottom w:val="none" w:sz="0" w:space="0" w:color="auto"/>
                            <w:right w:val="none" w:sz="0" w:space="0" w:color="auto"/>
                          </w:divBdr>
                          <w:divsChild>
                            <w:div w:id="11540799">
                              <w:marLeft w:val="0"/>
                              <w:marRight w:val="0"/>
                              <w:marTop w:val="0"/>
                              <w:marBottom w:val="0"/>
                              <w:divBdr>
                                <w:top w:val="none" w:sz="0" w:space="0" w:color="auto"/>
                                <w:left w:val="none" w:sz="0" w:space="0" w:color="auto"/>
                                <w:bottom w:val="none" w:sz="0" w:space="0" w:color="auto"/>
                                <w:right w:val="none" w:sz="0" w:space="0" w:color="auto"/>
                              </w:divBdr>
                            </w:div>
                            <w:div w:id="1564753264">
                              <w:marLeft w:val="0"/>
                              <w:marRight w:val="0"/>
                              <w:marTop w:val="120"/>
                              <w:marBottom w:val="0"/>
                              <w:divBdr>
                                <w:top w:val="none" w:sz="0" w:space="0" w:color="auto"/>
                                <w:left w:val="none" w:sz="0" w:space="0" w:color="auto"/>
                                <w:bottom w:val="none" w:sz="0" w:space="0" w:color="auto"/>
                                <w:right w:val="none" w:sz="0" w:space="0" w:color="auto"/>
                              </w:divBdr>
                            </w:div>
                          </w:divsChild>
                        </w:div>
                        <w:div w:id="963779382">
                          <w:marLeft w:val="0"/>
                          <w:marRight w:val="0"/>
                          <w:marTop w:val="0"/>
                          <w:marBottom w:val="0"/>
                          <w:divBdr>
                            <w:top w:val="none" w:sz="0" w:space="0" w:color="auto"/>
                            <w:left w:val="none" w:sz="0" w:space="0" w:color="auto"/>
                            <w:bottom w:val="none" w:sz="0" w:space="0" w:color="auto"/>
                            <w:right w:val="none" w:sz="0" w:space="0" w:color="auto"/>
                          </w:divBdr>
                          <w:divsChild>
                            <w:div w:id="1704793449">
                              <w:marLeft w:val="0"/>
                              <w:marRight w:val="0"/>
                              <w:marTop w:val="120"/>
                              <w:marBottom w:val="0"/>
                              <w:divBdr>
                                <w:top w:val="none" w:sz="0" w:space="0" w:color="auto"/>
                                <w:left w:val="none" w:sz="0" w:space="0" w:color="auto"/>
                                <w:bottom w:val="none" w:sz="0" w:space="0" w:color="auto"/>
                                <w:right w:val="none" w:sz="0" w:space="0" w:color="auto"/>
                              </w:divBdr>
                            </w:div>
                            <w:div w:id="1940092501">
                              <w:marLeft w:val="0"/>
                              <w:marRight w:val="0"/>
                              <w:marTop w:val="0"/>
                              <w:marBottom w:val="0"/>
                              <w:divBdr>
                                <w:top w:val="none" w:sz="0" w:space="0" w:color="auto"/>
                                <w:left w:val="none" w:sz="0" w:space="0" w:color="auto"/>
                                <w:bottom w:val="none" w:sz="0" w:space="0" w:color="auto"/>
                                <w:right w:val="none" w:sz="0" w:space="0" w:color="auto"/>
                              </w:divBdr>
                            </w:div>
                          </w:divsChild>
                        </w:div>
                        <w:div w:id="1761028182">
                          <w:marLeft w:val="0"/>
                          <w:marRight w:val="0"/>
                          <w:marTop w:val="0"/>
                          <w:marBottom w:val="0"/>
                          <w:divBdr>
                            <w:top w:val="none" w:sz="0" w:space="0" w:color="auto"/>
                            <w:left w:val="none" w:sz="0" w:space="0" w:color="auto"/>
                            <w:bottom w:val="none" w:sz="0" w:space="0" w:color="auto"/>
                            <w:right w:val="none" w:sz="0" w:space="0" w:color="auto"/>
                          </w:divBdr>
                          <w:divsChild>
                            <w:div w:id="1506893433">
                              <w:marLeft w:val="0"/>
                              <w:marRight w:val="0"/>
                              <w:marTop w:val="0"/>
                              <w:marBottom w:val="0"/>
                              <w:divBdr>
                                <w:top w:val="none" w:sz="0" w:space="0" w:color="auto"/>
                                <w:left w:val="none" w:sz="0" w:space="0" w:color="auto"/>
                                <w:bottom w:val="none" w:sz="0" w:space="0" w:color="auto"/>
                                <w:right w:val="none" w:sz="0" w:space="0" w:color="auto"/>
                              </w:divBdr>
                            </w:div>
                            <w:div w:id="1724518180">
                              <w:marLeft w:val="0"/>
                              <w:marRight w:val="0"/>
                              <w:marTop w:val="120"/>
                              <w:marBottom w:val="0"/>
                              <w:divBdr>
                                <w:top w:val="none" w:sz="0" w:space="0" w:color="auto"/>
                                <w:left w:val="none" w:sz="0" w:space="0" w:color="auto"/>
                                <w:bottom w:val="none" w:sz="0" w:space="0" w:color="auto"/>
                                <w:right w:val="none" w:sz="0" w:space="0" w:color="auto"/>
                              </w:divBdr>
                            </w:div>
                          </w:divsChild>
                        </w:div>
                        <w:div w:id="1941452645">
                          <w:marLeft w:val="0"/>
                          <w:marRight w:val="0"/>
                          <w:marTop w:val="0"/>
                          <w:marBottom w:val="0"/>
                          <w:divBdr>
                            <w:top w:val="none" w:sz="0" w:space="0" w:color="auto"/>
                            <w:left w:val="none" w:sz="0" w:space="0" w:color="auto"/>
                            <w:bottom w:val="none" w:sz="0" w:space="0" w:color="auto"/>
                            <w:right w:val="none" w:sz="0" w:space="0" w:color="auto"/>
                          </w:divBdr>
                          <w:divsChild>
                            <w:div w:id="863982080">
                              <w:marLeft w:val="0"/>
                              <w:marRight w:val="0"/>
                              <w:marTop w:val="0"/>
                              <w:marBottom w:val="0"/>
                              <w:divBdr>
                                <w:top w:val="none" w:sz="0" w:space="0" w:color="auto"/>
                                <w:left w:val="none" w:sz="0" w:space="0" w:color="auto"/>
                                <w:bottom w:val="none" w:sz="0" w:space="0" w:color="auto"/>
                                <w:right w:val="none" w:sz="0" w:space="0" w:color="auto"/>
                              </w:divBdr>
                            </w:div>
                            <w:div w:id="13555686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891397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5208771">
          <w:marLeft w:val="0"/>
          <w:marRight w:val="0"/>
          <w:marTop w:val="0"/>
          <w:marBottom w:val="0"/>
          <w:divBdr>
            <w:top w:val="none" w:sz="0" w:space="0" w:color="auto"/>
            <w:left w:val="none" w:sz="0" w:space="0" w:color="auto"/>
            <w:bottom w:val="none" w:sz="0" w:space="0" w:color="auto"/>
            <w:right w:val="none" w:sz="0" w:space="0" w:color="auto"/>
          </w:divBdr>
          <w:divsChild>
            <w:div w:id="1302419410">
              <w:marLeft w:val="0"/>
              <w:marRight w:val="0"/>
              <w:marTop w:val="0"/>
              <w:marBottom w:val="0"/>
              <w:divBdr>
                <w:top w:val="none" w:sz="0" w:space="0" w:color="auto"/>
                <w:left w:val="none" w:sz="0" w:space="0" w:color="auto"/>
                <w:bottom w:val="none" w:sz="0" w:space="0" w:color="auto"/>
                <w:right w:val="none" w:sz="0" w:space="0" w:color="auto"/>
              </w:divBdr>
            </w:div>
            <w:div w:id="2123498842">
              <w:marLeft w:val="0"/>
              <w:marRight w:val="0"/>
              <w:marTop w:val="120"/>
              <w:marBottom w:val="0"/>
              <w:divBdr>
                <w:top w:val="none" w:sz="0" w:space="0" w:color="auto"/>
                <w:left w:val="none" w:sz="0" w:space="0" w:color="auto"/>
                <w:bottom w:val="none" w:sz="0" w:space="0" w:color="auto"/>
                <w:right w:val="none" w:sz="0" w:space="0" w:color="auto"/>
              </w:divBdr>
            </w:div>
          </w:divsChild>
        </w:div>
        <w:div w:id="1992252533">
          <w:marLeft w:val="0"/>
          <w:marRight w:val="0"/>
          <w:marTop w:val="0"/>
          <w:marBottom w:val="0"/>
          <w:divBdr>
            <w:top w:val="none" w:sz="0" w:space="0" w:color="auto"/>
            <w:left w:val="none" w:sz="0" w:space="0" w:color="auto"/>
            <w:bottom w:val="none" w:sz="0" w:space="0" w:color="auto"/>
            <w:right w:val="none" w:sz="0" w:space="0" w:color="auto"/>
          </w:divBdr>
          <w:divsChild>
            <w:div w:id="1673950566">
              <w:marLeft w:val="0"/>
              <w:marRight w:val="0"/>
              <w:marTop w:val="120"/>
              <w:marBottom w:val="0"/>
              <w:divBdr>
                <w:top w:val="none" w:sz="0" w:space="0" w:color="auto"/>
                <w:left w:val="none" w:sz="0" w:space="0" w:color="auto"/>
                <w:bottom w:val="none" w:sz="0" w:space="0" w:color="auto"/>
                <w:right w:val="none" w:sz="0" w:space="0" w:color="auto"/>
              </w:divBdr>
            </w:div>
            <w:div w:id="1911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332774">
      <w:bodyDiv w:val="1"/>
      <w:marLeft w:val="0"/>
      <w:marRight w:val="0"/>
      <w:marTop w:val="0"/>
      <w:marBottom w:val="0"/>
      <w:divBdr>
        <w:top w:val="none" w:sz="0" w:space="0" w:color="auto"/>
        <w:left w:val="none" w:sz="0" w:space="0" w:color="auto"/>
        <w:bottom w:val="none" w:sz="0" w:space="0" w:color="auto"/>
        <w:right w:val="none" w:sz="0" w:space="0" w:color="auto"/>
      </w:divBdr>
      <w:divsChild>
        <w:div w:id="1663893515">
          <w:marLeft w:val="0"/>
          <w:marRight w:val="0"/>
          <w:marTop w:val="0"/>
          <w:marBottom w:val="0"/>
          <w:divBdr>
            <w:top w:val="none" w:sz="0" w:space="0" w:color="auto"/>
            <w:left w:val="none" w:sz="0" w:space="0" w:color="auto"/>
            <w:bottom w:val="none" w:sz="0" w:space="0" w:color="auto"/>
            <w:right w:val="none" w:sz="0" w:space="0" w:color="auto"/>
          </w:divBdr>
        </w:div>
      </w:divsChild>
    </w:div>
    <w:div w:id="671488411">
      <w:bodyDiv w:val="1"/>
      <w:marLeft w:val="0"/>
      <w:marRight w:val="0"/>
      <w:marTop w:val="0"/>
      <w:marBottom w:val="0"/>
      <w:divBdr>
        <w:top w:val="none" w:sz="0" w:space="0" w:color="auto"/>
        <w:left w:val="none" w:sz="0" w:space="0" w:color="auto"/>
        <w:bottom w:val="none" w:sz="0" w:space="0" w:color="auto"/>
        <w:right w:val="none" w:sz="0" w:space="0" w:color="auto"/>
      </w:divBdr>
      <w:divsChild>
        <w:div w:id="1950234048">
          <w:marLeft w:val="0"/>
          <w:marRight w:val="0"/>
          <w:marTop w:val="0"/>
          <w:marBottom w:val="0"/>
          <w:divBdr>
            <w:top w:val="none" w:sz="0" w:space="0" w:color="auto"/>
            <w:left w:val="none" w:sz="0" w:space="0" w:color="auto"/>
            <w:bottom w:val="none" w:sz="0" w:space="0" w:color="auto"/>
            <w:right w:val="none" w:sz="0" w:space="0" w:color="auto"/>
          </w:divBdr>
        </w:div>
      </w:divsChild>
    </w:div>
    <w:div w:id="678654303">
      <w:bodyDiv w:val="1"/>
      <w:marLeft w:val="0"/>
      <w:marRight w:val="0"/>
      <w:marTop w:val="0"/>
      <w:marBottom w:val="0"/>
      <w:divBdr>
        <w:top w:val="none" w:sz="0" w:space="0" w:color="auto"/>
        <w:left w:val="none" w:sz="0" w:space="0" w:color="auto"/>
        <w:bottom w:val="none" w:sz="0" w:space="0" w:color="auto"/>
        <w:right w:val="none" w:sz="0" w:space="0" w:color="auto"/>
      </w:divBdr>
      <w:divsChild>
        <w:div w:id="1916889446">
          <w:marLeft w:val="0"/>
          <w:marRight w:val="0"/>
          <w:marTop w:val="0"/>
          <w:marBottom w:val="0"/>
          <w:divBdr>
            <w:top w:val="none" w:sz="0" w:space="0" w:color="auto"/>
            <w:left w:val="none" w:sz="0" w:space="0" w:color="auto"/>
            <w:bottom w:val="none" w:sz="0" w:space="0" w:color="auto"/>
            <w:right w:val="none" w:sz="0" w:space="0" w:color="auto"/>
          </w:divBdr>
          <w:divsChild>
            <w:div w:id="1269894351">
              <w:marLeft w:val="0"/>
              <w:marRight w:val="0"/>
              <w:marTop w:val="0"/>
              <w:marBottom w:val="0"/>
              <w:divBdr>
                <w:top w:val="none" w:sz="0" w:space="0" w:color="auto"/>
                <w:left w:val="none" w:sz="0" w:space="0" w:color="auto"/>
                <w:bottom w:val="none" w:sz="0" w:space="0" w:color="auto"/>
                <w:right w:val="none" w:sz="0" w:space="0" w:color="auto"/>
              </w:divBdr>
              <w:divsChild>
                <w:div w:id="554462815">
                  <w:marLeft w:val="0"/>
                  <w:marRight w:val="0"/>
                  <w:marTop w:val="0"/>
                  <w:marBottom w:val="0"/>
                  <w:divBdr>
                    <w:top w:val="none" w:sz="0" w:space="0" w:color="auto"/>
                    <w:left w:val="none" w:sz="0" w:space="0" w:color="auto"/>
                    <w:bottom w:val="none" w:sz="0" w:space="0" w:color="auto"/>
                    <w:right w:val="none" w:sz="0" w:space="0" w:color="auto"/>
                  </w:divBdr>
                  <w:divsChild>
                    <w:div w:id="1320117276">
                      <w:marLeft w:val="0"/>
                      <w:marRight w:val="0"/>
                      <w:marTop w:val="120"/>
                      <w:marBottom w:val="0"/>
                      <w:divBdr>
                        <w:top w:val="none" w:sz="0" w:space="0" w:color="auto"/>
                        <w:left w:val="none" w:sz="0" w:space="0" w:color="auto"/>
                        <w:bottom w:val="none" w:sz="0" w:space="0" w:color="auto"/>
                        <w:right w:val="none" w:sz="0" w:space="0" w:color="auto"/>
                      </w:divBdr>
                    </w:div>
                    <w:div w:id="1985310188">
                      <w:marLeft w:val="0"/>
                      <w:marRight w:val="0"/>
                      <w:marTop w:val="0"/>
                      <w:marBottom w:val="0"/>
                      <w:divBdr>
                        <w:top w:val="none" w:sz="0" w:space="0" w:color="auto"/>
                        <w:left w:val="none" w:sz="0" w:space="0" w:color="auto"/>
                        <w:bottom w:val="none" w:sz="0" w:space="0" w:color="auto"/>
                        <w:right w:val="none" w:sz="0" w:space="0" w:color="auto"/>
                      </w:divBdr>
                      <w:divsChild>
                        <w:div w:id="623393097">
                          <w:marLeft w:val="0"/>
                          <w:marRight w:val="0"/>
                          <w:marTop w:val="0"/>
                          <w:marBottom w:val="0"/>
                          <w:divBdr>
                            <w:top w:val="none" w:sz="0" w:space="0" w:color="auto"/>
                            <w:left w:val="none" w:sz="0" w:space="0" w:color="auto"/>
                            <w:bottom w:val="none" w:sz="0" w:space="0" w:color="auto"/>
                            <w:right w:val="none" w:sz="0" w:space="0" w:color="auto"/>
                          </w:divBdr>
                          <w:divsChild>
                            <w:div w:id="642854524">
                              <w:marLeft w:val="0"/>
                              <w:marRight w:val="0"/>
                              <w:marTop w:val="120"/>
                              <w:marBottom w:val="0"/>
                              <w:divBdr>
                                <w:top w:val="none" w:sz="0" w:space="0" w:color="auto"/>
                                <w:left w:val="none" w:sz="0" w:space="0" w:color="auto"/>
                                <w:bottom w:val="none" w:sz="0" w:space="0" w:color="auto"/>
                                <w:right w:val="none" w:sz="0" w:space="0" w:color="auto"/>
                              </w:divBdr>
                            </w:div>
                            <w:div w:id="1880125472">
                              <w:marLeft w:val="0"/>
                              <w:marRight w:val="0"/>
                              <w:marTop w:val="0"/>
                              <w:marBottom w:val="0"/>
                              <w:divBdr>
                                <w:top w:val="none" w:sz="0" w:space="0" w:color="auto"/>
                                <w:left w:val="none" w:sz="0" w:space="0" w:color="auto"/>
                                <w:bottom w:val="none" w:sz="0" w:space="0" w:color="auto"/>
                                <w:right w:val="none" w:sz="0" w:space="0" w:color="auto"/>
                              </w:divBdr>
                            </w:div>
                          </w:divsChild>
                        </w:div>
                        <w:div w:id="1074281249">
                          <w:marLeft w:val="0"/>
                          <w:marRight w:val="0"/>
                          <w:marTop w:val="0"/>
                          <w:marBottom w:val="0"/>
                          <w:divBdr>
                            <w:top w:val="none" w:sz="0" w:space="0" w:color="auto"/>
                            <w:left w:val="none" w:sz="0" w:space="0" w:color="auto"/>
                            <w:bottom w:val="none" w:sz="0" w:space="0" w:color="auto"/>
                            <w:right w:val="none" w:sz="0" w:space="0" w:color="auto"/>
                          </w:divBdr>
                          <w:divsChild>
                            <w:div w:id="194198934">
                              <w:marLeft w:val="0"/>
                              <w:marRight w:val="0"/>
                              <w:marTop w:val="0"/>
                              <w:marBottom w:val="0"/>
                              <w:divBdr>
                                <w:top w:val="none" w:sz="0" w:space="0" w:color="auto"/>
                                <w:left w:val="none" w:sz="0" w:space="0" w:color="auto"/>
                                <w:bottom w:val="none" w:sz="0" w:space="0" w:color="auto"/>
                                <w:right w:val="none" w:sz="0" w:space="0" w:color="auto"/>
                              </w:divBdr>
                            </w:div>
                            <w:div w:id="7597639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4139044">
                  <w:marLeft w:val="0"/>
                  <w:marRight w:val="0"/>
                  <w:marTop w:val="0"/>
                  <w:marBottom w:val="0"/>
                  <w:divBdr>
                    <w:top w:val="none" w:sz="0" w:space="0" w:color="auto"/>
                    <w:left w:val="none" w:sz="0" w:space="0" w:color="auto"/>
                    <w:bottom w:val="none" w:sz="0" w:space="0" w:color="auto"/>
                    <w:right w:val="none" w:sz="0" w:space="0" w:color="auto"/>
                  </w:divBdr>
                  <w:divsChild>
                    <w:div w:id="773743315">
                      <w:marLeft w:val="0"/>
                      <w:marRight w:val="0"/>
                      <w:marTop w:val="120"/>
                      <w:marBottom w:val="0"/>
                      <w:divBdr>
                        <w:top w:val="none" w:sz="0" w:space="0" w:color="auto"/>
                        <w:left w:val="none" w:sz="0" w:space="0" w:color="auto"/>
                        <w:bottom w:val="none" w:sz="0" w:space="0" w:color="auto"/>
                        <w:right w:val="none" w:sz="0" w:space="0" w:color="auto"/>
                      </w:divBdr>
                    </w:div>
                    <w:div w:id="17639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159425">
      <w:bodyDiv w:val="1"/>
      <w:marLeft w:val="0"/>
      <w:marRight w:val="0"/>
      <w:marTop w:val="0"/>
      <w:marBottom w:val="0"/>
      <w:divBdr>
        <w:top w:val="none" w:sz="0" w:space="0" w:color="auto"/>
        <w:left w:val="none" w:sz="0" w:space="0" w:color="auto"/>
        <w:bottom w:val="none" w:sz="0" w:space="0" w:color="auto"/>
        <w:right w:val="none" w:sz="0" w:space="0" w:color="auto"/>
      </w:divBdr>
      <w:divsChild>
        <w:div w:id="1306664449">
          <w:marLeft w:val="0"/>
          <w:marRight w:val="0"/>
          <w:marTop w:val="0"/>
          <w:marBottom w:val="0"/>
          <w:divBdr>
            <w:top w:val="none" w:sz="0" w:space="0" w:color="auto"/>
            <w:left w:val="none" w:sz="0" w:space="0" w:color="auto"/>
            <w:bottom w:val="none" w:sz="0" w:space="0" w:color="auto"/>
            <w:right w:val="none" w:sz="0" w:space="0" w:color="auto"/>
          </w:divBdr>
          <w:divsChild>
            <w:div w:id="1112942673">
              <w:marLeft w:val="0"/>
              <w:marRight w:val="0"/>
              <w:marTop w:val="0"/>
              <w:marBottom w:val="0"/>
              <w:divBdr>
                <w:top w:val="none" w:sz="0" w:space="0" w:color="auto"/>
                <w:left w:val="none" w:sz="0" w:space="0" w:color="auto"/>
                <w:bottom w:val="none" w:sz="0" w:space="0" w:color="auto"/>
                <w:right w:val="none" w:sz="0" w:space="0" w:color="auto"/>
              </w:divBdr>
            </w:div>
          </w:divsChild>
        </w:div>
        <w:div w:id="1540819600">
          <w:marLeft w:val="0"/>
          <w:marRight w:val="0"/>
          <w:marTop w:val="0"/>
          <w:marBottom w:val="0"/>
          <w:divBdr>
            <w:top w:val="none" w:sz="0" w:space="0" w:color="auto"/>
            <w:left w:val="none" w:sz="0" w:space="0" w:color="auto"/>
            <w:bottom w:val="none" w:sz="0" w:space="0" w:color="auto"/>
            <w:right w:val="none" w:sz="0" w:space="0" w:color="auto"/>
          </w:divBdr>
          <w:divsChild>
            <w:div w:id="38125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33806">
      <w:bodyDiv w:val="1"/>
      <w:marLeft w:val="0"/>
      <w:marRight w:val="0"/>
      <w:marTop w:val="0"/>
      <w:marBottom w:val="0"/>
      <w:divBdr>
        <w:top w:val="none" w:sz="0" w:space="0" w:color="auto"/>
        <w:left w:val="none" w:sz="0" w:space="0" w:color="auto"/>
        <w:bottom w:val="none" w:sz="0" w:space="0" w:color="auto"/>
        <w:right w:val="none" w:sz="0" w:space="0" w:color="auto"/>
      </w:divBdr>
      <w:divsChild>
        <w:div w:id="1807313999">
          <w:marLeft w:val="0"/>
          <w:marRight w:val="0"/>
          <w:marTop w:val="0"/>
          <w:marBottom w:val="0"/>
          <w:divBdr>
            <w:top w:val="none" w:sz="0" w:space="0" w:color="auto"/>
            <w:left w:val="none" w:sz="0" w:space="0" w:color="auto"/>
            <w:bottom w:val="none" w:sz="0" w:space="0" w:color="auto"/>
            <w:right w:val="none" w:sz="0" w:space="0" w:color="auto"/>
          </w:divBdr>
          <w:divsChild>
            <w:div w:id="20938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3948">
      <w:bodyDiv w:val="1"/>
      <w:marLeft w:val="0"/>
      <w:marRight w:val="0"/>
      <w:marTop w:val="0"/>
      <w:marBottom w:val="0"/>
      <w:divBdr>
        <w:top w:val="none" w:sz="0" w:space="0" w:color="auto"/>
        <w:left w:val="none" w:sz="0" w:space="0" w:color="auto"/>
        <w:bottom w:val="none" w:sz="0" w:space="0" w:color="auto"/>
        <w:right w:val="none" w:sz="0" w:space="0" w:color="auto"/>
      </w:divBdr>
      <w:divsChild>
        <w:div w:id="486744040">
          <w:marLeft w:val="0"/>
          <w:marRight w:val="0"/>
          <w:marTop w:val="0"/>
          <w:marBottom w:val="0"/>
          <w:divBdr>
            <w:top w:val="none" w:sz="0" w:space="0" w:color="auto"/>
            <w:left w:val="none" w:sz="0" w:space="0" w:color="auto"/>
            <w:bottom w:val="none" w:sz="0" w:space="0" w:color="auto"/>
            <w:right w:val="none" w:sz="0" w:space="0" w:color="auto"/>
          </w:divBdr>
          <w:divsChild>
            <w:div w:id="4358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88286">
      <w:bodyDiv w:val="1"/>
      <w:marLeft w:val="0"/>
      <w:marRight w:val="0"/>
      <w:marTop w:val="0"/>
      <w:marBottom w:val="0"/>
      <w:divBdr>
        <w:top w:val="none" w:sz="0" w:space="0" w:color="auto"/>
        <w:left w:val="none" w:sz="0" w:space="0" w:color="auto"/>
        <w:bottom w:val="none" w:sz="0" w:space="0" w:color="auto"/>
        <w:right w:val="none" w:sz="0" w:space="0" w:color="auto"/>
      </w:divBdr>
    </w:div>
    <w:div w:id="696463475">
      <w:bodyDiv w:val="1"/>
      <w:marLeft w:val="0"/>
      <w:marRight w:val="0"/>
      <w:marTop w:val="0"/>
      <w:marBottom w:val="0"/>
      <w:divBdr>
        <w:top w:val="none" w:sz="0" w:space="0" w:color="auto"/>
        <w:left w:val="none" w:sz="0" w:space="0" w:color="auto"/>
        <w:bottom w:val="none" w:sz="0" w:space="0" w:color="auto"/>
        <w:right w:val="none" w:sz="0" w:space="0" w:color="auto"/>
      </w:divBdr>
      <w:divsChild>
        <w:div w:id="1346051158">
          <w:marLeft w:val="0"/>
          <w:marRight w:val="0"/>
          <w:marTop w:val="0"/>
          <w:marBottom w:val="0"/>
          <w:divBdr>
            <w:top w:val="none" w:sz="0" w:space="0" w:color="auto"/>
            <w:left w:val="none" w:sz="0" w:space="0" w:color="auto"/>
            <w:bottom w:val="none" w:sz="0" w:space="0" w:color="auto"/>
            <w:right w:val="none" w:sz="0" w:space="0" w:color="auto"/>
          </w:divBdr>
        </w:div>
      </w:divsChild>
    </w:div>
    <w:div w:id="709108483">
      <w:bodyDiv w:val="1"/>
      <w:marLeft w:val="0"/>
      <w:marRight w:val="0"/>
      <w:marTop w:val="0"/>
      <w:marBottom w:val="0"/>
      <w:divBdr>
        <w:top w:val="none" w:sz="0" w:space="0" w:color="auto"/>
        <w:left w:val="none" w:sz="0" w:space="0" w:color="auto"/>
        <w:bottom w:val="none" w:sz="0" w:space="0" w:color="auto"/>
        <w:right w:val="none" w:sz="0" w:space="0" w:color="auto"/>
      </w:divBdr>
      <w:divsChild>
        <w:div w:id="1025060958">
          <w:marLeft w:val="0"/>
          <w:marRight w:val="0"/>
          <w:marTop w:val="0"/>
          <w:marBottom w:val="0"/>
          <w:divBdr>
            <w:top w:val="none" w:sz="0" w:space="0" w:color="auto"/>
            <w:left w:val="none" w:sz="0" w:space="0" w:color="auto"/>
            <w:bottom w:val="none" w:sz="0" w:space="0" w:color="auto"/>
            <w:right w:val="none" w:sz="0" w:space="0" w:color="auto"/>
          </w:divBdr>
          <w:divsChild>
            <w:div w:id="51125884">
              <w:marLeft w:val="0"/>
              <w:marRight w:val="0"/>
              <w:marTop w:val="120"/>
              <w:marBottom w:val="0"/>
              <w:divBdr>
                <w:top w:val="none" w:sz="0" w:space="0" w:color="auto"/>
                <w:left w:val="none" w:sz="0" w:space="0" w:color="auto"/>
                <w:bottom w:val="none" w:sz="0" w:space="0" w:color="auto"/>
                <w:right w:val="none" w:sz="0" w:space="0" w:color="auto"/>
              </w:divBdr>
            </w:div>
            <w:div w:id="137504323">
              <w:marLeft w:val="0"/>
              <w:marRight w:val="0"/>
              <w:marTop w:val="120"/>
              <w:marBottom w:val="0"/>
              <w:divBdr>
                <w:top w:val="none" w:sz="0" w:space="0" w:color="auto"/>
                <w:left w:val="none" w:sz="0" w:space="0" w:color="auto"/>
                <w:bottom w:val="none" w:sz="0" w:space="0" w:color="auto"/>
                <w:right w:val="none" w:sz="0" w:space="0" w:color="auto"/>
              </w:divBdr>
            </w:div>
            <w:div w:id="374937183">
              <w:marLeft w:val="0"/>
              <w:marRight w:val="0"/>
              <w:marTop w:val="120"/>
              <w:marBottom w:val="0"/>
              <w:divBdr>
                <w:top w:val="none" w:sz="0" w:space="0" w:color="auto"/>
                <w:left w:val="none" w:sz="0" w:space="0" w:color="auto"/>
                <w:bottom w:val="none" w:sz="0" w:space="0" w:color="auto"/>
                <w:right w:val="none" w:sz="0" w:space="0" w:color="auto"/>
              </w:divBdr>
              <w:divsChild>
                <w:div w:id="900486925">
                  <w:marLeft w:val="0"/>
                  <w:marRight w:val="0"/>
                  <w:marTop w:val="120"/>
                  <w:marBottom w:val="0"/>
                  <w:divBdr>
                    <w:top w:val="none" w:sz="0" w:space="0" w:color="auto"/>
                    <w:left w:val="none" w:sz="0" w:space="0" w:color="auto"/>
                    <w:bottom w:val="none" w:sz="0" w:space="0" w:color="auto"/>
                    <w:right w:val="none" w:sz="0" w:space="0" w:color="auto"/>
                  </w:divBdr>
                </w:div>
                <w:div w:id="1070276687">
                  <w:marLeft w:val="0"/>
                  <w:marRight w:val="0"/>
                  <w:marTop w:val="120"/>
                  <w:marBottom w:val="0"/>
                  <w:divBdr>
                    <w:top w:val="none" w:sz="0" w:space="0" w:color="auto"/>
                    <w:left w:val="none" w:sz="0" w:space="0" w:color="auto"/>
                    <w:bottom w:val="none" w:sz="0" w:space="0" w:color="auto"/>
                    <w:right w:val="none" w:sz="0" w:space="0" w:color="auto"/>
                  </w:divBdr>
                </w:div>
                <w:div w:id="1841433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30881022">
      <w:bodyDiv w:val="1"/>
      <w:marLeft w:val="0"/>
      <w:marRight w:val="0"/>
      <w:marTop w:val="0"/>
      <w:marBottom w:val="0"/>
      <w:divBdr>
        <w:top w:val="none" w:sz="0" w:space="0" w:color="auto"/>
        <w:left w:val="none" w:sz="0" w:space="0" w:color="auto"/>
        <w:bottom w:val="none" w:sz="0" w:space="0" w:color="auto"/>
        <w:right w:val="none" w:sz="0" w:space="0" w:color="auto"/>
      </w:divBdr>
      <w:divsChild>
        <w:div w:id="1438021878">
          <w:marLeft w:val="0"/>
          <w:marRight w:val="0"/>
          <w:marTop w:val="0"/>
          <w:marBottom w:val="0"/>
          <w:divBdr>
            <w:top w:val="none" w:sz="0" w:space="0" w:color="auto"/>
            <w:left w:val="none" w:sz="0" w:space="0" w:color="auto"/>
            <w:bottom w:val="none" w:sz="0" w:space="0" w:color="auto"/>
            <w:right w:val="none" w:sz="0" w:space="0" w:color="auto"/>
          </w:divBdr>
        </w:div>
      </w:divsChild>
    </w:div>
    <w:div w:id="731736097">
      <w:bodyDiv w:val="1"/>
      <w:marLeft w:val="0"/>
      <w:marRight w:val="0"/>
      <w:marTop w:val="0"/>
      <w:marBottom w:val="0"/>
      <w:divBdr>
        <w:top w:val="none" w:sz="0" w:space="0" w:color="auto"/>
        <w:left w:val="none" w:sz="0" w:space="0" w:color="auto"/>
        <w:bottom w:val="none" w:sz="0" w:space="0" w:color="auto"/>
        <w:right w:val="none" w:sz="0" w:space="0" w:color="auto"/>
      </w:divBdr>
      <w:divsChild>
        <w:div w:id="2081751598">
          <w:marLeft w:val="0"/>
          <w:marRight w:val="0"/>
          <w:marTop w:val="0"/>
          <w:marBottom w:val="0"/>
          <w:divBdr>
            <w:top w:val="none" w:sz="0" w:space="0" w:color="auto"/>
            <w:left w:val="none" w:sz="0" w:space="0" w:color="auto"/>
            <w:bottom w:val="none" w:sz="0" w:space="0" w:color="auto"/>
            <w:right w:val="none" w:sz="0" w:space="0" w:color="auto"/>
          </w:divBdr>
          <w:divsChild>
            <w:div w:id="14445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2346">
      <w:bodyDiv w:val="1"/>
      <w:marLeft w:val="0"/>
      <w:marRight w:val="0"/>
      <w:marTop w:val="0"/>
      <w:marBottom w:val="0"/>
      <w:divBdr>
        <w:top w:val="none" w:sz="0" w:space="0" w:color="auto"/>
        <w:left w:val="none" w:sz="0" w:space="0" w:color="auto"/>
        <w:bottom w:val="none" w:sz="0" w:space="0" w:color="auto"/>
        <w:right w:val="none" w:sz="0" w:space="0" w:color="auto"/>
      </w:divBdr>
      <w:divsChild>
        <w:div w:id="379595737">
          <w:marLeft w:val="0"/>
          <w:marRight w:val="0"/>
          <w:marTop w:val="0"/>
          <w:marBottom w:val="0"/>
          <w:divBdr>
            <w:top w:val="none" w:sz="0" w:space="0" w:color="auto"/>
            <w:left w:val="none" w:sz="0" w:space="0" w:color="auto"/>
            <w:bottom w:val="none" w:sz="0" w:space="0" w:color="auto"/>
            <w:right w:val="none" w:sz="0" w:space="0" w:color="auto"/>
          </w:divBdr>
        </w:div>
      </w:divsChild>
    </w:div>
    <w:div w:id="754284664">
      <w:bodyDiv w:val="1"/>
      <w:marLeft w:val="0"/>
      <w:marRight w:val="0"/>
      <w:marTop w:val="0"/>
      <w:marBottom w:val="0"/>
      <w:divBdr>
        <w:top w:val="none" w:sz="0" w:space="0" w:color="auto"/>
        <w:left w:val="none" w:sz="0" w:space="0" w:color="auto"/>
        <w:bottom w:val="none" w:sz="0" w:space="0" w:color="auto"/>
        <w:right w:val="none" w:sz="0" w:space="0" w:color="auto"/>
      </w:divBdr>
      <w:divsChild>
        <w:div w:id="1800030688">
          <w:marLeft w:val="0"/>
          <w:marRight w:val="0"/>
          <w:marTop w:val="0"/>
          <w:marBottom w:val="0"/>
          <w:divBdr>
            <w:top w:val="none" w:sz="0" w:space="0" w:color="auto"/>
            <w:left w:val="none" w:sz="0" w:space="0" w:color="auto"/>
            <w:bottom w:val="none" w:sz="0" w:space="0" w:color="auto"/>
            <w:right w:val="none" w:sz="0" w:space="0" w:color="auto"/>
          </w:divBdr>
        </w:div>
      </w:divsChild>
    </w:div>
    <w:div w:id="761531211">
      <w:bodyDiv w:val="1"/>
      <w:marLeft w:val="0"/>
      <w:marRight w:val="0"/>
      <w:marTop w:val="0"/>
      <w:marBottom w:val="0"/>
      <w:divBdr>
        <w:top w:val="none" w:sz="0" w:space="0" w:color="auto"/>
        <w:left w:val="none" w:sz="0" w:space="0" w:color="auto"/>
        <w:bottom w:val="none" w:sz="0" w:space="0" w:color="auto"/>
        <w:right w:val="none" w:sz="0" w:space="0" w:color="auto"/>
      </w:divBdr>
      <w:divsChild>
        <w:div w:id="132717581">
          <w:marLeft w:val="0"/>
          <w:marRight w:val="0"/>
          <w:marTop w:val="0"/>
          <w:marBottom w:val="0"/>
          <w:divBdr>
            <w:top w:val="none" w:sz="0" w:space="0" w:color="auto"/>
            <w:left w:val="none" w:sz="0" w:space="0" w:color="auto"/>
            <w:bottom w:val="none" w:sz="0" w:space="0" w:color="auto"/>
            <w:right w:val="none" w:sz="0" w:space="0" w:color="auto"/>
          </w:divBdr>
          <w:divsChild>
            <w:div w:id="139778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5928">
      <w:bodyDiv w:val="1"/>
      <w:marLeft w:val="0"/>
      <w:marRight w:val="0"/>
      <w:marTop w:val="0"/>
      <w:marBottom w:val="0"/>
      <w:divBdr>
        <w:top w:val="none" w:sz="0" w:space="0" w:color="auto"/>
        <w:left w:val="none" w:sz="0" w:space="0" w:color="auto"/>
        <w:bottom w:val="none" w:sz="0" w:space="0" w:color="auto"/>
        <w:right w:val="none" w:sz="0" w:space="0" w:color="auto"/>
      </w:divBdr>
      <w:divsChild>
        <w:div w:id="1426266779">
          <w:marLeft w:val="0"/>
          <w:marRight w:val="0"/>
          <w:marTop w:val="0"/>
          <w:marBottom w:val="0"/>
          <w:divBdr>
            <w:top w:val="none" w:sz="0" w:space="0" w:color="auto"/>
            <w:left w:val="none" w:sz="0" w:space="0" w:color="auto"/>
            <w:bottom w:val="none" w:sz="0" w:space="0" w:color="auto"/>
            <w:right w:val="none" w:sz="0" w:space="0" w:color="auto"/>
          </w:divBdr>
        </w:div>
      </w:divsChild>
    </w:div>
    <w:div w:id="768231452">
      <w:bodyDiv w:val="1"/>
      <w:marLeft w:val="0"/>
      <w:marRight w:val="0"/>
      <w:marTop w:val="0"/>
      <w:marBottom w:val="0"/>
      <w:divBdr>
        <w:top w:val="none" w:sz="0" w:space="0" w:color="auto"/>
        <w:left w:val="none" w:sz="0" w:space="0" w:color="auto"/>
        <w:bottom w:val="none" w:sz="0" w:space="0" w:color="auto"/>
        <w:right w:val="none" w:sz="0" w:space="0" w:color="auto"/>
      </w:divBdr>
      <w:divsChild>
        <w:div w:id="713966718">
          <w:marLeft w:val="0"/>
          <w:marRight w:val="0"/>
          <w:marTop w:val="0"/>
          <w:marBottom w:val="0"/>
          <w:divBdr>
            <w:top w:val="none" w:sz="0" w:space="0" w:color="auto"/>
            <w:left w:val="none" w:sz="0" w:space="0" w:color="auto"/>
            <w:bottom w:val="none" w:sz="0" w:space="0" w:color="auto"/>
            <w:right w:val="none" w:sz="0" w:space="0" w:color="auto"/>
          </w:divBdr>
        </w:div>
      </w:divsChild>
    </w:div>
    <w:div w:id="768434301">
      <w:bodyDiv w:val="1"/>
      <w:marLeft w:val="0"/>
      <w:marRight w:val="0"/>
      <w:marTop w:val="0"/>
      <w:marBottom w:val="0"/>
      <w:divBdr>
        <w:top w:val="none" w:sz="0" w:space="0" w:color="auto"/>
        <w:left w:val="none" w:sz="0" w:space="0" w:color="auto"/>
        <w:bottom w:val="none" w:sz="0" w:space="0" w:color="auto"/>
        <w:right w:val="none" w:sz="0" w:space="0" w:color="auto"/>
      </w:divBdr>
      <w:divsChild>
        <w:div w:id="2104104302">
          <w:marLeft w:val="0"/>
          <w:marRight w:val="0"/>
          <w:marTop w:val="0"/>
          <w:marBottom w:val="0"/>
          <w:divBdr>
            <w:top w:val="none" w:sz="0" w:space="0" w:color="auto"/>
            <w:left w:val="none" w:sz="0" w:space="0" w:color="auto"/>
            <w:bottom w:val="none" w:sz="0" w:space="0" w:color="auto"/>
            <w:right w:val="none" w:sz="0" w:space="0" w:color="auto"/>
          </w:divBdr>
        </w:div>
      </w:divsChild>
    </w:div>
    <w:div w:id="781144864">
      <w:bodyDiv w:val="1"/>
      <w:marLeft w:val="0"/>
      <w:marRight w:val="0"/>
      <w:marTop w:val="0"/>
      <w:marBottom w:val="0"/>
      <w:divBdr>
        <w:top w:val="none" w:sz="0" w:space="0" w:color="auto"/>
        <w:left w:val="none" w:sz="0" w:space="0" w:color="auto"/>
        <w:bottom w:val="none" w:sz="0" w:space="0" w:color="auto"/>
        <w:right w:val="none" w:sz="0" w:space="0" w:color="auto"/>
      </w:divBdr>
      <w:divsChild>
        <w:div w:id="919754582">
          <w:marLeft w:val="0"/>
          <w:marRight w:val="0"/>
          <w:marTop w:val="0"/>
          <w:marBottom w:val="0"/>
          <w:divBdr>
            <w:top w:val="none" w:sz="0" w:space="0" w:color="auto"/>
            <w:left w:val="none" w:sz="0" w:space="0" w:color="auto"/>
            <w:bottom w:val="none" w:sz="0" w:space="0" w:color="auto"/>
            <w:right w:val="none" w:sz="0" w:space="0" w:color="auto"/>
          </w:divBdr>
          <w:divsChild>
            <w:div w:id="3114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0386">
      <w:bodyDiv w:val="1"/>
      <w:marLeft w:val="0"/>
      <w:marRight w:val="0"/>
      <w:marTop w:val="0"/>
      <w:marBottom w:val="0"/>
      <w:divBdr>
        <w:top w:val="none" w:sz="0" w:space="0" w:color="auto"/>
        <w:left w:val="none" w:sz="0" w:space="0" w:color="auto"/>
        <w:bottom w:val="none" w:sz="0" w:space="0" w:color="auto"/>
        <w:right w:val="none" w:sz="0" w:space="0" w:color="auto"/>
      </w:divBdr>
      <w:divsChild>
        <w:div w:id="1374386643">
          <w:marLeft w:val="0"/>
          <w:marRight w:val="0"/>
          <w:marTop w:val="0"/>
          <w:marBottom w:val="0"/>
          <w:divBdr>
            <w:top w:val="none" w:sz="0" w:space="0" w:color="auto"/>
            <w:left w:val="none" w:sz="0" w:space="0" w:color="auto"/>
            <w:bottom w:val="none" w:sz="0" w:space="0" w:color="auto"/>
            <w:right w:val="none" w:sz="0" w:space="0" w:color="auto"/>
          </w:divBdr>
          <w:divsChild>
            <w:div w:id="197815277">
              <w:marLeft w:val="0"/>
              <w:marRight w:val="0"/>
              <w:marTop w:val="120"/>
              <w:marBottom w:val="0"/>
              <w:divBdr>
                <w:top w:val="none" w:sz="0" w:space="0" w:color="auto"/>
                <w:left w:val="none" w:sz="0" w:space="0" w:color="auto"/>
                <w:bottom w:val="none" w:sz="0" w:space="0" w:color="auto"/>
                <w:right w:val="none" w:sz="0" w:space="0" w:color="auto"/>
              </w:divBdr>
            </w:div>
            <w:div w:id="1812744296">
              <w:marLeft w:val="0"/>
              <w:marRight w:val="0"/>
              <w:marTop w:val="120"/>
              <w:marBottom w:val="0"/>
              <w:divBdr>
                <w:top w:val="none" w:sz="0" w:space="0" w:color="auto"/>
                <w:left w:val="none" w:sz="0" w:space="0" w:color="auto"/>
                <w:bottom w:val="none" w:sz="0" w:space="0" w:color="auto"/>
                <w:right w:val="none" w:sz="0" w:space="0" w:color="auto"/>
              </w:divBdr>
            </w:div>
            <w:div w:id="20147930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85733118">
      <w:bodyDiv w:val="1"/>
      <w:marLeft w:val="0"/>
      <w:marRight w:val="0"/>
      <w:marTop w:val="0"/>
      <w:marBottom w:val="0"/>
      <w:divBdr>
        <w:top w:val="none" w:sz="0" w:space="0" w:color="auto"/>
        <w:left w:val="none" w:sz="0" w:space="0" w:color="auto"/>
        <w:bottom w:val="none" w:sz="0" w:space="0" w:color="auto"/>
        <w:right w:val="none" w:sz="0" w:space="0" w:color="auto"/>
      </w:divBdr>
      <w:divsChild>
        <w:div w:id="335689112">
          <w:marLeft w:val="0"/>
          <w:marRight w:val="0"/>
          <w:marTop w:val="0"/>
          <w:marBottom w:val="0"/>
          <w:divBdr>
            <w:top w:val="none" w:sz="0" w:space="0" w:color="auto"/>
            <w:left w:val="none" w:sz="0" w:space="0" w:color="auto"/>
            <w:bottom w:val="none" w:sz="0" w:space="0" w:color="auto"/>
            <w:right w:val="none" w:sz="0" w:space="0" w:color="auto"/>
          </w:divBdr>
          <w:divsChild>
            <w:div w:id="17737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7434">
      <w:bodyDiv w:val="1"/>
      <w:marLeft w:val="0"/>
      <w:marRight w:val="0"/>
      <w:marTop w:val="0"/>
      <w:marBottom w:val="0"/>
      <w:divBdr>
        <w:top w:val="none" w:sz="0" w:space="0" w:color="auto"/>
        <w:left w:val="none" w:sz="0" w:space="0" w:color="auto"/>
        <w:bottom w:val="none" w:sz="0" w:space="0" w:color="auto"/>
        <w:right w:val="none" w:sz="0" w:space="0" w:color="auto"/>
      </w:divBdr>
      <w:divsChild>
        <w:div w:id="152375131">
          <w:marLeft w:val="0"/>
          <w:marRight w:val="0"/>
          <w:marTop w:val="0"/>
          <w:marBottom w:val="0"/>
          <w:divBdr>
            <w:top w:val="none" w:sz="0" w:space="0" w:color="auto"/>
            <w:left w:val="none" w:sz="0" w:space="0" w:color="auto"/>
            <w:bottom w:val="none" w:sz="0" w:space="0" w:color="auto"/>
            <w:right w:val="none" w:sz="0" w:space="0" w:color="auto"/>
          </w:divBdr>
        </w:div>
      </w:divsChild>
    </w:div>
    <w:div w:id="796265935">
      <w:bodyDiv w:val="1"/>
      <w:marLeft w:val="0"/>
      <w:marRight w:val="0"/>
      <w:marTop w:val="0"/>
      <w:marBottom w:val="0"/>
      <w:divBdr>
        <w:top w:val="none" w:sz="0" w:space="0" w:color="auto"/>
        <w:left w:val="none" w:sz="0" w:space="0" w:color="auto"/>
        <w:bottom w:val="none" w:sz="0" w:space="0" w:color="auto"/>
        <w:right w:val="none" w:sz="0" w:space="0" w:color="auto"/>
      </w:divBdr>
      <w:divsChild>
        <w:div w:id="1219126138">
          <w:marLeft w:val="0"/>
          <w:marRight w:val="0"/>
          <w:marTop w:val="120"/>
          <w:marBottom w:val="0"/>
          <w:divBdr>
            <w:top w:val="none" w:sz="0" w:space="0" w:color="auto"/>
            <w:left w:val="none" w:sz="0" w:space="0" w:color="auto"/>
            <w:bottom w:val="none" w:sz="0" w:space="0" w:color="auto"/>
            <w:right w:val="none" w:sz="0" w:space="0" w:color="auto"/>
          </w:divBdr>
        </w:div>
        <w:div w:id="1695351636">
          <w:marLeft w:val="0"/>
          <w:marRight w:val="0"/>
          <w:marTop w:val="120"/>
          <w:marBottom w:val="0"/>
          <w:divBdr>
            <w:top w:val="none" w:sz="0" w:space="0" w:color="auto"/>
            <w:left w:val="none" w:sz="0" w:space="0" w:color="auto"/>
            <w:bottom w:val="none" w:sz="0" w:space="0" w:color="auto"/>
            <w:right w:val="none" w:sz="0" w:space="0" w:color="auto"/>
          </w:divBdr>
        </w:div>
        <w:div w:id="1733848007">
          <w:marLeft w:val="0"/>
          <w:marRight w:val="0"/>
          <w:marTop w:val="120"/>
          <w:marBottom w:val="0"/>
          <w:divBdr>
            <w:top w:val="none" w:sz="0" w:space="0" w:color="auto"/>
            <w:left w:val="none" w:sz="0" w:space="0" w:color="auto"/>
            <w:bottom w:val="none" w:sz="0" w:space="0" w:color="auto"/>
            <w:right w:val="none" w:sz="0" w:space="0" w:color="auto"/>
          </w:divBdr>
        </w:div>
      </w:divsChild>
    </w:div>
    <w:div w:id="802767795">
      <w:bodyDiv w:val="1"/>
      <w:marLeft w:val="0"/>
      <w:marRight w:val="0"/>
      <w:marTop w:val="0"/>
      <w:marBottom w:val="0"/>
      <w:divBdr>
        <w:top w:val="none" w:sz="0" w:space="0" w:color="auto"/>
        <w:left w:val="none" w:sz="0" w:space="0" w:color="auto"/>
        <w:bottom w:val="none" w:sz="0" w:space="0" w:color="auto"/>
        <w:right w:val="none" w:sz="0" w:space="0" w:color="auto"/>
      </w:divBdr>
      <w:divsChild>
        <w:div w:id="2092003550">
          <w:marLeft w:val="0"/>
          <w:marRight w:val="0"/>
          <w:marTop w:val="0"/>
          <w:marBottom w:val="0"/>
          <w:divBdr>
            <w:top w:val="none" w:sz="0" w:space="0" w:color="auto"/>
            <w:left w:val="none" w:sz="0" w:space="0" w:color="auto"/>
            <w:bottom w:val="none" w:sz="0" w:space="0" w:color="auto"/>
            <w:right w:val="none" w:sz="0" w:space="0" w:color="auto"/>
          </w:divBdr>
        </w:div>
      </w:divsChild>
    </w:div>
    <w:div w:id="804278060">
      <w:bodyDiv w:val="1"/>
      <w:marLeft w:val="0"/>
      <w:marRight w:val="0"/>
      <w:marTop w:val="0"/>
      <w:marBottom w:val="0"/>
      <w:divBdr>
        <w:top w:val="none" w:sz="0" w:space="0" w:color="auto"/>
        <w:left w:val="none" w:sz="0" w:space="0" w:color="auto"/>
        <w:bottom w:val="none" w:sz="0" w:space="0" w:color="auto"/>
        <w:right w:val="none" w:sz="0" w:space="0" w:color="auto"/>
      </w:divBdr>
      <w:divsChild>
        <w:div w:id="64649619">
          <w:marLeft w:val="0"/>
          <w:marRight w:val="0"/>
          <w:marTop w:val="0"/>
          <w:marBottom w:val="0"/>
          <w:divBdr>
            <w:top w:val="none" w:sz="0" w:space="0" w:color="auto"/>
            <w:left w:val="none" w:sz="0" w:space="0" w:color="auto"/>
            <w:bottom w:val="none" w:sz="0" w:space="0" w:color="auto"/>
            <w:right w:val="none" w:sz="0" w:space="0" w:color="auto"/>
          </w:divBdr>
          <w:divsChild>
            <w:div w:id="1730955206">
              <w:marLeft w:val="0"/>
              <w:marRight w:val="0"/>
              <w:marTop w:val="0"/>
              <w:marBottom w:val="0"/>
              <w:divBdr>
                <w:top w:val="none" w:sz="0" w:space="0" w:color="auto"/>
                <w:left w:val="none" w:sz="0" w:space="0" w:color="auto"/>
                <w:bottom w:val="none" w:sz="0" w:space="0" w:color="auto"/>
                <w:right w:val="none" w:sz="0" w:space="0" w:color="auto"/>
              </w:divBdr>
            </w:div>
          </w:divsChild>
        </w:div>
        <w:div w:id="113714535">
          <w:marLeft w:val="0"/>
          <w:marRight w:val="0"/>
          <w:marTop w:val="0"/>
          <w:marBottom w:val="0"/>
          <w:divBdr>
            <w:top w:val="none" w:sz="0" w:space="0" w:color="auto"/>
            <w:left w:val="none" w:sz="0" w:space="0" w:color="auto"/>
            <w:bottom w:val="none" w:sz="0" w:space="0" w:color="auto"/>
            <w:right w:val="none" w:sz="0" w:space="0" w:color="auto"/>
          </w:divBdr>
        </w:div>
      </w:divsChild>
    </w:div>
    <w:div w:id="811796493">
      <w:bodyDiv w:val="1"/>
      <w:marLeft w:val="0"/>
      <w:marRight w:val="0"/>
      <w:marTop w:val="0"/>
      <w:marBottom w:val="0"/>
      <w:divBdr>
        <w:top w:val="none" w:sz="0" w:space="0" w:color="auto"/>
        <w:left w:val="none" w:sz="0" w:space="0" w:color="auto"/>
        <w:bottom w:val="none" w:sz="0" w:space="0" w:color="auto"/>
        <w:right w:val="none" w:sz="0" w:space="0" w:color="auto"/>
      </w:divBdr>
      <w:divsChild>
        <w:div w:id="1063409338">
          <w:marLeft w:val="0"/>
          <w:marRight w:val="0"/>
          <w:marTop w:val="0"/>
          <w:marBottom w:val="0"/>
          <w:divBdr>
            <w:top w:val="none" w:sz="0" w:space="0" w:color="auto"/>
            <w:left w:val="none" w:sz="0" w:space="0" w:color="auto"/>
            <w:bottom w:val="none" w:sz="0" w:space="0" w:color="auto"/>
            <w:right w:val="none" w:sz="0" w:space="0" w:color="auto"/>
          </w:divBdr>
          <w:divsChild>
            <w:div w:id="670717059">
              <w:marLeft w:val="0"/>
              <w:marRight w:val="0"/>
              <w:marTop w:val="0"/>
              <w:marBottom w:val="0"/>
              <w:divBdr>
                <w:top w:val="none" w:sz="0" w:space="0" w:color="auto"/>
                <w:left w:val="none" w:sz="0" w:space="0" w:color="auto"/>
                <w:bottom w:val="none" w:sz="0" w:space="0" w:color="auto"/>
                <w:right w:val="none" w:sz="0" w:space="0" w:color="auto"/>
              </w:divBdr>
              <w:divsChild>
                <w:div w:id="148324137">
                  <w:marLeft w:val="0"/>
                  <w:marRight w:val="0"/>
                  <w:marTop w:val="0"/>
                  <w:marBottom w:val="0"/>
                  <w:divBdr>
                    <w:top w:val="none" w:sz="0" w:space="0" w:color="auto"/>
                    <w:left w:val="none" w:sz="0" w:space="0" w:color="auto"/>
                    <w:bottom w:val="none" w:sz="0" w:space="0" w:color="auto"/>
                    <w:right w:val="none" w:sz="0" w:space="0" w:color="auto"/>
                  </w:divBdr>
                  <w:divsChild>
                    <w:div w:id="510871420">
                      <w:marLeft w:val="0"/>
                      <w:marRight w:val="0"/>
                      <w:marTop w:val="0"/>
                      <w:marBottom w:val="0"/>
                      <w:divBdr>
                        <w:top w:val="none" w:sz="0" w:space="0" w:color="auto"/>
                        <w:left w:val="none" w:sz="0" w:space="0" w:color="auto"/>
                        <w:bottom w:val="none" w:sz="0" w:space="0" w:color="auto"/>
                        <w:right w:val="none" w:sz="0" w:space="0" w:color="auto"/>
                      </w:divBdr>
                    </w:div>
                    <w:div w:id="835146241">
                      <w:marLeft w:val="0"/>
                      <w:marRight w:val="0"/>
                      <w:marTop w:val="120"/>
                      <w:marBottom w:val="0"/>
                      <w:divBdr>
                        <w:top w:val="none" w:sz="0" w:space="0" w:color="auto"/>
                        <w:left w:val="none" w:sz="0" w:space="0" w:color="auto"/>
                        <w:bottom w:val="none" w:sz="0" w:space="0" w:color="auto"/>
                        <w:right w:val="none" w:sz="0" w:space="0" w:color="auto"/>
                      </w:divBdr>
                    </w:div>
                  </w:divsChild>
                </w:div>
                <w:div w:id="1123034834">
                  <w:marLeft w:val="0"/>
                  <w:marRight w:val="0"/>
                  <w:marTop w:val="0"/>
                  <w:marBottom w:val="0"/>
                  <w:divBdr>
                    <w:top w:val="none" w:sz="0" w:space="0" w:color="auto"/>
                    <w:left w:val="none" w:sz="0" w:space="0" w:color="auto"/>
                    <w:bottom w:val="none" w:sz="0" w:space="0" w:color="auto"/>
                    <w:right w:val="none" w:sz="0" w:space="0" w:color="auto"/>
                  </w:divBdr>
                  <w:divsChild>
                    <w:div w:id="1203904563">
                      <w:marLeft w:val="0"/>
                      <w:marRight w:val="0"/>
                      <w:marTop w:val="0"/>
                      <w:marBottom w:val="0"/>
                      <w:divBdr>
                        <w:top w:val="none" w:sz="0" w:space="0" w:color="auto"/>
                        <w:left w:val="none" w:sz="0" w:space="0" w:color="auto"/>
                        <w:bottom w:val="none" w:sz="0" w:space="0" w:color="auto"/>
                        <w:right w:val="none" w:sz="0" w:space="0" w:color="auto"/>
                      </w:divBdr>
                    </w:div>
                    <w:div w:id="1299148079">
                      <w:marLeft w:val="0"/>
                      <w:marRight w:val="0"/>
                      <w:marTop w:val="120"/>
                      <w:marBottom w:val="0"/>
                      <w:divBdr>
                        <w:top w:val="none" w:sz="0" w:space="0" w:color="auto"/>
                        <w:left w:val="none" w:sz="0" w:space="0" w:color="auto"/>
                        <w:bottom w:val="none" w:sz="0" w:space="0" w:color="auto"/>
                        <w:right w:val="none" w:sz="0" w:space="0" w:color="auto"/>
                      </w:divBdr>
                    </w:div>
                  </w:divsChild>
                </w:div>
                <w:div w:id="2049527334">
                  <w:marLeft w:val="0"/>
                  <w:marRight w:val="0"/>
                  <w:marTop w:val="0"/>
                  <w:marBottom w:val="0"/>
                  <w:divBdr>
                    <w:top w:val="none" w:sz="0" w:space="0" w:color="auto"/>
                    <w:left w:val="none" w:sz="0" w:space="0" w:color="auto"/>
                    <w:bottom w:val="none" w:sz="0" w:space="0" w:color="auto"/>
                    <w:right w:val="none" w:sz="0" w:space="0" w:color="auto"/>
                  </w:divBdr>
                  <w:divsChild>
                    <w:div w:id="462357030">
                      <w:marLeft w:val="0"/>
                      <w:marRight w:val="0"/>
                      <w:marTop w:val="0"/>
                      <w:marBottom w:val="0"/>
                      <w:divBdr>
                        <w:top w:val="none" w:sz="0" w:space="0" w:color="auto"/>
                        <w:left w:val="none" w:sz="0" w:space="0" w:color="auto"/>
                        <w:bottom w:val="none" w:sz="0" w:space="0" w:color="auto"/>
                        <w:right w:val="none" w:sz="0" w:space="0" w:color="auto"/>
                      </w:divBdr>
                    </w:div>
                    <w:div w:id="1515802347">
                      <w:marLeft w:val="0"/>
                      <w:marRight w:val="0"/>
                      <w:marTop w:val="120"/>
                      <w:marBottom w:val="0"/>
                      <w:divBdr>
                        <w:top w:val="none" w:sz="0" w:space="0" w:color="auto"/>
                        <w:left w:val="none" w:sz="0" w:space="0" w:color="auto"/>
                        <w:bottom w:val="none" w:sz="0" w:space="0" w:color="auto"/>
                        <w:right w:val="none" w:sz="0" w:space="0" w:color="auto"/>
                      </w:divBdr>
                    </w:div>
                  </w:divsChild>
                </w:div>
                <w:div w:id="2089232179">
                  <w:marLeft w:val="0"/>
                  <w:marRight w:val="0"/>
                  <w:marTop w:val="0"/>
                  <w:marBottom w:val="0"/>
                  <w:divBdr>
                    <w:top w:val="none" w:sz="0" w:space="0" w:color="auto"/>
                    <w:left w:val="none" w:sz="0" w:space="0" w:color="auto"/>
                    <w:bottom w:val="none" w:sz="0" w:space="0" w:color="auto"/>
                    <w:right w:val="none" w:sz="0" w:space="0" w:color="auto"/>
                  </w:divBdr>
                  <w:divsChild>
                    <w:div w:id="1658530048">
                      <w:marLeft w:val="0"/>
                      <w:marRight w:val="0"/>
                      <w:marTop w:val="120"/>
                      <w:marBottom w:val="0"/>
                      <w:divBdr>
                        <w:top w:val="none" w:sz="0" w:space="0" w:color="auto"/>
                        <w:left w:val="none" w:sz="0" w:space="0" w:color="auto"/>
                        <w:bottom w:val="none" w:sz="0" w:space="0" w:color="auto"/>
                        <w:right w:val="none" w:sz="0" w:space="0" w:color="auto"/>
                      </w:divBdr>
                    </w:div>
                    <w:div w:id="19902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13229">
          <w:marLeft w:val="0"/>
          <w:marRight w:val="0"/>
          <w:marTop w:val="0"/>
          <w:marBottom w:val="0"/>
          <w:divBdr>
            <w:top w:val="none" w:sz="0" w:space="0" w:color="auto"/>
            <w:left w:val="none" w:sz="0" w:space="0" w:color="auto"/>
            <w:bottom w:val="none" w:sz="0" w:space="0" w:color="auto"/>
            <w:right w:val="none" w:sz="0" w:space="0" w:color="auto"/>
          </w:divBdr>
          <w:divsChild>
            <w:div w:id="427388524">
              <w:marLeft w:val="0"/>
              <w:marRight w:val="0"/>
              <w:marTop w:val="0"/>
              <w:marBottom w:val="0"/>
              <w:divBdr>
                <w:top w:val="none" w:sz="0" w:space="0" w:color="auto"/>
                <w:left w:val="none" w:sz="0" w:space="0" w:color="auto"/>
                <w:bottom w:val="none" w:sz="0" w:space="0" w:color="auto"/>
                <w:right w:val="none" w:sz="0" w:space="0" w:color="auto"/>
              </w:divBdr>
            </w:div>
          </w:divsChild>
        </w:div>
        <w:div w:id="2118941575">
          <w:marLeft w:val="0"/>
          <w:marRight w:val="0"/>
          <w:marTop w:val="0"/>
          <w:marBottom w:val="0"/>
          <w:divBdr>
            <w:top w:val="none" w:sz="0" w:space="0" w:color="auto"/>
            <w:left w:val="none" w:sz="0" w:space="0" w:color="auto"/>
            <w:bottom w:val="none" w:sz="0" w:space="0" w:color="auto"/>
            <w:right w:val="none" w:sz="0" w:space="0" w:color="auto"/>
          </w:divBdr>
          <w:divsChild>
            <w:div w:id="9604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17872">
      <w:bodyDiv w:val="1"/>
      <w:marLeft w:val="0"/>
      <w:marRight w:val="0"/>
      <w:marTop w:val="0"/>
      <w:marBottom w:val="0"/>
      <w:divBdr>
        <w:top w:val="none" w:sz="0" w:space="0" w:color="auto"/>
        <w:left w:val="none" w:sz="0" w:space="0" w:color="auto"/>
        <w:bottom w:val="none" w:sz="0" w:space="0" w:color="auto"/>
        <w:right w:val="none" w:sz="0" w:space="0" w:color="auto"/>
      </w:divBdr>
      <w:divsChild>
        <w:div w:id="555749672">
          <w:marLeft w:val="0"/>
          <w:marRight w:val="0"/>
          <w:marTop w:val="0"/>
          <w:marBottom w:val="0"/>
          <w:divBdr>
            <w:top w:val="none" w:sz="0" w:space="0" w:color="auto"/>
            <w:left w:val="none" w:sz="0" w:space="0" w:color="auto"/>
            <w:bottom w:val="none" w:sz="0" w:space="0" w:color="auto"/>
            <w:right w:val="none" w:sz="0" w:space="0" w:color="auto"/>
          </w:divBdr>
          <w:divsChild>
            <w:div w:id="269821081">
              <w:marLeft w:val="0"/>
              <w:marRight w:val="0"/>
              <w:marTop w:val="0"/>
              <w:marBottom w:val="0"/>
              <w:divBdr>
                <w:top w:val="none" w:sz="0" w:space="0" w:color="auto"/>
                <w:left w:val="none" w:sz="0" w:space="0" w:color="auto"/>
                <w:bottom w:val="none" w:sz="0" w:space="0" w:color="auto"/>
                <w:right w:val="none" w:sz="0" w:space="0" w:color="auto"/>
              </w:divBdr>
            </w:div>
          </w:divsChild>
        </w:div>
        <w:div w:id="1652439498">
          <w:marLeft w:val="0"/>
          <w:marRight w:val="0"/>
          <w:marTop w:val="0"/>
          <w:marBottom w:val="0"/>
          <w:divBdr>
            <w:top w:val="none" w:sz="0" w:space="0" w:color="auto"/>
            <w:left w:val="none" w:sz="0" w:space="0" w:color="auto"/>
            <w:bottom w:val="none" w:sz="0" w:space="0" w:color="auto"/>
            <w:right w:val="none" w:sz="0" w:space="0" w:color="auto"/>
          </w:divBdr>
          <w:divsChild>
            <w:div w:id="18892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530537">
      <w:bodyDiv w:val="1"/>
      <w:marLeft w:val="0"/>
      <w:marRight w:val="0"/>
      <w:marTop w:val="0"/>
      <w:marBottom w:val="0"/>
      <w:divBdr>
        <w:top w:val="none" w:sz="0" w:space="0" w:color="auto"/>
        <w:left w:val="none" w:sz="0" w:space="0" w:color="auto"/>
        <w:bottom w:val="none" w:sz="0" w:space="0" w:color="auto"/>
        <w:right w:val="none" w:sz="0" w:space="0" w:color="auto"/>
      </w:divBdr>
      <w:divsChild>
        <w:div w:id="274487777">
          <w:marLeft w:val="0"/>
          <w:marRight w:val="0"/>
          <w:marTop w:val="0"/>
          <w:marBottom w:val="0"/>
          <w:divBdr>
            <w:top w:val="none" w:sz="0" w:space="0" w:color="auto"/>
            <w:left w:val="none" w:sz="0" w:space="0" w:color="auto"/>
            <w:bottom w:val="none" w:sz="0" w:space="0" w:color="auto"/>
            <w:right w:val="none" w:sz="0" w:space="0" w:color="auto"/>
          </w:divBdr>
          <w:divsChild>
            <w:div w:id="3590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5978">
      <w:bodyDiv w:val="1"/>
      <w:marLeft w:val="0"/>
      <w:marRight w:val="0"/>
      <w:marTop w:val="0"/>
      <w:marBottom w:val="0"/>
      <w:divBdr>
        <w:top w:val="none" w:sz="0" w:space="0" w:color="auto"/>
        <w:left w:val="none" w:sz="0" w:space="0" w:color="auto"/>
        <w:bottom w:val="none" w:sz="0" w:space="0" w:color="auto"/>
        <w:right w:val="none" w:sz="0" w:space="0" w:color="auto"/>
      </w:divBdr>
      <w:divsChild>
        <w:div w:id="1042630629">
          <w:marLeft w:val="0"/>
          <w:marRight w:val="0"/>
          <w:marTop w:val="0"/>
          <w:marBottom w:val="0"/>
          <w:divBdr>
            <w:top w:val="none" w:sz="0" w:space="0" w:color="auto"/>
            <w:left w:val="none" w:sz="0" w:space="0" w:color="auto"/>
            <w:bottom w:val="none" w:sz="0" w:space="0" w:color="auto"/>
            <w:right w:val="none" w:sz="0" w:space="0" w:color="auto"/>
          </w:divBdr>
        </w:div>
      </w:divsChild>
    </w:div>
    <w:div w:id="835996015">
      <w:bodyDiv w:val="1"/>
      <w:marLeft w:val="0"/>
      <w:marRight w:val="0"/>
      <w:marTop w:val="0"/>
      <w:marBottom w:val="0"/>
      <w:divBdr>
        <w:top w:val="none" w:sz="0" w:space="0" w:color="auto"/>
        <w:left w:val="none" w:sz="0" w:space="0" w:color="auto"/>
        <w:bottom w:val="none" w:sz="0" w:space="0" w:color="auto"/>
        <w:right w:val="none" w:sz="0" w:space="0" w:color="auto"/>
      </w:divBdr>
      <w:divsChild>
        <w:div w:id="31804593">
          <w:marLeft w:val="0"/>
          <w:marRight w:val="0"/>
          <w:marTop w:val="0"/>
          <w:marBottom w:val="0"/>
          <w:divBdr>
            <w:top w:val="none" w:sz="0" w:space="0" w:color="auto"/>
            <w:left w:val="none" w:sz="0" w:space="0" w:color="auto"/>
            <w:bottom w:val="none" w:sz="0" w:space="0" w:color="auto"/>
            <w:right w:val="none" w:sz="0" w:space="0" w:color="auto"/>
          </w:divBdr>
          <w:divsChild>
            <w:div w:id="47999534">
              <w:marLeft w:val="0"/>
              <w:marRight w:val="0"/>
              <w:marTop w:val="0"/>
              <w:marBottom w:val="0"/>
              <w:divBdr>
                <w:top w:val="none" w:sz="0" w:space="0" w:color="auto"/>
                <w:left w:val="none" w:sz="0" w:space="0" w:color="auto"/>
                <w:bottom w:val="none" w:sz="0" w:space="0" w:color="auto"/>
                <w:right w:val="none" w:sz="0" w:space="0" w:color="auto"/>
              </w:divBdr>
            </w:div>
          </w:divsChild>
        </w:div>
        <w:div w:id="317727574">
          <w:marLeft w:val="0"/>
          <w:marRight w:val="0"/>
          <w:marTop w:val="0"/>
          <w:marBottom w:val="0"/>
          <w:divBdr>
            <w:top w:val="none" w:sz="0" w:space="0" w:color="auto"/>
            <w:left w:val="none" w:sz="0" w:space="0" w:color="auto"/>
            <w:bottom w:val="none" w:sz="0" w:space="0" w:color="auto"/>
            <w:right w:val="none" w:sz="0" w:space="0" w:color="auto"/>
          </w:divBdr>
          <w:divsChild>
            <w:div w:id="83692468">
              <w:marLeft w:val="0"/>
              <w:marRight w:val="0"/>
              <w:marTop w:val="0"/>
              <w:marBottom w:val="0"/>
              <w:divBdr>
                <w:top w:val="none" w:sz="0" w:space="0" w:color="auto"/>
                <w:left w:val="none" w:sz="0" w:space="0" w:color="auto"/>
                <w:bottom w:val="none" w:sz="0" w:space="0" w:color="auto"/>
                <w:right w:val="none" w:sz="0" w:space="0" w:color="auto"/>
              </w:divBdr>
            </w:div>
          </w:divsChild>
        </w:div>
        <w:div w:id="334651450">
          <w:marLeft w:val="0"/>
          <w:marRight w:val="0"/>
          <w:marTop w:val="0"/>
          <w:marBottom w:val="0"/>
          <w:divBdr>
            <w:top w:val="none" w:sz="0" w:space="0" w:color="auto"/>
            <w:left w:val="none" w:sz="0" w:space="0" w:color="auto"/>
            <w:bottom w:val="none" w:sz="0" w:space="0" w:color="auto"/>
            <w:right w:val="none" w:sz="0" w:space="0" w:color="auto"/>
          </w:divBdr>
          <w:divsChild>
            <w:div w:id="1182863031">
              <w:marLeft w:val="0"/>
              <w:marRight w:val="0"/>
              <w:marTop w:val="0"/>
              <w:marBottom w:val="0"/>
              <w:divBdr>
                <w:top w:val="none" w:sz="0" w:space="0" w:color="auto"/>
                <w:left w:val="none" w:sz="0" w:space="0" w:color="auto"/>
                <w:bottom w:val="none" w:sz="0" w:space="0" w:color="auto"/>
                <w:right w:val="none" w:sz="0" w:space="0" w:color="auto"/>
              </w:divBdr>
            </w:div>
          </w:divsChild>
        </w:div>
        <w:div w:id="852914694">
          <w:marLeft w:val="0"/>
          <w:marRight w:val="0"/>
          <w:marTop w:val="0"/>
          <w:marBottom w:val="0"/>
          <w:divBdr>
            <w:top w:val="none" w:sz="0" w:space="0" w:color="auto"/>
            <w:left w:val="none" w:sz="0" w:space="0" w:color="auto"/>
            <w:bottom w:val="none" w:sz="0" w:space="0" w:color="auto"/>
            <w:right w:val="none" w:sz="0" w:space="0" w:color="auto"/>
          </w:divBdr>
          <w:divsChild>
            <w:div w:id="8599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419">
      <w:bodyDiv w:val="1"/>
      <w:marLeft w:val="0"/>
      <w:marRight w:val="0"/>
      <w:marTop w:val="0"/>
      <w:marBottom w:val="0"/>
      <w:divBdr>
        <w:top w:val="none" w:sz="0" w:space="0" w:color="auto"/>
        <w:left w:val="none" w:sz="0" w:space="0" w:color="auto"/>
        <w:bottom w:val="none" w:sz="0" w:space="0" w:color="auto"/>
        <w:right w:val="none" w:sz="0" w:space="0" w:color="auto"/>
      </w:divBdr>
      <w:divsChild>
        <w:div w:id="2120175366">
          <w:marLeft w:val="0"/>
          <w:marRight w:val="0"/>
          <w:marTop w:val="0"/>
          <w:marBottom w:val="0"/>
          <w:divBdr>
            <w:top w:val="none" w:sz="0" w:space="0" w:color="auto"/>
            <w:left w:val="none" w:sz="0" w:space="0" w:color="auto"/>
            <w:bottom w:val="none" w:sz="0" w:space="0" w:color="auto"/>
            <w:right w:val="none" w:sz="0" w:space="0" w:color="auto"/>
          </w:divBdr>
        </w:div>
      </w:divsChild>
    </w:div>
    <w:div w:id="842742229">
      <w:bodyDiv w:val="1"/>
      <w:marLeft w:val="0"/>
      <w:marRight w:val="0"/>
      <w:marTop w:val="0"/>
      <w:marBottom w:val="0"/>
      <w:divBdr>
        <w:top w:val="none" w:sz="0" w:space="0" w:color="auto"/>
        <w:left w:val="none" w:sz="0" w:space="0" w:color="auto"/>
        <w:bottom w:val="none" w:sz="0" w:space="0" w:color="auto"/>
        <w:right w:val="none" w:sz="0" w:space="0" w:color="auto"/>
      </w:divBdr>
      <w:divsChild>
        <w:div w:id="1278760016">
          <w:marLeft w:val="0"/>
          <w:marRight w:val="0"/>
          <w:marTop w:val="0"/>
          <w:marBottom w:val="0"/>
          <w:divBdr>
            <w:top w:val="none" w:sz="0" w:space="0" w:color="auto"/>
            <w:left w:val="none" w:sz="0" w:space="0" w:color="auto"/>
            <w:bottom w:val="none" w:sz="0" w:space="0" w:color="auto"/>
            <w:right w:val="none" w:sz="0" w:space="0" w:color="auto"/>
          </w:divBdr>
          <w:divsChild>
            <w:div w:id="116870955">
              <w:marLeft w:val="0"/>
              <w:marRight w:val="0"/>
              <w:marTop w:val="0"/>
              <w:marBottom w:val="0"/>
              <w:divBdr>
                <w:top w:val="none" w:sz="0" w:space="0" w:color="auto"/>
                <w:left w:val="none" w:sz="0" w:space="0" w:color="auto"/>
                <w:bottom w:val="none" w:sz="0" w:space="0" w:color="auto"/>
                <w:right w:val="none" w:sz="0" w:space="0" w:color="auto"/>
              </w:divBdr>
              <w:divsChild>
                <w:div w:id="92173083">
                  <w:marLeft w:val="0"/>
                  <w:marRight w:val="0"/>
                  <w:marTop w:val="120"/>
                  <w:marBottom w:val="0"/>
                  <w:divBdr>
                    <w:top w:val="none" w:sz="0" w:space="0" w:color="auto"/>
                    <w:left w:val="none" w:sz="0" w:space="0" w:color="auto"/>
                    <w:bottom w:val="none" w:sz="0" w:space="0" w:color="auto"/>
                    <w:right w:val="none" w:sz="0" w:space="0" w:color="auto"/>
                  </w:divBdr>
                </w:div>
                <w:div w:id="1959868497">
                  <w:marLeft w:val="0"/>
                  <w:marRight w:val="0"/>
                  <w:marTop w:val="0"/>
                  <w:marBottom w:val="0"/>
                  <w:divBdr>
                    <w:top w:val="none" w:sz="0" w:space="0" w:color="auto"/>
                    <w:left w:val="none" w:sz="0" w:space="0" w:color="auto"/>
                    <w:bottom w:val="none" w:sz="0" w:space="0" w:color="auto"/>
                    <w:right w:val="none" w:sz="0" w:space="0" w:color="auto"/>
                  </w:divBdr>
                </w:div>
              </w:divsChild>
            </w:div>
            <w:div w:id="1763137614">
              <w:marLeft w:val="0"/>
              <w:marRight w:val="0"/>
              <w:marTop w:val="0"/>
              <w:marBottom w:val="0"/>
              <w:divBdr>
                <w:top w:val="none" w:sz="0" w:space="0" w:color="auto"/>
                <w:left w:val="none" w:sz="0" w:space="0" w:color="auto"/>
                <w:bottom w:val="none" w:sz="0" w:space="0" w:color="auto"/>
                <w:right w:val="none" w:sz="0" w:space="0" w:color="auto"/>
              </w:divBdr>
              <w:divsChild>
                <w:div w:id="1185901672">
                  <w:marLeft w:val="0"/>
                  <w:marRight w:val="0"/>
                  <w:marTop w:val="120"/>
                  <w:marBottom w:val="0"/>
                  <w:divBdr>
                    <w:top w:val="none" w:sz="0" w:space="0" w:color="auto"/>
                    <w:left w:val="none" w:sz="0" w:space="0" w:color="auto"/>
                    <w:bottom w:val="none" w:sz="0" w:space="0" w:color="auto"/>
                    <w:right w:val="none" w:sz="0" w:space="0" w:color="auto"/>
                  </w:divBdr>
                </w:div>
                <w:div w:id="18718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79643">
      <w:bodyDiv w:val="1"/>
      <w:marLeft w:val="0"/>
      <w:marRight w:val="0"/>
      <w:marTop w:val="0"/>
      <w:marBottom w:val="0"/>
      <w:divBdr>
        <w:top w:val="none" w:sz="0" w:space="0" w:color="auto"/>
        <w:left w:val="none" w:sz="0" w:space="0" w:color="auto"/>
        <w:bottom w:val="none" w:sz="0" w:space="0" w:color="auto"/>
        <w:right w:val="none" w:sz="0" w:space="0" w:color="auto"/>
      </w:divBdr>
      <w:divsChild>
        <w:div w:id="1922520892">
          <w:marLeft w:val="0"/>
          <w:marRight w:val="0"/>
          <w:marTop w:val="0"/>
          <w:marBottom w:val="0"/>
          <w:divBdr>
            <w:top w:val="none" w:sz="0" w:space="0" w:color="auto"/>
            <w:left w:val="none" w:sz="0" w:space="0" w:color="auto"/>
            <w:bottom w:val="none" w:sz="0" w:space="0" w:color="auto"/>
            <w:right w:val="none" w:sz="0" w:space="0" w:color="auto"/>
          </w:divBdr>
        </w:div>
      </w:divsChild>
    </w:div>
    <w:div w:id="874662119">
      <w:bodyDiv w:val="1"/>
      <w:marLeft w:val="0"/>
      <w:marRight w:val="0"/>
      <w:marTop w:val="0"/>
      <w:marBottom w:val="0"/>
      <w:divBdr>
        <w:top w:val="none" w:sz="0" w:space="0" w:color="auto"/>
        <w:left w:val="none" w:sz="0" w:space="0" w:color="auto"/>
        <w:bottom w:val="none" w:sz="0" w:space="0" w:color="auto"/>
        <w:right w:val="none" w:sz="0" w:space="0" w:color="auto"/>
      </w:divBdr>
      <w:divsChild>
        <w:div w:id="1504055305">
          <w:marLeft w:val="0"/>
          <w:marRight w:val="0"/>
          <w:marTop w:val="0"/>
          <w:marBottom w:val="0"/>
          <w:divBdr>
            <w:top w:val="none" w:sz="0" w:space="0" w:color="auto"/>
            <w:left w:val="none" w:sz="0" w:space="0" w:color="auto"/>
            <w:bottom w:val="none" w:sz="0" w:space="0" w:color="auto"/>
            <w:right w:val="none" w:sz="0" w:space="0" w:color="auto"/>
          </w:divBdr>
          <w:divsChild>
            <w:div w:id="1013261794">
              <w:marLeft w:val="0"/>
              <w:marRight w:val="0"/>
              <w:marTop w:val="0"/>
              <w:marBottom w:val="0"/>
              <w:divBdr>
                <w:top w:val="none" w:sz="0" w:space="0" w:color="auto"/>
                <w:left w:val="none" w:sz="0" w:space="0" w:color="auto"/>
                <w:bottom w:val="none" w:sz="0" w:space="0" w:color="auto"/>
                <w:right w:val="none" w:sz="0" w:space="0" w:color="auto"/>
              </w:divBdr>
              <w:divsChild>
                <w:div w:id="87313988">
                  <w:marLeft w:val="0"/>
                  <w:marRight w:val="0"/>
                  <w:marTop w:val="120"/>
                  <w:marBottom w:val="0"/>
                  <w:divBdr>
                    <w:top w:val="none" w:sz="0" w:space="0" w:color="auto"/>
                    <w:left w:val="none" w:sz="0" w:space="0" w:color="auto"/>
                    <w:bottom w:val="none" w:sz="0" w:space="0" w:color="auto"/>
                    <w:right w:val="none" w:sz="0" w:space="0" w:color="auto"/>
                  </w:divBdr>
                </w:div>
                <w:div w:id="8516476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75235273">
      <w:bodyDiv w:val="1"/>
      <w:marLeft w:val="0"/>
      <w:marRight w:val="0"/>
      <w:marTop w:val="0"/>
      <w:marBottom w:val="0"/>
      <w:divBdr>
        <w:top w:val="none" w:sz="0" w:space="0" w:color="auto"/>
        <w:left w:val="none" w:sz="0" w:space="0" w:color="auto"/>
        <w:bottom w:val="none" w:sz="0" w:space="0" w:color="auto"/>
        <w:right w:val="none" w:sz="0" w:space="0" w:color="auto"/>
      </w:divBdr>
      <w:divsChild>
        <w:div w:id="583303058">
          <w:marLeft w:val="0"/>
          <w:marRight w:val="0"/>
          <w:marTop w:val="0"/>
          <w:marBottom w:val="0"/>
          <w:divBdr>
            <w:top w:val="none" w:sz="0" w:space="0" w:color="auto"/>
            <w:left w:val="none" w:sz="0" w:space="0" w:color="auto"/>
            <w:bottom w:val="none" w:sz="0" w:space="0" w:color="auto"/>
            <w:right w:val="none" w:sz="0" w:space="0" w:color="auto"/>
          </w:divBdr>
        </w:div>
      </w:divsChild>
    </w:div>
    <w:div w:id="875655041">
      <w:bodyDiv w:val="1"/>
      <w:marLeft w:val="0"/>
      <w:marRight w:val="0"/>
      <w:marTop w:val="0"/>
      <w:marBottom w:val="0"/>
      <w:divBdr>
        <w:top w:val="none" w:sz="0" w:space="0" w:color="auto"/>
        <w:left w:val="none" w:sz="0" w:space="0" w:color="auto"/>
        <w:bottom w:val="none" w:sz="0" w:space="0" w:color="auto"/>
        <w:right w:val="none" w:sz="0" w:space="0" w:color="auto"/>
      </w:divBdr>
      <w:divsChild>
        <w:div w:id="710423647">
          <w:marLeft w:val="0"/>
          <w:marRight w:val="0"/>
          <w:marTop w:val="0"/>
          <w:marBottom w:val="0"/>
          <w:divBdr>
            <w:top w:val="none" w:sz="0" w:space="0" w:color="auto"/>
            <w:left w:val="none" w:sz="0" w:space="0" w:color="auto"/>
            <w:bottom w:val="none" w:sz="0" w:space="0" w:color="auto"/>
            <w:right w:val="none" w:sz="0" w:space="0" w:color="auto"/>
          </w:divBdr>
        </w:div>
      </w:divsChild>
    </w:div>
    <w:div w:id="881407045">
      <w:bodyDiv w:val="1"/>
      <w:marLeft w:val="0"/>
      <w:marRight w:val="0"/>
      <w:marTop w:val="0"/>
      <w:marBottom w:val="0"/>
      <w:divBdr>
        <w:top w:val="none" w:sz="0" w:space="0" w:color="auto"/>
        <w:left w:val="none" w:sz="0" w:space="0" w:color="auto"/>
        <w:bottom w:val="none" w:sz="0" w:space="0" w:color="auto"/>
        <w:right w:val="none" w:sz="0" w:space="0" w:color="auto"/>
      </w:divBdr>
      <w:divsChild>
        <w:div w:id="342510008">
          <w:marLeft w:val="0"/>
          <w:marRight w:val="0"/>
          <w:marTop w:val="0"/>
          <w:marBottom w:val="0"/>
          <w:divBdr>
            <w:top w:val="none" w:sz="0" w:space="0" w:color="auto"/>
            <w:left w:val="none" w:sz="0" w:space="0" w:color="auto"/>
            <w:bottom w:val="none" w:sz="0" w:space="0" w:color="auto"/>
            <w:right w:val="none" w:sz="0" w:space="0" w:color="auto"/>
          </w:divBdr>
          <w:divsChild>
            <w:div w:id="16894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71117">
      <w:bodyDiv w:val="1"/>
      <w:marLeft w:val="0"/>
      <w:marRight w:val="0"/>
      <w:marTop w:val="0"/>
      <w:marBottom w:val="0"/>
      <w:divBdr>
        <w:top w:val="none" w:sz="0" w:space="0" w:color="auto"/>
        <w:left w:val="none" w:sz="0" w:space="0" w:color="auto"/>
        <w:bottom w:val="none" w:sz="0" w:space="0" w:color="auto"/>
        <w:right w:val="none" w:sz="0" w:space="0" w:color="auto"/>
      </w:divBdr>
      <w:divsChild>
        <w:div w:id="855190716">
          <w:marLeft w:val="0"/>
          <w:marRight w:val="0"/>
          <w:marTop w:val="0"/>
          <w:marBottom w:val="0"/>
          <w:divBdr>
            <w:top w:val="none" w:sz="0" w:space="0" w:color="auto"/>
            <w:left w:val="none" w:sz="0" w:space="0" w:color="auto"/>
            <w:bottom w:val="none" w:sz="0" w:space="0" w:color="auto"/>
            <w:right w:val="none" w:sz="0" w:space="0" w:color="auto"/>
          </w:divBdr>
          <w:divsChild>
            <w:div w:id="219438118">
              <w:marLeft w:val="0"/>
              <w:marRight w:val="0"/>
              <w:marTop w:val="0"/>
              <w:marBottom w:val="0"/>
              <w:divBdr>
                <w:top w:val="none" w:sz="0" w:space="0" w:color="auto"/>
                <w:left w:val="none" w:sz="0" w:space="0" w:color="auto"/>
                <w:bottom w:val="none" w:sz="0" w:space="0" w:color="auto"/>
                <w:right w:val="none" w:sz="0" w:space="0" w:color="auto"/>
              </w:divBdr>
              <w:divsChild>
                <w:div w:id="463936829">
                  <w:marLeft w:val="0"/>
                  <w:marRight w:val="0"/>
                  <w:marTop w:val="120"/>
                  <w:marBottom w:val="0"/>
                  <w:divBdr>
                    <w:top w:val="none" w:sz="0" w:space="0" w:color="auto"/>
                    <w:left w:val="none" w:sz="0" w:space="0" w:color="auto"/>
                    <w:bottom w:val="none" w:sz="0" w:space="0" w:color="auto"/>
                    <w:right w:val="none" w:sz="0" w:space="0" w:color="auto"/>
                  </w:divBdr>
                </w:div>
                <w:div w:id="1209999326">
                  <w:marLeft w:val="0"/>
                  <w:marRight w:val="0"/>
                  <w:marTop w:val="0"/>
                  <w:marBottom w:val="0"/>
                  <w:divBdr>
                    <w:top w:val="none" w:sz="0" w:space="0" w:color="auto"/>
                    <w:left w:val="none" w:sz="0" w:space="0" w:color="auto"/>
                    <w:bottom w:val="none" w:sz="0" w:space="0" w:color="auto"/>
                    <w:right w:val="none" w:sz="0" w:space="0" w:color="auto"/>
                  </w:divBdr>
                </w:div>
              </w:divsChild>
            </w:div>
            <w:div w:id="250282619">
              <w:marLeft w:val="0"/>
              <w:marRight w:val="0"/>
              <w:marTop w:val="0"/>
              <w:marBottom w:val="0"/>
              <w:divBdr>
                <w:top w:val="none" w:sz="0" w:space="0" w:color="auto"/>
                <w:left w:val="none" w:sz="0" w:space="0" w:color="auto"/>
                <w:bottom w:val="none" w:sz="0" w:space="0" w:color="auto"/>
                <w:right w:val="none" w:sz="0" w:space="0" w:color="auto"/>
              </w:divBdr>
              <w:divsChild>
                <w:div w:id="547491351">
                  <w:marLeft w:val="0"/>
                  <w:marRight w:val="0"/>
                  <w:marTop w:val="0"/>
                  <w:marBottom w:val="0"/>
                  <w:divBdr>
                    <w:top w:val="none" w:sz="0" w:space="0" w:color="auto"/>
                    <w:left w:val="none" w:sz="0" w:space="0" w:color="auto"/>
                    <w:bottom w:val="none" w:sz="0" w:space="0" w:color="auto"/>
                    <w:right w:val="none" w:sz="0" w:space="0" w:color="auto"/>
                  </w:divBdr>
                </w:div>
                <w:div w:id="784617415">
                  <w:marLeft w:val="0"/>
                  <w:marRight w:val="0"/>
                  <w:marTop w:val="120"/>
                  <w:marBottom w:val="0"/>
                  <w:divBdr>
                    <w:top w:val="none" w:sz="0" w:space="0" w:color="auto"/>
                    <w:left w:val="none" w:sz="0" w:space="0" w:color="auto"/>
                    <w:bottom w:val="none" w:sz="0" w:space="0" w:color="auto"/>
                    <w:right w:val="none" w:sz="0" w:space="0" w:color="auto"/>
                  </w:divBdr>
                </w:div>
              </w:divsChild>
            </w:div>
            <w:div w:id="900485984">
              <w:marLeft w:val="0"/>
              <w:marRight w:val="0"/>
              <w:marTop w:val="0"/>
              <w:marBottom w:val="0"/>
              <w:divBdr>
                <w:top w:val="none" w:sz="0" w:space="0" w:color="auto"/>
                <w:left w:val="none" w:sz="0" w:space="0" w:color="auto"/>
                <w:bottom w:val="none" w:sz="0" w:space="0" w:color="auto"/>
                <w:right w:val="none" w:sz="0" w:space="0" w:color="auto"/>
              </w:divBdr>
              <w:divsChild>
                <w:div w:id="299848508">
                  <w:marLeft w:val="0"/>
                  <w:marRight w:val="0"/>
                  <w:marTop w:val="0"/>
                  <w:marBottom w:val="0"/>
                  <w:divBdr>
                    <w:top w:val="none" w:sz="0" w:space="0" w:color="auto"/>
                    <w:left w:val="none" w:sz="0" w:space="0" w:color="auto"/>
                    <w:bottom w:val="none" w:sz="0" w:space="0" w:color="auto"/>
                    <w:right w:val="none" w:sz="0" w:space="0" w:color="auto"/>
                  </w:divBdr>
                </w:div>
                <w:div w:id="596406580">
                  <w:marLeft w:val="0"/>
                  <w:marRight w:val="0"/>
                  <w:marTop w:val="120"/>
                  <w:marBottom w:val="0"/>
                  <w:divBdr>
                    <w:top w:val="none" w:sz="0" w:space="0" w:color="auto"/>
                    <w:left w:val="none" w:sz="0" w:space="0" w:color="auto"/>
                    <w:bottom w:val="none" w:sz="0" w:space="0" w:color="auto"/>
                    <w:right w:val="none" w:sz="0" w:space="0" w:color="auto"/>
                  </w:divBdr>
                </w:div>
              </w:divsChild>
            </w:div>
            <w:div w:id="1824470768">
              <w:marLeft w:val="0"/>
              <w:marRight w:val="0"/>
              <w:marTop w:val="0"/>
              <w:marBottom w:val="0"/>
              <w:divBdr>
                <w:top w:val="none" w:sz="0" w:space="0" w:color="auto"/>
                <w:left w:val="none" w:sz="0" w:space="0" w:color="auto"/>
                <w:bottom w:val="none" w:sz="0" w:space="0" w:color="auto"/>
                <w:right w:val="none" w:sz="0" w:space="0" w:color="auto"/>
              </w:divBdr>
              <w:divsChild>
                <w:div w:id="209414775">
                  <w:marLeft w:val="0"/>
                  <w:marRight w:val="0"/>
                  <w:marTop w:val="0"/>
                  <w:marBottom w:val="0"/>
                  <w:divBdr>
                    <w:top w:val="none" w:sz="0" w:space="0" w:color="auto"/>
                    <w:left w:val="none" w:sz="0" w:space="0" w:color="auto"/>
                    <w:bottom w:val="none" w:sz="0" w:space="0" w:color="auto"/>
                    <w:right w:val="none" w:sz="0" w:space="0" w:color="auto"/>
                  </w:divBdr>
                </w:div>
                <w:div w:id="9375190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94851729">
      <w:bodyDiv w:val="1"/>
      <w:marLeft w:val="0"/>
      <w:marRight w:val="0"/>
      <w:marTop w:val="0"/>
      <w:marBottom w:val="0"/>
      <w:divBdr>
        <w:top w:val="none" w:sz="0" w:space="0" w:color="auto"/>
        <w:left w:val="none" w:sz="0" w:space="0" w:color="auto"/>
        <w:bottom w:val="none" w:sz="0" w:space="0" w:color="auto"/>
        <w:right w:val="none" w:sz="0" w:space="0" w:color="auto"/>
      </w:divBdr>
      <w:divsChild>
        <w:div w:id="1988435091">
          <w:marLeft w:val="0"/>
          <w:marRight w:val="0"/>
          <w:marTop w:val="0"/>
          <w:marBottom w:val="0"/>
          <w:divBdr>
            <w:top w:val="none" w:sz="0" w:space="0" w:color="auto"/>
            <w:left w:val="none" w:sz="0" w:space="0" w:color="auto"/>
            <w:bottom w:val="none" w:sz="0" w:space="0" w:color="auto"/>
            <w:right w:val="none" w:sz="0" w:space="0" w:color="auto"/>
          </w:divBdr>
        </w:div>
      </w:divsChild>
    </w:div>
    <w:div w:id="897976945">
      <w:bodyDiv w:val="1"/>
      <w:marLeft w:val="0"/>
      <w:marRight w:val="0"/>
      <w:marTop w:val="0"/>
      <w:marBottom w:val="0"/>
      <w:divBdr>
        <w:top w:val="none" w:sz="0" w:space="0" w:color="auto"/>
        <w:left w:val="none" w:sz="0" w:space="0" w:color="auto"/>
        <w:bottom w:val="none" w:sz="0" w:space="0" w:color="auto"/>
        <w:right w:val="none" w:sz="0" w:space="0" w:color="auto"/>
      </w:divBdr>
      <w:divsChild>
        <w:div w:id="1831943187">
          <w:marLeft w:val="0"/>
          <w:marRight w:val="0"/>
          <w:marTop w:val="0"/>
          <w:marBottom w:val="0"/>
          <w:divBdr>
            <w:top w:val="none" w:sz="0" w:space="0" w:color="auto"/>
            <w:left w:val="none" w:sz="0" w:space="0" w:color="auto"/>
            <w:bottom w:val="none" w:sz="0" w:space="0" w:color="auto"/>
            <w:right w:val="none" w:sz="0" w:space="0" w:color="auto"/>
          </w:divBdr>
          <w:divsChild>
            <w:div w:id="7848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8641">
      <w:bodyDiv w:val="1"/>
      <w:marLeft w:val="0"/>
      <w:marRight w:val="0"/>
      <w:marTop w:val="0"/>
      <w:marBottom w:val="0"/>
      <w:divBdr>
        <w:top w:val="none" w:sz="0" w:space="0" w:color="auto"/>
        <w:left w:val="none" w:sz="0" w:space="0" w:color="auto"/>
        <w:bottom w:val="none" w:sz="0" w:space="0" w:color="auto"/>
        <w:right w:val="none" w:sz="0" w:space="0" w:color="auto"/>
      </w:divBdr>
      <w:divsChild>
        <w:div w:id="846528914">
          <w:marLeft w:val="0"/>
          <w:marRight w:val="0"/>
          <w:marTop w:val="0"/>
          <w:marBottom w:val="0"/>
          <w:divBdr>
            <w:top w:val="none" w:sz="0" w:space="0" w:color="auto"/>
            <w:left w:val="none" w:sz="0" w:space="0" w:color="auto"/>
            <w:bottom w:val="none" w:sz="0" w:space="0" w:color="auto"/>
            <w:right w:val="none" w:sz="0" w:space="0" w:color="auto"/>
          </w:divBdr>
        </w:div>
      </w:divsChild>
    </w:div>
    <w:div w:id="910819620">
      <w:bodyDiv w:val="1"/>
      <w:marLeft w:val="0"/>
      <w:marRight w:val="0"/>
      <w:marTop w:val="0"/>
      <w:marBottom w:val="0"/>
      <w:divBdr>
        <w:top w:val="none" w:sz="0" w:space="0" w:color="auto"/>
        <w:left w:val="none" w:sz="0" w:space="0" w:color="auto"/>
        <w:bottom w:val="none" w:sz="0" w:space="0" w:color="auto"/>
        <w:right w:val="none" w:sz="0" w:space="0" w:color="auto"/>
      </w:divBdr>
      <w:divsChild>
        <w:div w:id="544368959">
          <w:marLeft w:val="0"/>
          <w:marRight w:val="0"/>
          <w:marTop w:val="0"/>
          <w:marBottom w:val="0"/>
          <w:divBdr>
            <w:top w:val="none" w:sz="0" w:space="0" w:color="auto"/>
            <w:left w:val="none" w:sz="0" w:space="0" w:color="auto"/>
            <w:bottom w:val="none" w:sz="0" w:space="0" w:color="auto"/>
            <w:right w:val="none" w:sz="0" w:space="0" w:color="auto"/>
          </w:divBdr>
          <w:divsChild>
            <w:div w:id="417140124">
              <w:marLeft w:val="0"/>
              <w:marRight w:val="0"/>
              <w:marTop w:val="0"/>
              <w:marBottom w:val="0"/>
              <w:divBdr>
                <w:top w:val="none" w:sz="0" w:space="0" w:color="auto"/>
                <w:left w:val="none" w:sz="0" w:space="0" w:color="auto"/>
                <w:bottom w:val="none" w:sz="0" w:space="0" w:color="auto"/>
                <w:right w:val="none" w:sz="0" w:space="0" w:color="auto"/>
              </w:divBdr>
              <w:divsChild>
                <w:div w:id="114259009">
                  <w:marLeft w:val="0"/>
                  <w:marRight w:val="0"/>
                  <w:marTop w:val="0"/>
                  <w:marBottom w:val="0"/>
                  <w:divBdr>
                    <w:top w:val="none" w:sz="0" w:space="0" w:color="auto"/>
                    <w:left w:val="none" w:sz="0" w:space="0" w:color="auto"/>
                    <w:bottom w:val="none" w:sz="0" w:space="0" w:color="auto"/>
                    <w:right w:val="none" w:sz="0" w:space="0" w:color="auto"/>
                  </w:divBdr>
                  <w:divsChild>
                    <w:div w:id="1247419646">
                      <w:marLeft w:val="0"/>
                      <w:marRight w:val="0"/>
                      <w:marTop w:val="120"/>
                      <w:marBottom w:val="0"/>
                      <w:divBdr>
                        <w:top w:val="none" w:sz="0" w:space="0" w:color="auto"/>
                        <w:left w:val="none" w:sz="0" w:space="0" w:color="auto"/>
                        <w:bottom w:val="none" w:sz="0" w:space="0" w:color="auto"/>
                        <w:right w:val="none" w:sz="0" w:space="0" w:color="auto"/>
                      </w:divBdr>
                    </w:div>
                    <w:div w:id="1362248675">
                      <w:marLeft w:val="0"/>
                      <w:marRight w:val="0"/>
                      <w:marTop w:val="0"/>
                      <w:marBottom w:val="0"/>
                      <w:divBdr>
                        <w:top w:val="none" w:sz="0" w:space="0" w:color="auto"/>
                        <w:left w:val="none" w:sz="0" w:space="0" w:color="auto"/>
                        <w:bottom w:val="none" w:sz="0" w:space="0" w:color="auto"/>
                        <w:right w:val="none" w:sz="0" w:space="0" w:color="auto"/>
                      </w:divBdr>
                    </w:div>
                  </w:divsChild>
                </w:div>
                <w:div w:id="1515925504">
                  <w:marLeft w:val="0"/>
                  <w:marRight w:val="0"/>
                  <w:marTop w:val="0"/>
                  <w:marBottom w:val="0"/>
                  <w:divBdr>
                    <w:top w:val="none" w:sz="0" w:space="0" w:color="auto"/>
                    <w:left w:val="none" w:sz="0" w:space="0" w:color="auto"/>
                    <w:bottom w:val="none" w:sz="0" w:space="0" w:color="auto"/>
                    <w:right w:val="none" w:sz="0" w:space="0" w:color="auto"/>
                  </w:divBdr>
                  <w:divsChild>
                    <w:div w:id="2030058579">
                      <w:marLeft w:val="0"/>
                      <w:marRight w:val="0"/>
                      <w:marTop w:val="0"/>
                      <w:marBottom w:val="0"/>
                      <w:divBdr>
                        <w:top w:val="none" w:sz="0" w:space="0" w:color="auto"/>
                        <w:left w:val="none" w:sz="0" w:space="0" w:color="auto"/>
                        <w:bottom w:val="none" w:sz="0" w:space="0" w:color="auto"/>
                        <w:right w:val="none" w:sz="0" w:space="0" w:color="auto"/>
                      </w:divBdr>
                    </w:div>
                    <w:div w:id="2108573334">
                      <w:marLeft w:val="0"/>
                      <w:marRight w:val="0"/>
                      <w:marTop w:val="120"/>
                      <w:marBottom w:val="0"/>
                      <w:divBdr>
                        <w:top w:val="none" w:sz="0" w:space="0" w:color="auto"/>
                        <w:left w:val="none" w:sz="0" w:space="0" w:color="auto"/>
                        <w:bottom w:val="none" w:sz="0" w:space="0" w:color="auto"/>
                        <w:right w:val="none" w:sz="0" w:space="0" w:color="auto"/>
                      </w:divBdr>
                    </w:div>
                  </w:divsChild>
                </w:div>
                <w:div w:id="1579710635">
                  <w:marLeft w:val="0"/>
                  <w:marRight w:val="0"/>
                  <w:marTop w:val="0"/>
                  <w:marBottom w:val="0"/>
                  <w:divBdr>
                    <w:top w:val="none" w:sz="0" w:space="0" w:color="auto"/>
                    <w:left w:val="none" w:sz="0" w:space="0" w:color="auto"/>
                    <w:bottom w:val="none" w:sz="0" w:space="0" w:color="auto"/>
                    <w:right w:val="none" w:sz="0" w:space="0" w:color="auto"/>
                  </w:divBdr>
                  <w:divsChild>
                    <w:div w:id="224605877">
                      <w:marLeft w:val="0"/>
                      <w:marRight w:val="0"/>
                      <w:marTop w:val="0"/>
                      <w:marBottom w:val="0"/>
                      <w:divBdr>
                        <w:top w:val="none" w:sz="0" w:space="0" w:color="auto"/>
                        <w:left w:val="none" w:sz="0" w:space="0" w:color="auto"/>
                        <w:bottom w:val="none" w:sz="0" w:space="0" w:color="auto"/>
                        <w:right w:val="none" w:sz="0" w:space="0" w:color="auto"/>
                      </w:divBdr>
                    </w:div>
                    <w:div w:id="1264145247">
                      <w:marLeft w:val="0"/>
                      <w:marRight w:val="0"/>
                      <w:marTop w:val="120"/>
                      <w:marBottom w:val="0"/>
                      <w:divBdr>
                        <w:top w:val="none" w:sz="0" w:space="0" w:color="auto"/>
                        <w:left w:val="none" w:sz="0" w:space="0" w:color="auto"/>
                        <w:bottom w:val="none" w:sz="0" w:space="0" w:color="auto"/>
                        <w:right w:val="none" w:sz="0" w:space="0" w:color="auto"/>
                      </w:divBdr>
                    </w:div>
                  </w:divsChild>
                </w:div>
                <w:div w:id="1743016657">
                  <w:marLeft w:val="0"/>
                  <w:marRight w:val="0"/>
                  <w:marTop w:val="0"/>
                  <w:marBottom w:val="0"/>
                  <w:divBdr>
                    <w:top w:val="none" w:sz="0" w:space="0" w:color="auto"/>
                    <w:left w:val="none" w:sz="0" w:space="0" w:color="auto"/>
                    <w:bottom w:val="none" w:sz="0" w:space="0" w:color="auto"/>
                    <w:right w:val="none" w:sz="0" w:space="0" w:color="auto"/>
                  </w:divBdr>
                  <w:divsChild>
                    <w:div w:id="863714187">
                      <w:marLeft w:val="0"/>
                      <w:marRight w:val="0"/>
                      <w:marTop w:val="0"/>
                      <w:marBottom w:val="0"/>
                      <w:divBdr>
                        <w:top w:val="none" w:sz="0" w:space="0" w:color="auto"/>
                        <w:left w:val="none" w:sz="0" w:space="0" w:color="auto"/>
                        <w:bottom w:val="none" w:sz="0" w:space="0" w:color="auto"/>
                        <w:right w:val="none" w:sz="0" w:space="0" w:color="auto"/>
                      </w:divBdr>
                    </w:div>
                    <w:div w:id="1825124133">
                      <w:marLeft w:val="0"/>
                      <w:marRight w:val="0"/>
                      <w:marTop w:val="120"/>
                      <w:marBottom w:val="0"/>
                      <w:divBdr>
                        <w:top w:val="none" w:sz="0" w:space="0" w:color="auto"/>
                        <w:left w:val="none" w:sz="0" w:space="0" w:color="auto"/>
                        <w:bottom w:val="none" w:sz="0" w:space="0" w:color="auto"/>
                        <w:right w:val="none" w:sz="0" w:space="0" w:color="auto"/>
                      </w:divBdr>
                    </w:div>
                  </w:divsChild>
                </w:div>
                <w:div w:id="1903523207">
                  <w:marLeft w:val="0"/>
                  <w:marRight w:val="0"/>
                  <w:marTop w:val="0"/>
                  <w:marBottom w:val="0"/>
                  <w:divBdr>
                    <w:top w:val="none" w:sz="0" w:space="0" w:color="auto"/>
                    <w:left w:val="none" w:sz="0" w:space="0" w:color="auto"/>
                    <w:bottom w:val="none" w:sz="0" w:space="0" w:color="auto"/>
                    <w:right w:val="none" w:sz="0" w:space="0" w:color="auto"/>
                  </w:divBdr>
                  <w:divsChild>
                    <w:div w:id="704401830">
                      <w:marLeft w:val="0"/>
                      <w:marRight w:val="0"/>
                      <w:marTop w:val="0"/>
                      <w:marBottom w:val="0"/>
                      <w:divBdr>
                        <w:top w:val="none" w:sz="0" w:space="0" w:color="auto"/>
                        <w:left w:val="none" w:sz="0" w:space="0" w:color="auto"/>
                        <w:bottom w:val="none" w:sz="0" w:space="0" w:color="auto"/>
                        <w:right w:val="none" w:sz="0" w:space="0" w:color="auto"/>
                      </w:divBdr>
                    </w:div>
                    <w:div w:id="16726762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12741264">
      <w:bodyDiv w:val="1"/>
      <w:marLeft w:val="0"/>
      <w:marRight w:val="0"/>
      <w:marTop w:val="0"/>
      <w:marBottom w:val="0"/>
      <w:divBdr>
        <w:top w:val="none" w:sz="0" w:space="0" w:color="auto"/>
        <w:left w:val="none" w:sz="0" w:space="0" w:color="auto"/>
        <w:bottom w:val="none" w:sz="0" w:space="0" w:color="auto"/>
        <w:right w:val="none" w:sz="0" w:space="0" w:color="auto"/>
      </w:divBdr>
      <w:divsChild>
        <w:div w:id="1500653699">
          <w:marLeft w:val="0"/>
          <w:marRight w:val="0"/>
          <w:marTop w:val="0"/>
          <w:marBottom w:val="0"/>
          <w:divBdr>
            <w:top w:val="none" w:sz="0" w:space="0" w:color="auto"/>
            <w:left w:val="none" w:sz="0" w:space="0" w:color="auto"/>
            <w:bottom w:val="none" w:sz="0" w:space="0" w:color="auto"/>
            <w:right w:val="none" w:sz="0" w:space="0" w:color="auto"/>
          </w:divBdr>
        </w:div>
      </w:divsChild>
    </w:div>
    <w:div w:id="918948578">
      <w:bodyDiv w:val="1"/>
      <w:marLeft w:val="0"/>
      <w:marRight w:val="0"/>
      <w:marTop w:val="0"/>
      <w:marBottom w:val="0"/>
      <w:divBdr>
        <w:top w:val="none" w:sz="0" w:space="0" w:color="auto"/>
        <w:left w:val="none" w:sz="0" w:space="0" w:color="auto"/>
        <w:bottom w:val="none" w:sz="0" w:space="0" w:color="auto"/>
        <w:right w:val="none" w:sz="0" w:space="0" w:color="auto"/>
      </w:divBdr>
      <w:divsChild>
        <w:div w:id="782840864">
          <w:marLeft w:val="0"/>
          <w:marRight w:val="0"/>
          <w:marTop w:val="0"/>
          <w:marBottom w:val="0"/>
          <w:divBdr>
            <w:top w:val="none" w:sz="0" w:space="0" w:color="auto"/>
            <w:left w:val="none" w:sz="0" w:space="0" w:color="auto"/>
            <w:bottom w:val="none" w:sz="0" w:space="0" w:color="auto"/>
            <w:right w:val="none" w:sz="0" w:space="0" w:color="auto"/>
          </w:divBdr>
          <w:divsChild>
            <w:div w:id="1795557381">
              <w:marLeft w:val="0"/>
              <w:marRight w:val="0"/>
              <w:marTop w:val="0"/>
              <w:marBottom w:val="0"/>
              <w:divBdr>
                <w:top w:val="none" w:sz="0" w:space="0" w:color="auto"/>
                <w:left w:val="none" w:sz="0" w:space="0" w:color="auto"/>
                <w:bottom w:val="none" w:sz="0" w:space="0" w:color="auto"/>
                <w:right w:val="none" w:sz="0" w:space="0" w:color="auto"/>
              </w:divBdr>
              <w:divsChild>
                <w:div w:id="228000115">
                  <w:marLeft w:val="0"/>
                  <w:marRight w:val="0"/>
                  <w:marTop w:val="0"/>
                  <w:marBottom w:val="0"/>
                  <w:divBdr>
                    <w:top w:val="none" w:sz="0" w:space="0" w:color="auto"/>
                    <w:left w:val="none" w:sz="0" w:space="0" w:color="auto"/>
                    <w:bottom w:val="none" w:sz="0" w:space="0" w:color="auto"/>
                    <w:right w:val="none" w:sz="0" w:space="0" w:color="auto"/>
                  </w:divBdr>
                  <w:divsChild>
                    <w:div w:id="1121533386">
                      <w:marLeft w:val="0"/>
                      <w:marRight w:val="0"/>
                      <w:marTop w:val="0"/>
                      <w:marBottom w:val="0"/>
                      <w:divBdr>
                        <w:top w:val="none" w:sz="0" w:space="0" w:color="auto"/>
                        <w:left w:val="none" w:sz="0" w:space="0" w:color="auto"/>
                        <w:bottom w:val="none" w:sz="0" w:space="0" w:color="auto"/>
                        <w:right w:val="none" w:sz="0" w:space="0" w:color="auto"/>
                      </w:divBdr>
                      <w:divsChild>
                        <w:div w:id="131216946">
                          <w:marLeft w:val="0"/>
                          <w:marRight w:val="0"/>
                          <w:marTop w:val="0"/>
                          <w:marBottom w:val="0"/>
                          <w:divBdr>
                            <w:top w:val="none" w:sz="0" w:space="0" w:color="auto"/>
                            <w:left w:val="none" w:sz="0" w:space="0" w:color="auto"/>
                            <w:bottom w:val="none" w:sz="0" w:space="0" w:color="auto"/>
                            <w:right w:val="none" w:sz="0" w:space="0" w:color="auto"/>
                          </w:divBdr>
                          <w:divsChild>
                            <w:div w:id="118651666">
                              <w:marLeft w:val="0"/>
                              <w:marRight w:val="0"/>
                              <w:marTop w:val="0"/>
                              <w:marBottom w:val="0"/>
                              <w:divBdr>
                                <w:top w:val="none" w:sz="0" w:space="0" w:color="auto"/>
                                <w:left w:val="none" w:sz="0" w:space="0" w:color="auto"/>
                                <w:bottom w:val="none" w:sz="0" w:space="0" w:color="auto"/>
                                <w:right w:val="none" w:sz="0" w:space="0" w:color="auto"/>
                              </w:divBdr>
                            </w:div>
                            <w:div w:id="919949578">
                              <w:marLeft w:val="0"/>
                              <w:marRight w:val="0"/>
                              <w:marTop w:val="120"/>
                              <w:marBottom w:val="0"/>
                              <w:divBdr>
                                <w:top w:val="none" w:sz="0" w:space="0" w:color="auto"/>
                                <w:left w:val="none" w:sz="0" w:space="0" w:color="auto"/>
                                <w:bottom w:val="none" w:sz="0" w:space="0" w:color="auto"/>
                                <w:right w:val="none" w:sz="0" w:space="0" w:color="auto"/>
                              </w:divBdr>
                            </w:div>
                          </w:divsChild>
                        </w:div>
                        <w:div w:id="1793328126">
                          <w:marLeft w:val="0"/>
                          <w:marRight w:val="0"/>
                          <w:marTop w:val="0"/>
                          <w:marBottom w:val="0"/>
                          <w:divBdr>
                            <w:top w:val="none" w:sz="0" w:space="0" w:color="auto"/>
                            <w:left w:val="none" w:sz="0" w:space="0" w:color="auto"/>
                            <w:bottom w:val="none" w:sz="0" w:space="0" w:color="auto"/>
                            <w:right w:val="none" w:sz="0" w:space="0" w:color="auto"/>
                          </w:divBdr>
                          <w:divsChild>
                            <w:div w:id="1183667836">
                              <w:marLeft w:val="0"/>
                              <w:marRight w:val="0"/>
                              <w:marTop w:val="0"/>
                              <w:marBottom w:val="0"/>
                              <w:divBdr>
                                <w:top w:val="none" w:sz="0" w:space="0" w:color="auto"/>
                                <w:left w:val="none" w:sz="0" w:space="0" w:color="auto"/>
                                <w:bottom w:val="none" w:sz="0" w:space="0" w:color="auto"/>
                                <w:right w:val="none" w:sz="0" w:space="0" w:color="auto"/>
                              </w:divBdr>
                            </w:div>
                            <w:div w:id="15773938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5026305">
                      <w:marLeft w:val="0"/>
                      <w:marRight w:val="0"/>
                      <w:marTop w:val="120"/>
                      <w:marBottom w:val="0"/>
                      <w:divBdr>
                        <w:top w:val="none" w:sz="0" w:space="0" w:color="auto"/>
                        <w:left w:val="none" w:sz="0" w:space="0" w:color="auto"/>
                        <w:bottom w:val="none" w:sz="0" w:space="0" w:color="auto"/>
                        <w:right w:val="none" w:sz="0" w:space="0" w:color="auto"/>
                      </w:divBdr>
                    </w:div>
                  </w:divsChild>
                </w:div>
                <w:div w:id="398788561">
                  <w:marLeft w:val="0"/>
                  <w:marRight w:val="0"/>
                  <w:marTop w:val="0"/>
                  <w:marBottom w:val="0"/>
                  <w:divBdr>
                    <w:top w:val="none" w:sz="0" w:space="0" w:color="auto"/>
                    <w:left w:val="none" w:sz="0" w:space="0" w:color="auto"/>
                    <w:bottom w:val="none" w:sz="0" w:space="0" w:color="auto"/>
                    <w:right w:val="none" w:sz="0" w:space="0" w:color="auto"/>
                  </w:divBdr>
                  <w:divsChild>
                    <w:div w:id="826090365">
                      <w:marLeft w:val="0"/>
                      <w:marRight w:val="0"/>
                      <w:marTop w:val="0"/>
                      <w:marBottom w:val="0"/>
                      <w:divBdr>
                        <w:top w:val="none" w:sz="0" w:space="0" w:color="auto"/>
                        <w:left w:val="none" w:sz="0" w:space="0" w:color="auto"/>
                        <w:bottom w:val="none" w:sz="0" w:space="0" w:color="auto"/>
                        <w:right w:val="none" w:sz="0" w:space="0" w:color="auto"/>
                      </w:divBdr>
                    </w:div>
                    <w:div w:id="2138375476">
                      <w:marLeft w:val="0"/>
                      <w:marRight w:val="0"/>
                      <w:marTop w:val="120"/>
                      <w:marBottom w:val="0"/>
                      <w:divBdr>
                        <w:top w:val="none" w:sz="0" w:space="0" w:color="auto"/>
                        <w:left w:val="none" w:sz="0" w:space="0" w:color="auto"/>
                        <w:bottom w:val="none" w:sz="0" w:space="0" w:color="auto"/>
                        <w:right w:val="none" w:sz="0" w:space="0" w:color="auto"/>
                      </w:divBdr>
                    </w:div>
                  </w:divsChild>
                </w:div>
                <w:div w:id="855118955">
                  <w:marLeft w:val="0"/>
                  <w:marRight w:val="0"/>
                  <w:marTop w:val="0"/>
                  <w:marBottom w:val="0"/>
                  <w:divBdr>
                    <w:top w:val="none" w:sz="0" w:space="0" w:color="auto"/>
                    <w:left w:val="none" w:sz="0" w:space="0" w:color="auto"/>
                    <w:bottom w:val="none" w:sz="0" w:space="0" w:color="auto"/>
                    <w:right w:val="none" w:sz="0" w:space="0" w:color="auto"/>
                  </w:divBdr>
                  <w:divsChild>
                    <w:div w:id="145825806">
                      <w:marLeft w:val="0"/>
                      <w:marRight w:val="0"/>
                      <w:marTop w:val="120"/>
                      <w:marBottom w:val="0"/>
                      <w:divBdr>
                        <w:top w:val="none" w:sz="0" w:space="0" w:color="auto"/>
                        <w:left w:val="none" w:sz="0" w:space="0" w:color="auto"/>
                        <w:bottom w:val="none" w:sz="0" w:space="0" w:color="auto"/>
                        <w:right w:val="none" w:sz="0" w:space="0" w:color="auto"/>
                      </w:divBdr>
                    </w:div>
                    <w:div w:id="1477338067">
                      <w:marLeft w:val="0"/>
                      <w:marRight w:val="0"/>
                      <w:marTop w:val="0"/>
                      <w:marBottom w:val="0"/>
                      <w:divBdr>
                        <w:top w:val="none" w:sz="0" w:space="0" w:color="auto"/>
                        <w:left w:val="none" w:sz="0" w:space="0" w:color="auto"/>
                        <w:bottom w:val="none" w:sz="0" w:space="0" w:color="auto"/>
                        <w:right w:val="none" w:sz="0" w:space="0" w:color="auto"/>
                      </w:divBdr>
                    </w:div>
                  </w:divsChild>
                </w:div>
                <w:div w:id="1096512670">
                  <w:marLeft w:val="0"/>
                  <w:marRight w:val="0"/>
                  <w:marTop w:val="0"/>
                  <w:marBottom w:val="0"/>
                  <w:divBdr>
                    <w:top w:val="none" w:sz="0" w:space="0" w:color="auto"/>
                    <w:left w:val="none" w:sz="0" w:space="0" w:color="auto"/>
                    <w:bottom w:val="none" w:sz="0" w:space="0" w:color="auto"/>
                    <w:right w:val="none" w:sz="0" w:space="0" w:color="auto"/>
                  </w:divBdr>
                  <w:divsChild>
                    <w:div w:id="1572042093">
                      <w:marLeft w:val="0"/>
                      <w:marRight w:val="0"/>
                      <w:marTop w:val="120"/>
                      <w:marBottom w:val="0"/>
                      <w:divBdr>
                        <w:top w:val="none" w:sz="0" w:space="0" w:color="auto"/>
                        <w:left w:val="none" w:sz="0" w:space="0" w:color="auto"/>
                        <w:bottom w:val="none" w:sz="0" w:space="0" w:color="auto"/>
                        <w:right w:val="none" w:sz="0" w:space="0" w:color="auto"/>
                      </w:divBdr>
                    </w:div>
                    <w:div w:id="2139949689">
                      <w:marLeft w:val="0"/>
                      <w:marRight w:val="0"/>
                      <w:marTop w:val="0"/>
                      <w:marBottom w:val="0"/>
                      <w:divBdr>
                        <w:top w:val="none" w:sz="0" w:space="0" w:color="auto"/>
                        <w:left w:val="none" w:sz="0" w:space="0" w:color="auto"/>
                        <w:bottom w:val="none" w:sz="0" w:space="0" w:color="auto"/>
                        <w:right w:val="none" w:sz="0" w:space="0" w:color="auto"/>
                      </w:divBdr>
                    </w:div>
                  </w:divsChild>
                </w:div>
                <w:div w:id="1460152246">
                  <w:marLeft w:val="0"/>
                  <w:marRight w:val="0"/>
                  <w:marTop w:val="0"/>
                  <w:marBottom w:val="0"/>
                  <w:divBdr>
                    <w:top w:val="none" w:sz="0" w:space="0" w:color="auto"/>
                    <w:left w:val="none" w:sz="0" w:space="0" w:color="auto"/>
                    <w:bottom w:val="none" w:sz="0" w:space="0" w:color="auto"/>
                    <w:right w:val="none" w:sz="0" w:space="0" w:color="auto"/>
                  </w:divBdr>
                  <w:divsChild>
                    <w:div w:id="524944121">
                      <w:marLeft w:val="0"/>
                      <w:marRight w:val="0"/>
                      <w:marTop w:val="120"/>
                      <w:marBottom w:val="0"/>
                      <w:divBdr>
                        <w:top w:val="none" w:sz="0" w:space="0" w:color="auto"/>
                        <w:left w:val="none" w:sz="0" w:space="0" w:color="auto"/>
                        <w:bottom w:val="none" w:sz="0" w:space="0" w:color="auto"/>
                        <w:right w:val="none" w:sz="0" w:space="0" w:color="auto"/>
                      </w:divBdr>
                    </w:div>
                    <w:div w:id="5582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24440">
      <w:bodyDiv w:val="1"/>
      <w:marLeft w:val="0"/>
      <w:marRight w:val="0"/>
      <w:marTop w:val="0"/>
      <w:marBottom w:val="0"/>
      <w:divBdr>
        <w:top w:val="none" w:sz="0" w:space="0" w:color="auto"/>
        <w:left w:val="none" w:sz="0" w:space="0" w:color="auto"/>
        <w:bottom w:val="none" w:sz="0" w:space="0" w:color="auto"/>
        <w:right w:val="none" w:sz="0" w:space="0" w:color="auto"/>
      </w:divBdr>
    </w:div>
    <w:div w:id="922690849">
      <w:bodyDiv w:val="1"/>
      <w:marLeft w:val="0"/>
      <w:marRight w:val="0"/>
      <w:marTop w:val="0"/>
      <w:marBottom w:val="0"/>
      <w:divBdr>
        <w:top w:val="none" w:sz="0" w:space="0" w:color="auto"/>
        <w:left w:val="none" w:sz="0" w:space="0" w:color="auto"/>
        <w:bottom w:val="none" w:sz="0" w:space="0" w:color="auto"/>
        <w:right w:val="none" w:sz="0" w:space="0" w:color="auto"/>
      </w:divBdr>
      <w:divsChild>
        <w:div w:id="774593711">
          <w:marLeft w:val="0"/>
          <w:marRight w:val="0"/>
          <w:marTop w:val="0"/>
          <w:marBottom w:val="0"/>
          <w:divBdr>
            <w:top w:val="none" w:sz="0" w:space="0" w:color="auto"/>
            <w:left w:val="none" w:sz="0" w:space="0" w:color="auto"/>
            <w:bottom w:val="none" w:sz="0" w:space="0" w:color="auto"/>
            <w:right w:val="none" w:sz="0" w:space="0" w:color="auto"/>
          </w:divBdr>
          <w:divsChild>
            <w:div w:id="1467816065">
              <w:marLeft w:val="0"/>
              <w:marRight w:val="0"/>
              <w:marTop w:val="0"/>
              <w:marBottom w:val="0"/>
              <w:divBdr>
                <w:top w:val="none" w:sz="0" w:space="0" w:color="auto"/>
                <w:left w:val="none" w:sz="0" w:space="0" w:color="auto"/>
                <w:bottom w:val="none" w:sz="0" w:space="0" w:color="auto"/>
                <w:right w:val="none" w:sz="0" w:space="0" w:color="auto"/>
              </w:divBdr>
            </w:div>
          </w:divsChild>
        </w:div>
        <w:div w:id="1250820212">
          <w:marLeft w:val="0"/>
          <w:marRight w:val="0"/>
          <w:marTop w:val="0"/>
          <w:marBottom w:val="0"/>
          <w:divBdr>
            <w:top w:val="none" w:sz="0" w:space="0" w:color="auto"/>
            <w:left w:val="none" w:sz="0" w:space="0" w:color="auto"/>
            <w:bottom w:val="none" w:sz="0" w:space="0" w:color="auto"/>
            <w:right w:val="none" w:sz="0" w:space="0" w:color="auto"/>
          </w:divBdr>
        </w:div>
      </w:divsChild>
    </w:div>
    <w:div w:id="925192958">
      <w:bodyDiv w:val="1"/>
      <w:marLeft w:val="0"/>
      <w:marRight w:val="0"/>
      <w:marTop w:val="0"/>
      <w:marBottom w:val="0"/>
      <w:divBdr>
        <w:top w:val="none" w:sz="0" w:space="0" w:color="auto"/>
        <w:left w:val="none" w:sz="0" w:space="0" w:color="auto"/>
        <w:bottom w:val="none" w:sz="0" w:space="0" w:color="auto"/>
        <w:right w:val="none" w:sz="0" w:space="0" w:color="auto"/>
      </w:divBdr>
      <w:divsChild>
        <w:div w:id="54352501">
          <w:marLeft w:val="0"/>
          <w:marRight w:val="0"/>
          <w:marTop w:val="0"/>
          <w:marBottom w:val="0"/>
          <w:divBdr>
            <w:top w:val="none" w:sz="0" w:space="0" w:color="auto"/>
            <w:left w:val="none" w:sz="0" w:space="0" w:color="auto"/>
            <w:bottom w:val="none" w:sz="0" w:space="0" w:color="auto"/>
            <w:right w:val="none" w:sz="0" w:space="0" w:color="auto"/>
          </w:divBdr>
          <w:divsChild>
            <w:div w:id="1815950353">
              <w:marLeft w:val="0"/>
              <w:marRight w:val="0"/>
              <w:marTop w:val="0"/>
              <w:marBottom w:val="0"/>
              <w:divBdr>
                <w:top w:val="none" w:sz="0" w:space="0" w:color="auto"/>
                <w:left w:val="none" w:sz="0" w:space="0" w:color="auto"/>
                <w:bottom w:val="none" w:sz="0" w:space="0" w:color="auto"/>
                <w:right w:val="none" w:sz="0" w:space="0" w:color="auto"/>
              </w:divBdr>
            </w:div>
          </w:divsChild>
        </w:div>
        <w:div w:id="762532510">
          <w:marLeft w:val="0"/>
          <w:marRight w:val="0"/>
          <w:marTop w:val="0"/>
          <w:marBottom w:val="0"/>
          <w:divBdr>
            <w:top w:val="none" w:sz="0" w:space="0" w:color="auto"/>
            <w:left w:val="none" w:sz="0" w:space="0" w:color="auto"/>
            <w:bottom w:val="none" w:sz="0" w:space="0" w:color="auto"/>
            <w:right w:val="none" w:sz="0" w:space="0" w:color="auto"/>
          </w:divBdr>
          <w:divsChild>
            <w:div w:id="2009863344">
              <w:marLeft w:val="0"/>
              <w:marRight w:val="0"/>
              <w:marTop w:val="0"/>
              <w:marBottom w:val="0"/>
              <w:divBdr>
                <w:top w:val="none" w:sz="0" w:space="0" w:color="auto"/>
                <w:left w:val="none" w:sz="0" w:space="0" w:color="auto"/>
                <w:bottom w:val="none" w:sz="0" w:space="0" w:color="auto"/>
                <w:right w:val="none" w:sz="0" w:space="0" w:color="auto"/>
              </w:divBdr>
            </w:div>
          </w:divsChild>
        </w:div>
        <w:div w:id="900752275">
          <w:marLeft w:val="0"/>
          <w:marRight w:val="0"/>
          <w:marTop w:val="0"/>
          <w:marBottom w:val="0"/>
          <w:divBdr>
            <w:top w:val="none" w:sz="0" w:space="0" w:color="auto"/>
            <w:left w:val="none" w:sz="0" w:space="0" w:color="auto"/>
            <w:bottom w:val="none" w:sz="0" w:space="0" w:color="auto"/>
            <w:right w:val="none" w:sz="0" w:space="0" w:color="auto"/>
          </w:divBdr>
          <w:divsChild>
            <w:div w:id="416053101">
              <w:marLeft w:val="0"/>
              <w:marRight w:val="0"/>
              <w:marTop w:val="0"/>
              <w:marBottom w:val="0"/>
              <w:divBdr>
                <w:top w:val="none" w:sz="0" w:space="0" w:color="auto"/>
                <w:left w:val="none" w:sz="0" w:space="0" w:color="auto"/>
                <w:bottom w:val="none" w:sz="0" w:space="0" w:color="auto"/>
                <w:right w:val="none" w:sz="0" w:space="0" w:color="auto"/>
              </w:divBdr>
            </w:div>
          </w:divsChild>
        </w:div>
        <w:div w:id="1115828680">
          <w:marLeft w:val="0"/>
          <w:marRight w:val="0"/>
          <w:marTop w:val="0"/>
          <w:marBottom w:val="0"/>
          <w:divBdr>
            <w:top w:val="none" w:sz="0" w:space="0" w:color="auto"/>
            <w:left w:val="none" w:sz="0" w:space="0" w:color="auto"/>
            <w:bottom w:val="none" w:sz="0" w:space="0" w:color="auto"/>
            <w:right w:val="none" w:sz="0" w:space="0" w:color="auto"/>
          </w:divBdr>
          <w:divsChild>
            <w:div w:id="297608456">
              <w:marLeft w:val="0"/>
              <w:marRight w:val="0"/>
              <w:marTop w:val="0"/>
              <w:marBottom w:val="0"/>
              <w:divBdr>
                <w:top w:val="none" w:sz="0" w:space="0" w:color="auto"/>
                <w:left w:val="none" w:sz="0" w:space="0" w:color="auto"/>
                <w:bottom w:val="none" w:sz="0" w:space="0" w:color="auto"/>
                <w:right w:val="none" w:sz="0" w:space="0" w:color="auto"/>
              </w:divBdr>
              <w:divsChild>
                <w:div w:id="103307854">
                  <w:marLeft w:val="0"/>
                  <w:marRight w:val="0"/>
                  <w:marTop w:val="0"/>
                  <w:marBottom w:val="0"/>
                  <w:divBdr>
                    <w:top w:val="none" w:sz="0" w:space="0" w:color="auto"/>
                    <w:left w:val="none" w:sz="0" w:space="0" w:color="auto"/>
                    <w:bottom w:val="none" w:sz="0" w:space="0" w:color="auto"/>
                    <w:right w:val="none" w:sz="0" w:space="0" w:color="auto"/>
                  </w:divBdr>
                  <w:divsChild>
                    <w:div w:id="159321017">
                      <w:marLeft w:val="0"/>
                      <w:marRight w:val="0"/>
                      <w:marTop w:val="120"/>
                      <w:marBottom w:val="0"/>
                      <w:divBdr>
                        <w:top w:val="none" w:sz="0" w:space="0" w:color="auto"/>
                        <w:left w:val="none" w:sz="0" w:space="0" w:color="auto"/>
                        <w:bottom w:val="none" w:sz="0" w:space="0" w:color="auto"/>
                        <w:right w:val="none" w:sz="0" w:space="0" w:color="auto"/>
                      </w:divBdr>
                    </w:div>
                    <w:div w:id="1232929705">
                      <w:marLeft w:val="0"/>
                      <w:marRight w:val="0"/>
                      <w:marTop w:val="0"/>
                      <w:marBottom w:val="0"/>
                      <w:divBdr>
                        <w:top w:val="none" w:sz="0" w:space="0" w:color="auto"/>
                        <w:left w:val="none" w:sz="0" w:space="0" w:color="auto"/>
                        <w:bottom w:val="none" w:sz="0" w:space="0" w:color="auto"/>
                        <w:right w:val="none" w:sz="0" w:space="0" w:color="auto"/>
                      </w:divBdr>
                    </w:div>
                  </w:divsChild>
                </w:div>
                <w:div w:id="798915189">
                  <w:marLeft w:val="0"/>
                  <w:marRight w:val="0"/>
                  <w:marTop w:val="0"/>
                  <w:marBottom w:val="0"/>
                  <w:divBdr>
                    <w:top w:val="none" w:sz="0" w:space="0" w:color="auto"/>
                    <w:left w:val="none" w:sz="0" w:space="0" w:color="auto"/>
                    <w:bottom w:val="none" w:sz="0" w:space="0" w:color="auto"/>
                    <w:right w:val="none" w:sz="0" w:space="0" w:color="auto"/>
                  </w:divBdr>
                  <w:divsChild>
                    <w:div w:id="346834980">
                      <w:marLeft w:val="0"/>
                      <w:marRight w:val="0"/>
                      <w:marTop w:val="0"/>
                      <w:marBottom w:val="0"/>
                      <w:divBdr>
                        <w:top w:val="none" w:sz="0" w:space="0" w:color="auto"/>
                        <w:left w:val="none" w:sz="0" w:space="0" w:color="auto"/>
                        <w:bottom w:val="none" w:sz="0" w:space="0" w:color="auto"/>
                        <w:right w:val="none" w:sz="0" w:space="0" w:color="auto"/>
                      </w:divBdr>
                    </w:div>
                    <w:div w:id="20324093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75793832">
          <w:marLeft w:val="0"/>
          <w:marRight w:val="0"/>
          <w:marTop w:val="0"/>
          <w:marBottom w:val="0"/>
          <w:divBdr>
            <w:top w:val="none" w:sz="0" w:space="0" w:color="auto"/>
            <w:left w:val="none" w:sz="0" w:space="0" w:color="auto"/>
            <w:bottom w:val="none" w:sz="0" w:space="0" w:color="auto"/>
            <w:right w:val="none" w:sz="0" w:space="0" w:color="auto"/>
          </w:divBdr>
          <w:divsChild>
            <w:div w:id="1474642517">
              <w:marLeft w:val="0"/>
              <w:marRight w:val="0"/>
              <w:marTop w:val="0"/>
              <w:marBottom w:val="0"/>
              <w:divBdr>
                <w:top w:val="none" w:sz="0" w:space="0" w:color="auto"/>
                <w:left w:val="none" w:sz="0" w:space="0" w:color="auto"/>
                <w:bottom w:val="none" w:sz="0" w:space="0" w:color="auto"/>
                <w:right w:val="none" w:sz="0" w:space="0" w:color="auto"/>
              </w:divBdr>
            </w:div>
          </w:divsChild>
        </w:div>
        <w:div w:id="1829902909">
          <w:marLeft w:val="0"/>
          <w:marRight w:val="0"/>
          <w:marTop w:val="0"/>
          <w:marBottom w:val="0"/>
          <w:divBdr>
            <w:top w:val="none" w:sz="0" w:space="0" w:color="auto"/>
            <w:left w:val="none" w:sz="0" w:space="0" w:color="auto"/>
            <w:bottom w:val="none" w:sz="0" w:space="0" w:color="auto"/>
            <w:right w:val="none" w:sz="0" w:space="0" w:color="auto"/>
          </w:divBdr>
          <w:divsChild>
            <w:div w:id="2086682247">
              <w:marLeft w:val="0"/>
              <w:marRight w:val="0"/>
              <w:marTop w:val="0"/>
              <w:marBottom w:val="0"/>
              <w:divBdr>
                <w:top w:val="none" w:sz="0" w:space="0" w:color="auto"/>
                <w:left w:val="none" w:sz="0" w:space="0" w:color="auto"/>
                <w:bottom w:val="none" w:sz="0" w:space="0" w:color="auto"/>
                <w:right w:val="none" w:sz="0" w:space="0" w:color="auto"/>
              </w:divBdr>
              <w:divsChild>
                <w:div w:id="9531398">
                  <w:marLeft w:val="0"/>
                  <w:marRight w:val="0"/>
                  <w:marTop w:val="0"/>
                  <w:marBottom w:val="0"/>
                  <w:divBdr>
                    <w:top w:val="none" w:sz="0" w:space="0" w:color="auto"/>
                    <w:left w:val="none" w:sz="0" w:space="0" w:color="auto"/>
                    <w:bottom w:val="none" w:sz="0" w:space="0" w:color="auto"/>
                    <w:right w:val="none" w:sz="0" w:space="0" w:color="auto"/>
                  </w:divBdr>
                  <w:divsChild>
                    <w:div w:id="1378897671">
                      <w:marLeft w:val="0"/>
                      <w:marRight w:val="0"/>
                      <w:marTop w:val="120"/>
                      <w:marBottom w:val="0"/>
                      <w:divBdr>
                        <w:top w:val="none" w:sz="0" w:space="0" w:color="auto"/>
                        <w:left w:val="none" w:sz="0" w:space="0" w:color="auto"/>
                        <w:bottom w:val="none" w:sz="0" w:space="0" w:color="auto"/>
                        <w:right w:val="none" w:sz="0" w:space="0" w:color="auto"/>
                      </w:divBdr>
                    </w:div>
                    <w:div w:id="1690914858">
                      <w:marLeft w:val="0"/>
                      <w:marRight w:val="0"/>
                      <w:marTop w:val="0"/>
                      <w:marBottom w:val="0"/>
                      <w:divBdr>
                        <w:top w:val="none" w:sz="0" w:space="0" w:color="auto"/>
                        <w:left w:val="none" w:sz="0" w:space="0" w:color="auto"/>
                        <w:bottom w:val="none" w:sz="0" w:space="0" w:color="auto"/>
                        <w:right w:val="none" w:sz="0" w:space="0" w:color="auto"/>
                      </w:divBdr>
                    </w:div>
                  </w:divsChild>
                </w:div>
                <w:div w:id="276838629">
                  <w:marLeft w:val="0"/>
                  <w:marRight w:val="0"/>
                  <w:marTop w:val="0"/>
                  <w:marBottom w:val="0"/>
                  <w:divBdr>
                    <w:top w:val="none" w:sz="0" w:space="0" w:color="auto"/>
                    <w:left w:val="none" w:sz="0" w:space="0" w:color="auto"/>
                    <w:bottom w:val="none" w:sz="0" w:space="0" w:color="auto"/>
                    <w:right w:val="none" w:sz="0" w:space="0" w:color="auto"/>
                  </w:divBdr>
                  <w:divsChild>
                    <w:div w:id="1809978527">
                      <w:marLeft w:val="0"/>
                      <w:marRight w:val="0"/>
                      <w:marTop w:val="120"/>
                      <w:marBottom w:val="0"/>
                      <w:divBdr>
                        <w:top w:val="none" w:sz="0" w:space="0" w:color="auto"/>
                        <w:left w:val="none" w:sz="0" w:space="0" w:color="auto"/>
                        <w:bottom w:val="none" w:sz="0" w:space="0" w:color="auto"/>
                        <w:right w:val="none" w:sz="0" w:space="0" w:color="auto"/>
                      </w:divBdr>
                    </w:div>
                    <w:div w:id="2118403404">
                      <w:marLeft w:val="0"/>
                      <w:marRight w:val="0"/>
                      <w:marTop w:val="0"/>
                      <w:marBottom w:val="0"/>
                      <w:divBdr>
                        <w:top w:val="none" w:sz="0" w:space="0" w:color="auto"/>
                        <w:left w:val="none" w:sz="0" w:space="0" w:color="auto"/>
                        <w:bottom w:val="none" w:sz="0" w:space="0" w:color="auto"/>
                        <w:right w:val="none" w:sz="0" w:space="0" w:color="auto"/>
                      </w:divBdr>
                      <w:divsChild>
                        <w:div w:id="62870689">
                          <w:marLeft w:val="0"/>
                          <w:marRight w:val="0"/>
                          <w:marTop w:val="0"/>
                          <w:marBottom w:val="0"/>
                          <w:divBdr>
                            <w:top w:val="none" w:sz="0" w:space="0" w:color="auto"/>
                            <w:left w:val="none" w:sz="0" w:space="0" w:color="auto"/>
                            <w:bottom w:val="none" w:sz="0" w:space="0" w:color="auto"/>
                            <w:right w:val="none" w:sz="0" w:space="0" w:color="auto"/>
                          </w:divBdr>
                          <w:divsChild>
                            <w:div w:id="494031629">
                              <w:marLeft w:val="0"/>
                              <w:marRight w:val="0"/>
                              <w:marTop w:val="120"/>
                              <w:marBottom w:val="0"/>
                              <w:divBdr>
                                <w:top w:val="none" w:sz="0" w:space="0" w:color="auto"/>
                                <w:left w:val="none" w:sz="0" w:space="0" w:color="auto"/>
                                <w:bottom w:val="none" w:sz="0" w:space="0" w:color="auto"/>
                                <w:right w:val="none" w:sz="0" w:space="0" w:color="auto"/>
                              </w:divBdr>
                            </w:div>
                            <w:div w:id="664088509">
                              <w:marLeft w:val="0"/>
                              <w:marRight w:val="0"/>
                              <w:marTop w:val="0"/>
                              <w:marBottom w:val="0"/>
                              <w:divBdr>
                                <w:top w:val="none" w:sz="0" w:space="0" w:color="auto"/>
                                <w:left w:val="none" w:sz="0" w:space="0" w:color="auto"/>
                                <w:bottom w:val="none" w:sz="0" w:space="0" w:color="auto"/>
                                <w:right w:val="none" w:sz="0" w:space="0" w:color="auto"/>
                              </w:divBdr>
                            </w:div>
                          </w:divsChild>
                        </w:div>
                        <w:div w:id="966473628">
                          <w:marLeft w:val="0"/>
                          <w:marRight w:val="0"/>
                          <w:marTop w:val="0"/>
                          <w:marBottom w:val="0"/>
                          <w:divBdr>
                            <w:top w:val="none" w:sz="0" w:space="0" w:color="auto"/>
                            <w:left w:val="none" w:sz="0" w:space="0" w:color="auto"/>
                            <w:bottom w:val="none" w:sz="0" w:space="0" w:color="auto"/>
                            <w:right w:val="none" w:sz="0" w:space="0" w:color="auto"/>
                          </w:divBdr>
                          <w:divsChild>
                            <w:div w:id="982927128">
                              <w:marLeft w:val="0"/>
                              <w:marRight w:val="0"/>
                              <w:marTop w:val="120"/>
                              <w:marBottom w:val="0"/>
                              <w:divBdr>
                                <w:top w:val="none" w:sz="0" w:space="0" w:color="auto"/>
                                <w:left w:val="none" w:sz="0" w:space="0" w:color="auto"/>
                                <w:bottom w:val="none" w:sz="0" w:space="0" w:color="auto"/>
                                <w:right w:val="none" w:sz="0" w:space="0" w:color="auto"/>
                              </w:divBdr>
                            </w:div>
                            <w:div w:id="213027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035847">
                  <w:marLeft w:val="0"/>
                  <w:marRight w:val="0"/>
                  <w:marTop w:val="0"/>
                  <w:marBottom w:val="0"/>
                  <w:divBdr>
                    <w:top w:val="none" w:sz="0" w:space="0" w:color="auto"/>
                    <w:left w:val="none" w:sz="0" w:space="0" w:color="auto"/>
                    <w:bottom w:val="none" w:sz="0" w:space="0" w:color="auto"/>
                    <w:right w:val="none" w:sz="0" w:space="0" w:color="auto"/>
                  </w:divBdr>
                  <w:divsChild>
                    <w:div w:id="465128710">
                      <w:marLeft w:val="0"/>
                      <w:marRight w:val="0"/>
                      <w:marTop w:val="0"/>
                      <w:marBottom w:val="0"/>
                      <w:divBdr>
                        <w:top w:val="none" w:sz="0" w:space="0" w:color="auto"/>
                        <w:left w:val="none" w:sz="0" w:space="0" w:color="auto"/>
                        <w:bottom w:val="none" w:sz="0" w:space="0" w:color="auto"/>
                        <w:right w:val="none" w:sz="0" w:space="0" w:color="auto"/>
                      </w:divBdr>
                    </w:div>
                    <w:div w:id="11258476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30742801">
      <w:bodyDiv w:val="1"/>
      <w:marLeft w:val="0"/>
      <w:marRight w:val="0"/>
      <w:marTop w:val="0"/>
      <w:marBottom w:val="0"/>
      <w:divBdr>
        <w:top w:val="none" w:sz="0" w:space="0" w:color="auto"/>
        <w:left w:val="none" w:sz="0" w:space="0" w:color="auto"/>
        <w:bottom w:val="none" w:sz="0" w:space="0" w:color="auto"/>
        <w:right w:val="none" w:sz="0" w:space="0" w:color="auto"/>
      </w:divBdr>
      <w:divsChild>
        <w:div w:id="2134640328">
          <w:marLeft w:val="0"/>
          <w:marRight w:val="0"/>
          <w:marTop w:val="0"/>
          <w:marBottom w:val="0"/>
          <w:divBdr>
            <w:top w:val="none" w:sz="0" w:space="0" w:color="auto"/>
            <w:left w:val="none" w:sz="0" w:space="0" w:color="auto"/>
            <w:bottom w:val="none" w:sz="0" w:space="0" w:color="auto"/>
            <w:right w:val="none" w:sz="0" w:space="0" w:color="auto"/>
          </w:divBdr>
          <w:divsChild>
            <w:div w:id="19168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239">
      <w:bodyDiv w:val="1"/>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
          </w:divsChild>
        </w:div>
        <w:div w:id="586352687">
          <w:marLeft w:val="0"/>
          <w:marRight w:val="0"/>
          <w:marTop w:val="0"/>
          <w:marBottom w:val="0"/>
          <w:divBdr>
            <w:top w:val="none" w:sz="0" w:space="0" w:color="auto"/>
            <w:left w:val="none" w:sz="0" w:space="0" w:color="auto"/>
            <w:bottom w:val="none" w:sz="0" w:space="0" w:color="auto"/>
            <w:right w:val="none" w:sz="0" w:space="0" w:color="auto"/>
          </w:divBdr>
          <w:divsChild>
            <w:div w:id="1433821929">
              <w:marLeft w:val="0"/>
              <w:marRight w:val="0"/>
              <w:marTop w:val="0"/>
              <w:marBottom w:val="0"/>
              <w:divBdr>
                <w:top w:val="none" w:sz="0" w:space="0" w:color="auto"/>
                <w:left w:val="none" w:sz="0" w:space="0" w:color="auto"/>
                <w:bottom w:val="none" w:sz="0" w:space="0" w:color="auto"/>
                <w:right w:val="none" w:sz="0" w:space="0" w:color="auto"/>
              </w:divBdr>
            </w:div>
          </w:divsChild>
        </w:div>
        <w:div w:id="1677612773">
          <w:marLeft w:val="0"/>
          <w:marRight w:val="0"/>
          <w:marTop w:val="0"/>
          <w:marBottom w:val="0"/>
          <w:divBdr>
            <w:top w:val="none" w:sz="0" w:space="0" w:color="auto"/>
            <w:left w:val="none" w:sz="0" w:space="0" w:color="auto"/>
            <w:bottom w:val="none" w:sz="0" w:space="0" w:color="auto"/>
            <w:right w:val="none" w:sz="0" w:space="0" w:color="auto"/>
          </w:divBdr>
          <w:divsChild>
            <w:div w:id="250243349">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sChild>
            <w:div w:id="10847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5145">
      <w:bodyDiv w:val="1"/>
      <w:marLeft w:val="0"/>
      <w:marRight w:val="0"/>
      <w:marTop w:val="0"/>
      <w:marBottom w:val="0"/>
      <w:divBdr>
        <w:top w:val="none" w:sz="0" w:space="0" w:color="auto"/>
        <w:left w:val="none" w:sz="0" w:space="0" w:color="auto"/>
        <w:bottom w:val="none" w:sz="0" w:space="0" w:color="auto"/>
        <w:right w:val="none" w:sz="0" w:space="0" w:color="auto"/>
      </w:divBdr>
      <w:divsChild>
        <w:div w:id="422070408">
          <w:marLeft w:val="0"/>
          <w:marRight w:val="0"/>
          <w:marTop w:val="0"/>
          <w:marBottom w:val="0"/>
          <w:divBdr>
            <w:top w:val="none" w:sz="0" w:space="0" w:color="auto"/>
            <w:left w:val="none" w:sz="0" w:space="0" w:color="auto"/>
            <w:bottom w:val="none" w:sz="0" w:space="0" w:color="auto"/>
            <w:right w:val="none" w:sz="0" w:space="0" w:color="auto"/>
          </w:divBdr>
        </w:div>
      </w:divsChild>
    </w:div>
    <w:div w:id="954554762">
      <w:bodyDiv w:val="1"/>
      <w:marLeft w:val="0"/>
      <w:marRight w:val="0"/>
      <w:marTop w:val="0"/>
      <w:marBottom w:val="0"/>
      <w:divBdr>
        <w:top w:val="none" w:sz="0" w:space="0" w:color="auto"/>
        <w:left w:val="none" w:sz="0" w:space="0" w:color="auto"/>
        <w:bottom w:val="none" w:sz="0" w:space="0" w:color="auto"/>
        <w:right w:val="none" w:sz="0" w:space="0" w:color="auto"/>
      </w:divBdr>
      <w:divsChild>
        <w:div w:id="93592959">
          <w:marLeft w:val="0"/>
          <w:marRight w:val="0"/>
          <w:marTop w:val="0"/>
          <w:marBottom w:val="0"/>
          <w:divBdr>
            <w:top w:val="none" w:sz="0" w:space="0" w:color="auto"/>
            <w:left w:val="none" w:sz="0" w:space="0" w:color="auto"/>
            <w:bottom w:val="none" w:sz="0" w:space="0" w:color="auto"/>
            <w:right w:val="none" w:sz="0" w:space="0" w:color="auto"/>
          </w:divBdr>
        </w:div>
        <w:div w:id="826749093">
          <w:marLeft w:val="0"/>
          <w:marRight w:val="0"/>
          <w:marTop w:val="0"/>
          <w:marBottom w:val="0"/>
          <w:divBdr>
            <w:top w:val="none" w:sz="0" w:space="0" w:color="auto"/>
            <w:left w:val="none" w:sz="0" w:space="0" w:color="auto"/>
            <w:bottom w:val="none" w:sz="0" w:space="0" w:color="auto"/>
            <w:right w:val="none" w:sz="0" w:space="0" w:color="auto"/>
          </w:divBdr>
          <w:divsChild>
            <w:div w:id="8104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1560">
      <w:bodyDiv w:val="1"/>
      <w:marLeft w:val="0"/>
      <w:marRight w:val="0"/>
      <w:marTop w:val="0"/>
      <w:marBottom w:val="0"/>
      <w:divBdr>
        <w:top w:val="none" w:sz="0" w:space="0" w:color="auto"/>
        <w:left w:val="none" w:sz="0" w:space="0" w:color="auto"/>
        <w:bottom w:val="none" w:sz="0" w:space="0" w:color="auto"/>
        <w:right w:val="none" w:sz="0" w:space="0" w:color="auto"/>
      </w:divBdr>
      <w:divsChild>
        <w:div w:id="1218205290">
          <w:marLeft w:val="0"/>
          <w:marRight w:val="0"/>
          <w:marTop w:val="0"/>
          <w:marBottom w:val="0"/>
          <w:divBdr>
            <w:top w:val="none" w:sz="0" w:space="0" w:color="auto"/>
            <w:left w:val="none" w:sz="0" w:space="0" w:color="auto"/>
            <w:bottom w:val="none" w:sz="0" w:space="0" w:color="auto"/>
            <w:right w:val="none" w:sz="0" w:space="0" w:color="auto"/>
          </w:divBdr>
        </w:div>
      </w:divsChild>
    </w:div>
    <w:div w:id="964887494">
      <w:bodyDiv w:val="1"/>
      <w:marLeft w:val="0"/>
      <w:marRight w:val="0"/>
      <w:marTop w:val="0"/>
      <w:marBottom w:val="0"/>
      <w:divBdr>
        <w:top w:val="none" w:sz="0" w:space="0" w:color="auto"/>
        <w:left w:val="none" w:sz="0" w:space="0" w:color="auto"/>
        <w:bottom w:val="none" w:sz="0" w:space="0" w:color="auto"/>
        <w:right w:val="none" w:sz="0" w:space="0" w:color="auto"/>
      </w:divBdr>
      <w:divsChild>
        <w:div w:id="1952930834">
          <w:marLeft w:val="0"/>
          <w:marRight w:val="0"/>
          <w:marTop w:val="0"/>
          <w:marBottom w:val="0"/>
          <w:divBdr>
            <w:top w:val="none" w:sz="0" w:space="0" w:color="auto"/>
            <w:left w:val="none" w:sz="0" w:space="0" w:color="auto"/>
            <w:bottom w:val="none" w:sz="0" w:space="0" w:color="auto"/>
            <w:right w:val="none" w:sz="0" w:space="0" w:color="auto"/>
          </w:divBdr>
          <w:divsChild>
            <w:div w:id="830483235">
              <w:marLeft w:val="0"/>
              <w:marRight w:val="0"/>
              <w:marTop w:val="0"/>
              <w:marBottom w:val="0"/>
              <w:divBdr>
                <w:top w:val="none" w:sz="0" w:space="0" w:color="auto"/>
                <w:left w:val="none" w:sz="0" w:space="0" w:color="auto"/>
                <w:bottom w:val="none" w:sz="0" w:space="0" w:color="auto"/>
                <w:right w:val="none" w:sz="0" w:space="0" w:color="auto"/>
              </w:divBdr>
              <w:divsChild>
                <w:div w:id="420568919">
                  <w:marLeft w:val="0"/>
                  <w:marRight w:val="0"/>
                  <w:marTop w:val="0"/>
                  <w:marBottom w:val="0"/>
                  <w:divBdr>
                    <w:top w:val="none" w:sz="0" w:space="0" w:color="auto"/>
                    <w:left w:val="none" w:sz="0" w:space="0" w:color="auto"/>
                    <w:bottom w:val="none" w:sz="0" w:space="0" w:color="auto"/>
                    <w:right w:val="none" w:sz="0" w:space="0" w:color="auto"/>
                  </w:divBdr>
                  <w:divsChild>
                    <w:div w:id="1535190947">
                      <w:marLeft w:val="0"/>
                      <w:marRight w:val="0"/>
                      <w:marTop w:val="0"/>
                      <w:marBottom w:val="0"/>
                      <w:divBdr>
                        <w:top w:val="none" w:sz="0" w:space="0" w:color="auto"/>
                        <w:left w:val="none" w:sz="0" w:space="0" w:color="auto"/>
                        <w:bottom w:val="none" w:sz="0" w:space="0" w:color="auto"/>
                        <w:right w:val="none" w:sz="0" w:space="0" w:color="auto"/>
                      </w:divBdr>
                    </w:div>
                    <w:div w:id="1862090625">
                      <w:marLeft w:val="0"/>
                      <w:marRight w:val="0"/>
                      <w:marTop w:val="120"/>
                      <w:marBottom w:val="0"/>
                      <w:divBdr>
                        <w:top w:val="none" w:sz="0" w:space="0" w:color="auto"/>
                        <w:left w:val="none" w:sz="0" w:space="0" w:color="auto"/>
                        <w:bottom w:val="none" w:sz="0" w:space="0" w:color="auto"/>
                        <w:right w:val="none" w:sz="0" w:space="0" w:color="auto"/>
                      </w:divBdr>
                    </w:div>
                  </w:divsChild>
                </w:div>
                <w:div w:id="578949679">
                  <w:marLeft w:val="0"/>
                  <w:marRight w:val="0"/>
                  <w:marTop w:val="0"/>
                  <w:marBottom w:val="0"/>
                  <w:divBdr>
                    <w:top w:val="none" w:sz="0" w:space="0" w:color="auto"/>
                    <w:left w:val="none" w:sz="0" w:space="0" w:color="auto"/>
                    <w:bottom w:val="none" w:sz="0" w:space="0" w:color="auto"/>
                    <w:right w:val="none" w:sz="0" w:space="0" w:color="auto"/>
                  </w:divBdr>
                  <w:divsChild>
                    <w:div w:id="686951350">
                      <w:marLeft w:val="0"/>
                      <w:marRight w:val="0"/>
                      <w:marTop w:val="120"/>
                      <w:marBottom w:val="0"/>
                      <w:divBdr>
                        <w:top w:val="none" w:sz="0" w:space="0" w:color="auto"/>
                        <w:left w:val="none" w:sz="0" w:space="0" w:color="auto"/>
                        <w:bottom w:val="none" w:sz="0" w:space="0" w:color="auto"/>
                        <w:right w:val="none" w:sz="0" w:space="0" w:color="auto"/>
                      </w:divBdr>
                    </w:div>
                    <w:div w:id="153689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897478">
      <w:bodyDiv w:val="1"/>
      <w:marLeft w:val="0"/>
      <w:marRight w:val="0"/>
      <w:marTop w:val="0"/>
      <w:marBottom w:val="0"/>
      <w:divBdr>
        <w:top w:val="none" w:sz="0" w:space="0" w:color="auto"/>
        <w:left w:val="none" w:sz="0" w:space="0" w:color="auto"/>
        <w:bottom w:val="none" w:sz="0" w:space="0" w:color="auto"/>
        <w:right w:val="none" w:sz="0" w:space="0" w:color="auto"/>
      </w:divBdr>
      <w:divsChild>
        <w:div w:id="315185448">
          <w:marLeft w:val="0"/>
          <w:marRight w:val="0"/>
          <w:marTop w:val="0"/>
          <w:marBottom w:val="0"/>
          <w:divBdr>
            <w:top w:val="none" w:sz="0" w:space="0" w:color="auto"/>
            <w:left w:val="none" w:sz="0" w:space="0" w:color="auto"/>
            <w:bottom w:val="none" w:sz="0" w:space="0" w:color="auto"/>
            <w:right w:val="none" w:sz="0" w:space="0" w:color="auto"/>
          </w:divBdr>
          <w:divsChild>
            <w:div w:id="846672933">
              <w:marLeft w:val="0"/>
              <w:marRight w:val="0"/>
              <w:marTop w:val="0"/>
              <w:marBottom w:val="0"/>
              <w:divBdr>
                <w:top w:val="none" w:sz="0" w:space="0" w:color="auto"/>
                <w:left w:val="none" w:sz="0" w:space="0" w:color="auto"/>
                <w:bottom w:val="none" w:sz="0" w:space="0" w:color="auto"/>
                <w:right w:val="none" w:sz="0" w:space="0" w:color="auto"/>
              </w:divBdr>
            </w:div>
            <w:div w:id="2090999594">
              <w:marLeft w:val="0"/>
              <w:marRight w:val="0"/>
              <w:marTop w:val="120"/>
              <w:marBottom w:val="0"/>
              <w:divBdr>
                <w:top w:val="none" w:sz="0" w:space="0" w:color="auto"/>
                <w:left w:val="none" w:sz="0" w:space="0" w:color="auto"/>
                <w:bottom w:val="none" w:sz="0" w:space="0" w:color="auto"/>
                <w:right w:val="none" w:sz="0" w:space="0" w:color="auto"/>
              </w:divBdr>
            </w:div>
          </w:divsChild>
        </w:div>
        <w:div w:id="413285499">
          <w:marLeft w:val="0"/>
          <w:marRight w:val="0"/>
          <w:marTop w:val="0"/>
          <w:marBottom w:val="0"/>
          <w:divBdr>
            <w:top w:val="none" w:sz="0" w:space="0" w:color="auto"/>
            <w:left w:val="none" w:sz="0" w:space="0" w:color="auto"/>
            <w:bottom w:val="none" w:sz="0" w:space="0" w:color="auto"/>
            <w:right w:val="none" w:sz="0" w:space="0" w:color="auto"/>
          </w:divBdr>
        </w:div>
        <w:div w:id="1464494744">
          <w:marLeft w:val="0"/>
          <w:marRight w:val="0"/>
          <w:marTop w:val="0"/>
          <w:marBottom w:val="0"/>
          <w:divBdr>
            <w:top w:val="none" w:sz="0" w:space="0" w:color="auto"/>
            <w:left w:val="none" w:sz="0" w:space="0" w:color="auto"/>
            <w:bottom w:val="none" w:sz="0" w:space="0" w:color="auto"/>
            <w:right w:val="none" w:sz="0" w:space="0" w:color="auto"/>
          </w:divBdr>
          <w:divsChild>
            <w:div w:id="1285036323">
              <w:marLeft w:val="0"/>
              <w:marRight w:val="0"/>
              <w:marTop w:val="0"/>
              <w:marBottom w:val="0"/>
              <w:divBdr>
                <w:top w:val="none" w:sz="0" w:space="0" w:color="auto"/>
                <w:left w:val="none" w:sz="0" w:space="0" w:color="auto"/>
                <w:bottom w:val="none" w:sz="0" w:space="0" w:color="auto"/>
                <w:right w:val="none" w:sz="0" w:space="0" w:color="auto"/>
              </w:divBdr>
            </w:div>
          </w:divsChild>
        </w:div>
        <w:div w:id="1844468861">
          <w:marLeft w:val="0"/>
          <w:marRight w:val="0"/>
          <w:marTop w:val="0"/>
          <w:marBottom w:val="0"/>
          <w:divBdr>
            <w:top w:val="none" w:sz="0" w:space="0" w:color="auto"/>
            <w:left w:val="none" w:sz="0" w:space="0" w:color="auto"/>
            <w:bottom w:val="none" w:sz="0" w:space="0" w:color="auto"/>
            <w:right w:val="none" w:sz="0" w:space="0" w:color="auto"/>
          </w:divBdr>
          <w:divsChild>
            <w:div w:id="110709049">
              <w:marLeft w:val="0"/>
              <w:marRight w:val="0"/>
              <w:marTop w:val="120"/>
              <w:marBottom w:val="0"/>
              <w:divBdr>
                <w:top w:val="none" w:sz="0" w:space="0" w:color="auto"/>
                <w:left w:val="none" w:sz="0" w:space="0" w:color="auto"/>
                <w:bottom w:val="none" w:sz="0" w:space="0" w:color="auto"/>
                <w:right w:val="none" w:sz="0" w:space="0" w:color="auto"/>
              </w:divBdr>
            </w:div>
            <w:div w:id="9472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62764">
      <w:bodyDiv w:val="1"/>
      <w:marLeft w:val="0"/>
      <w:marRight w:val="0"/>
      <w:marTop w:val="0"/>
      <w:marBottom w:val="0"/>
      <w:divBdr>
        <w:top w:val="none" w:sz="0" w:space="0" w:color="auto"/>
        <w:left w:val="none" w:sz="0" w:space="0" w:color="auto"/>
        <w:bottom w:val="none" w:sz="0" w:space="0" w:color="auto"/>
        <w:right w:val="none" w:sz="0" w:space="0" w:color="auto"/>
      </w:divBdr>
      <w:divsChild>
        <w:div w:id="2084789403">
          <w:marLeft w:val="0"/>
          <w:marRight w:val="0"/>
          <w:marTop w:val="0"/>
          <w:marBottom w:val="0"/>
          <w:divBdr>
            <w:top w:val="none" w:sz="0" w:space="0" w:color="auto"/>
            <w:left w:val="none" w:sz="0" w:space="0" w:color="auto"/>
            <w:bottom w:val="none" w:sz="0" w:space="0" w:color="auto"/>
            <w:right w:val="none" w:sz="0" w:space="0" w:color="auto"/>
          </w:divBdr>
          <w:divsChild>
            <w:div w:id="9458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2497">
      <w:bodyDiv w:val="1"/>
      <w:marLeft w:val="0"/>
      <w:marRight w:val="0"/>
      <w:marTop w:val="0"/>
      <w:marBottom w:val="0"/>
      <w:divBdr>
        <w:top w:val="none" w:sz="0" w:space="0" w:color="auto"/>
        <w:left w:val="none" w:sz="0" w:space="0" w:color="auto"/>
        <w:bottom w:val="none" w:sz="0" w:space="0" w:color="auto"/>
        <w:right w:val="none" w:sz="0" w:space="0" w:color="auto"/>
      </w:divBdr>
      <w:divsChild>
        <w:div w:id="1570845898">
          <w:marLeft w:val="0"/>
          <w:marRight w:val="0"/>
          <w:marTop w:val="0"/>
          <w:marBottom w:val="0"/>
          <w:divBdr>
            <w:top w:val="none" w:sz="0" w:space="0" w:color="auto"/>
            <w:left w:val="none" w:sz="0" w:space="0" w:color="auto"/>
            <w:bottom w:val="none" w:sz="0" w:space="0" w:color="auto"/>
            <w:right w:val="none" w:sz="0" w:space="0" w:color="auto"/>
          </w:divBdr>
        </w:div>
      </w:divsChild>
    </w:div>
    <w:div w:id="992640210">
      <w:bodyDiv w:val="1"/>
      <w:marLeft w:val="0"/>
      <w:marRight w:val="0"/>
      <w:marTop w:val="0"/>
      <w:marBottom w:val="0"/>
      <w:divBdr>
        <w:top w:val="none" w:sz="0" w:space="0" w:color="auto"/>
        <w:left w:val="none" w:sz="0" w:space="0" w:color="auto"/>
        <w:bottom w:val="none" w:sz="0" w:space="0" w:color="auto"/>
        <w:right w:val="none" w:sz="0" w:space="0" w:color="auto"/>
      </w:divBdr>
      <w:divsChild>
        <w:div w:id="446705208">
          <w:marLeft w:val="0"/>
          <w:marRight w:val="0"/>
          <w:marTop w:val="0"/>
          <w:marBottom w:val="0"/>
          <w:divBdr>
            <w:top w:val="none" w:sz="0" w:space="0" w:color="auto"/>
            <w:left w:val="none" w:sz="0" w:space="0" w:color="auto"/>
            <w:bottom w:val="none" w:sz="0" w:space="0" w:color="auto"/>
            <w:right w:val="none" w:sz="0" w:space="0" w:color="auto"/>
          </w:divBdr>
          <w:divsChild>
            <w:div w:id="19767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2746">
      <w:bodyDiv w:val="1"/>
      <w:marLeft w:val="0"/>
      <w:marRight w:val="0"/>
      <w:marTop w:val="0"/>
      <w:marBottom w:val="0"/>
      <w:divBdr>
        <w:top w:val="none" w:sz="0" w:space="0" w:color="auto"/>
        <w:left w:val="none" w:sz="0" w:space="0" w:color="auto"/>
        <w:bottom w:val="none" w:sz="0" w:space="0" w:color="auto"/>
        <w:right w:val="none" w:sz="0" w:space="0" w:color="auto"/>
      </w:divBdr>
      <w:divsChild>
        <w:div w:id="1153988634">
          <w:marLeft w:val="0"/>
          <w:marRight w:val="0"/>
          <w:marTop w:val="0"/>
          <w:marBottom w:val="0"/>
          <w:divBdr>
            <w:top w:val="none" w:sz="0" w:space="0" w:color="auto"/>
            <w:left w:val="none" w:sz="0" w:space="0" w:color="auto"/>
            <w:bottom w:val="none" w:sz="0" w:space="0" w:color="auto"/>
            <w:right w:val="none" w:sz="0" w:space="0" w:color="auto"/>
          </w:divBdr>
          <w:divsChild>
            <w:div w:id="19139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7649">
      <w:bodyDiv w:val="1"/>
      <w:marLeft w:val="0"/>
      <w:marRight w:val="0"/>
      <w:marTop w:val="0"/>
      <w:marBottom w:val="0"/>
      <w:divBdr>
        <w:top w:val="none" w:sz="0" w:space="0" w:color="auto"/>
        <w:left w:val="none" w:sz="0" w:space="0" w:color="auto"/>
        <w:bottom w:val="none" w:sz="0" w:space="0" w:color="auto"/>
        <w:right w:val="none" w:sz="0" w:space="0" w:color="auto"/>
      </w:divBdr>
      <w:divsChild>
        <w:div w:id="188841755">
          <w:marLeft w:val="0"/>
          <w:marRight w:val="0"/>
          <w:marTop w:val="0"/>
          <w:marBottom w:val="0"/>
          <w:divBdr>
            <w:top w:val="none" w:sz="0" w:space="0" w:color="auto"/>
            <w:left w:val="none" w:sz="0" w:space="0" w:color="auto"/>
            <w:bottom w:val="none" w:sz="0" w:space="0" w:color="auto"/>
            <w:right w:val="none" w:sz="0" w:space="0" w:color="auto"/>
          </w:divBdr>
          <w:divsChild>
            <w:div w:id="1748336379">
              <w:marLeft w:val="0"/>
              <w:marRight w:val="0"/>
              <w:marTop w:val="0"/>
              <w:marBottom w:val="0"/>
              <w:divBdr>
                <w:top w:val="none" w:sz="0" w:space="0" w:color="auto"/>
                <w:left w:val="none" w:sz="0" w:space="0" w:color="auto"/>
                <w:bottom w:val="none" w:sz="0" w:space="0" w:color="auto"/>
                <w:right w:val="none" w:sz="0" w:space="0" w:color="auto"/>
              </w:divBdr>
            </w:div>
          </w:divsChild>
        </w:div>
        <w:div w:id="1664432997">
          <w:marLeft w:val="0"/>
          <w:marRight w:val="0"/>
          <w:marTop w:val="0"/>
          <w:marBottom w:val="0"/>
          <w:divBdr>
            <w:top w:val="none" w:sz="0" w:space="0" w:color="auto"/>
            <w:left w:val="none" w:sz="0" w:space="0" w:color="auto"/>
            <w:bottom w:val="none" w:sz="0" w:space="0" w:color="auto"/>
            <w:right w:val="none" w:sz="0" w:space="0" w:color="auto"/>
          </w:divBdr>
          <w:divsChild>
            <w:div w:id="904604300">
              <w:marLeft w:val="0"/>
              <w:marRight w:val="0"/>
              <w:marTop w:val="0"/>
              <w:marBottom w:val="0"/>
              <w:divBdr>
                <w:top w:val="none" w:sz="0" w:space="0" w:color="auto"/>
                <w:left w:val="none" w:sz="0" w:space="0" w:color="auto"/>
                <w:bottom w:val="none" w:sz="0" w:space="0" w:color="auto"/>
                <w:right w:val="none" w:sz="0" w:space="0" w:color="auto"/>
              </w:divBdr>
              <w:divsChild>
                <w:div w:id="13817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775584">
      <w:bodyDiv w:val="1"/>
      <w:marLeft w:val="0"/>
      <w:marRight w:val="0"/>
      <w:marTop w:val="0"/>
      <w:marBottom w:val="0"/>
      <w:divBdr>
        <w:top w:val="none" w:sz="0" w:space="0" w:color="auto"/>
        <w:left w:val="none" w:sz="0" w:space="0" w:color="auto"/>
        <w:bottom w:val="none" w:sz="0" w:space="0" w:color="auto"/>
        <w:right w:val="none" w:sz="0" w:space="0" w:color="auto"/>
      </w:divBdr>
      <w:divsChild>
        <w:div w:id="525219352">
          <w:marLeft w:val="0"/>
          <w:marRight w:val="0"/>
          <w:marTop w:val="0"/>
          <w:marBottom w:val="0"/>
          <w:divBdr>
            <w:top w:val="none" w:sz="0" w:space="0" w:color="auto"/>
            <w:left w:val="none" w:sz="0" w:space="0" w:color="auto"/>
            <w:bottom w:val="none" w:sz="0" w:space="0" w:color="auto"/>
            <w:right w:val="none" w:sz="0" w:space="0" w:color="auto"/>
          </w:divBdr>
        </w:div>
      </w:divsChild>
    </w:div>
    <w:div w:id="1004551871">
      <w:bodyDiv w:val="1"/>
      <w:marLeft w:val="0"/>
      <w:marRight w:val="0"/>
      <w:marTop w:val="0"/>
      <w:marBottom w:val="0"/>
      <w:divBdr>
        <w:top w:val="none" w:sz="0" w:space="0" w:color="auto"/>
        <w:left w:val="none" w:sz="0" w:space="0" w:color="auto"/>
        <w:bottom w:val="none" w:sz="0" w:space="0" w:color="auto"/>
        <w:right w:val="none" w:sz="0" w:space="0" w:color="auto"/>
      </w:divBdr>
      <w:divsChild>
        <w:div w:id="1434978049">
          <w:marLeft w:val="0"/>
          <w:marRight w:val="0"/>
          <w:marTop w:val="0"/>
          <w:marBottom w:val="0"/>
          <w:divBdr>
            <w:top w:val="none" w:sz="0" w:space="0" w:color="auto"/>
            <w:left w:val="none" w:sz="0" w:space="0" w:color="auto"/>
            <w:bottom w:val="none" w:sz="0" w:space="0" w:color="auto"/>
            <w:right w:val="none" w:sz="0" w:space="0" w:color="auto"/>
          </w:divBdr>
          <w:divsChild>
            <w:div w:id="306322863">
              <w:marLeft w:val="0"/>
              <w:marRight w:val="0"/>
              <w:marTop w:val="0"/>
              <w:marBottom w:val="0"/>
              <w:divBdr>
                <w:top w:val="none" w:sz="0" w:space="0" w:color="auto"/>
                <w:left w:val="none" w:sz="0" w:space="0" w:color="auto"/>
                <w:bottom w:val="none" w:sz="0" w:space="0" w:color="auto"/>
                <w:right w:val="none" w:sz="0" w:space="0" w:color="auto"/>
              </w:divBdr>
            </w:div>
            <w:div w:id="1032389764">
              <w:marLeft w:val="0"/>
              <w:marRight w:val="0"/>
              <w:marTop w:val="0"/>
              <w:marBottom w:val="0"/>
              <w:divBdr>
                <w:top w:val="none" w:sz="0" w:space="0" w:color="auto"/>
                <w:left w:val="none" w:sz="0" w:space="0" w:color="auto"/>
                <w:bottom w:val="none" w:sz="0" w:space="0" w:color="auto"/>
                <w:right w:val="none" w:sz="0" w:space="0" w:color="auto"/>
              </w:divBdr>
              <w:divsChild>
                <w:div w:id="12185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283741">
      <w:bodyDiv w:val="1"/>
      <w:marLeft w:val="0"/>
      <w:marRight w:val="0"/>
      <w:marTop w:val="0"/>
      <w:marBottom w:val="0"/>
      <w:divBdr>
        <w:top w:val="none" w:sz="0" w:space="0" w:color="auto"/>
        <w:left w:val="none" w:sz="0" w:space="0" w:color="auto"/>
        <w:bottom w:val="none" w:sz="0" w:space="0" w:color="auto"/>
        <w:right w:val="none" w:sz="0" w:space="0" w:color="auto"/>
      </w:divBdr>
      <w:divsChild>
        <w:div w:id="185412306">
          <w:marLeft w:val="0"/>
          <w:marRight w:val="0"/>
          <w:marTop w:val="0"/>
          <w:marBottom w:val="0"/>
          <w:divBdr>
            <w:top w:val="none" w:sz="0" w:space="0" w:color="auto"/>
            <w:left w:val="none" w:sz="0" w:space="0" w:color="auto"/>
            <w:bottom w:val="none" w:sz="0" w:space="0" w:color="auto"/>
            <w:right w:val="none" w:sz="0" w:space="0" w:color="auto"/>
          </w:divBdr>
          <w:divsChild>
            <w:div w:id="1340160494">
              <w:marLeft w:val="0"/>
              <w:marRight w:val="0"/>
              <w:marTop w:val="0"/>
              <w:marBottom w:val="0"/>
              <w:divBdr>
                <w:top w:val="none" w:sz="0" w:space="0" w:color="auto"/>
                <w:left w:val="none" w:sz="0" w:space="0" w:color="auto"/>
                <w:bottom w:val="none" w:sz="0" w:space="0" w:color="auto"/>
                <w:right w:val="none" w:sz="0" w:space="0" w:color="auto"/>
              </w:divBdr>
            </w:div>
          </w:divsChild>
        </w:div>
        <w:div w:id="256064164">
          <w:marLeft w:val="0"/>
          <w:marRight w:val="0"/>
          <w:marTop w:val="0"/>
          <w:marBottom w:val="0"/>
          <w:divBdr>
            <w:top w:val="none" w:sz="0" w:space="0" w:color="auto"/>
            <w:left w:val="none" w:sz="0" w:space="0" w:color="auto"/>
            <w:bottom w:val="none" w:sz="0" w:space="0" w:color="auto"/>
            <w:right w:val="none" w:sz="0" w:space="0" w:color="auto"/>
          </w:divBdr>
          <w:divsChild>
            <w:div w:id="1011566100">
              <w:marLeft w:val="0"/>
              <w:marRight w:val="0"/>
              <w:marTop w:val="0"/>
              <w:marBottom w:val="0"/>
              <w:divBdr>
                <w:top w:val="none" w:sz="0" w:space="0" w:color="auto"/>
                <w:left w:val="none" w:sz="0" w:space="0" w:color="auto"/>
                <w:bottom w:val="none" w:sz="0" w:space="0" w:color="auto"/>
                <w:right w:val="none" w:sz="0" w:space="0" w:color="auto"/>
              </w:divBdr>
              <w:divsChild>
                <w:div w:id="1009213628">
                  <w:marLeft w:val="0"/>
                  <w:marRight w:val="0"/>
                  <w:marTop w:val="0"/>
                  <w:marBottom w:val="0"/>
                  <w:divBdr>
                    <w:top w:val="none" w:sz="0" w:space="0" w:color="auto"/>
                    <w:left w:val="none" w:sz="0" w:space="0" w:color="auto"/>
                    <w:bottom w:val="none" w:sz="0" w:space="0" w:color="auto"/>
                    <w:right w:val="none" w:sz="0" w:space="0" w:color="auto"/>
                  </w:divBdr>
                  <w:divsChild>
                    <w:div w:id="77138309">
                      <w:marLeft w:val="0"/>
                      <w:marRight w:val="0"/>
                      <w:marTop w:val="0"/>
                      <w:marBottom w:val="0"/>
                      <w:divBdr>
                        <w:top w:val="none" w:sz="0" w:space="0" w:color="auto"/>
                        <w:left w:val="none" w:sz="0" w:space="0" w:color="auto"/>
                        <w:bottom w:val="none" w:sz="0" w:space="0" w:color="auto"/>
                        <w:right w:val="none" w:sz="0" w:space="0" w:color="auto"/>
                      </w:divBdr>
                    </w:div>
                    <w:div w:id="314535517">
                      <w:marLeft w:val="0"/>
                      <w:marRight w:val="0"/>
                      <w:marTop w:val="120"/>
                      <w:marBottom w:val="0"/>
                      <w:divBdr>
                        <w:top w:val="none" w:sz="0" w:space="0" w:color="auto"/>
                        <w:left w:val="none" w:sz="0" w:space="0" w:color="auto"/>
                        <w:bottom w:val="none" w:sz="0" w:space="0" w:color="auto"/>
                        <w:right w:val="none" w:sz="0" w:space="0" w:color="auto"/>
                      </w:divBdr>
                    </w:div>
                  </w:divsChild>
                </w:div>
                <w:div w:id="1030912799">
                  <w:marLeft w:val="0"/>
                  <w:marRight w:val="0"/>
                  <w:marTop w:val="0"/>
                  <w:marBottom w:val="0"/>
                  <w:divBdr>
                    <w:top w:val="none" w:sz="0" w:space="0" w:color="auto"/>
                    <w:left w:val="none" w:sz="0" w:space="0" w:color="auto"/>
                    <w:bottom w:val="none" w:sz="0" w:space="0" w:color="auto"/>
                    <w:right w:val="none" w:sz="0" w:space="0" w:color="auto"/>
                  </w:divBdr>
                  <w:divsChild>
                    <w:div w:id="299044793">
                      <w:marLeft w:val="0"/>
                      <w:marRight w:val="0"/>
                      <w:marTop w:val="0"/>
                      <w:marBottom w:val="0"/>
                      <w:divBdr>
                        <w:top w:val="none" w:sz="0" w:space="0" w:color="auto"/>
                        <w:left w:val="none" w:sz="0" w:space="0" w:color="auto"/>
                        <w:bottom w:val="none" w:sz="0" w:space="0" w:color="auto"/>
                        <w:right w:val="none" w:sz="0" w:space="0" w:color="auto"/>
                      </w:divBdr>
                    </w:div>
                    <w:div w:id="11240403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0922829">
          <w:marLeft w:val="0"/>
          <w:marRight w:val="0"/>
          <w:marTop w:val="0"/>
          <w:marBottom w:val="0"/>
          <w:divBdr>
            <w:top w:val="none" w:sz="0" w:space="0" w:color="auto"/>
            <w:left w:val="none" w:sz="0" w:space="0" w:color="auto"/>
            <w:bottom w:val="none" w:sz="0" w:space="0" w:color="auto"/>
            <w:right w:val="none" w:sz="0" w:space="0" w:color="auto"/>
          </w:divBdr>
          <w:divsChild>
            <w:div w:id="1611627239">
              <w:marLeft w:val="0"/>
              <w:marRight w:val="0"/>
              <w:marTop w:val="0"/>
              <w:marBottom w:val="0"/>
              <w:divBdr>
                <w:top w:val="none" w:sz="0" w:space="0" w:color="auto"/>
                <w:left w:val="none" w:sz="0" w:space="0" w:color="auto"/>
                <w:bottom w:val="none" w:sz="0" w:space="0" w:color="auto"/>
                <w:right w:val="none" w:sz="0" w:space="0" w:color="auto"/>
              </w:divBdr>
            </w:div>
          </w:divsChild>
        </w:div>
        <w:div w:id="707610818">
          <w:marLeft w:val="0"/>
          <w:marRight w:val="0"/>
          <w:marTop w:val="0"/>
          <w:marBottom w:val="0"/>
          <w:divBdr>
            <w:top w:val="none" w:sz="0" w:space="0" w:color="auto"/>
            <w:left w:val="none" w:sz="0" w:space="0" w:color="auto"/>
            <w:bottom w:val="none" w:sz="0" w:space="0" w:color="auto"/>
            <w:right w:val="none" w:sz="0" w:space="0" w:color="auto"/>
          </w:divBdr>
          <w:divsChild>
            <w:div w:id="599219935">
              <w:marLeft w:val="0"/>
              <w:marRight w:val="0"/>
              <w:marTop w:val="0"/>
              <w:marBottom w:val="0"/>
              <w:divBdr>
                <w:top w:val="none" w:sz="0" w:space="0" w:color="auto"/>
                <w:left w:val="none" w:sz="0" w:space="0" w:color="auto"/>
                <w:bottom w:val="none" w:sz="0" w:space="0" w:color="auto"/>
                <w:right w:val="none" w:sz="0" w:space="0" w:color="auto"/>
              </w:divBdr>
            </w:div>
          </w:divsChild>
        </w:div>
        <w:div w:id="1006397039">
          <w:marLeft w:val="0"/>
          <w:marRight w:val="0"/>
          <w:marTop w:val="0"/>
          <w:marBottom w:val="0"/>
          <w:divBdr>
            <w:top w:val="none" w:sz="0" w:space="0" w:color="auto"/>
            <w:left w:val="none" w:sz="0" w:space="0" w:color="auto"/>
            <w:bottom w:val="none" w:sz="0" w:space="0" w:color="auto"/>
            <w:right w:val="none" w:sz="0" w:space="0" w:color="auto"/>
          </w:divBdr>
          <w:divsChild>
            <w:div w:id="16286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7015">
      <w:bodyDiv w:val="1"/>
      <w:marLeft w:val="0"/>
      <w:marRight w:val="0"/>
      <w:marTop w:val="0"/>
      <w:marBottom w:val="0"/>
      <w:divBdr>
        <w:top w:val="none" w:sz="0" w:space="0" w:color="auto"/>
        <w:left w:val="none" w:sz="0" w:space="0" w:color="auto"/>
        <w:bottom w:val="none" w:sz="0" w:space="0" w:color="auto"/>
        <w:right w:val="none" w:sz="0" w:space="0" w:color="auto"/>
      </w:divBdr>
      <w:divsChild>
        <w:div w:id="1070930150">
          <w:marLeft w:val="0"/>
          <w:marRight w:val="0"/>
          <w:marTop w:val="0"/>
          <w:marBottom w:val="0"/>
          <w:divBdr>
            <w:top w:val="none" w:sz="0" w:space="0" w:color="auto"/>
            <w:left w:val="none" w:sz="0" w:space="0" w:color="auto"/>
            <w:bottom w:val="none" w:sz="0" w:space="0" w:color="auto"/>
            <w:right w:val="none" w:sz="0" w:space="0" w:color="auto"/>
          </w:divBdr>
          <w:divsChild>
            <w:div w:id="337467460">
              <w:marLeft w:val="0"/>
              <w:marRight w:val="0"/>
              <w:marTop w:val="0"/>
              <w:marBottom w:val="0"/>
              <w:divBdr>
                <w:top w:val="none" w:sz="0" w:space="0" w:color="auto"/>
                <w:left w:val="none" w:sz="0" w:space="0" w:color="auto"/>
                <w:bottom w:val="none" w:sz="0" w:space="0" w:color="auto"/>
                <w:right w:val="none" w:sz="0" w:space="0" w:color="auto"/>
              </w:divBdr>
              <w:divsChild>
                <w:div w:id="1808087942">
                  <w:marLeft w:val="0"/>
                  <w:marRight w:val="0"/>
                  <w:marTop w:val="0"/>
                  <w:marBottom w:val="0"/>
                  <w:divBdr>
                    <w:top w:val="none" w:sz="0" w:space="0" w:color="auto"/>
                    <w:left w:val="none" w:sz="0" w:space="0" w:color="auto"/>
                    <w:bottom w:val="none" w:sz="0" w:space="0" w:color="auto"/>
                    <w:right w:val="none" w:sz="0" w:space="0" w:color="auto"/>
                  </w:divBdr>
                </w:div>
                <w:div w:id="1929459402">
                  <w:marLeft w:val="0"/>
                  <w:marRight w:val="0"/>
                  <w:marTop w:val="120"/>
                  <w:marBottom w:val="0"/>
                  <w:divBdr>
                    <w:top w:val="none" w:sz="0" w:space="0" w:color="auto"/>
                    <w:left w:val="none" w:sz="0" w:space="0" w:color="auto"/>
                    <w:bottom w:val="none" w:sz="0" w:space="0" w:color="auto"/>
                    <w:right w:val="none" w:sz="0" w:space="0" w:color="auto"/>
                  </w:divBdr>
                </w:div>
              </w:divsChild>
            </w:div>
            <w:div w:id="455104001">
              <w:marLeft w:val="0"/>
              <w:marRight w:val="0"/>
              <w:marTop w:val="0"/>
              <w:marBottom w:val="0"/>
              <w:divBdr>
                <w:top w:val="none" w:sz="0" w:space="0" w:color="auto"/>
                <w:left w:val="none" w:sz="0" w:space="0" w:color="auto"/>
                <w:bottom w:val="none" w:sz="0" w:space="0" w:color="auto"/>
                <w:right w:val="none" w:sz="0" w:space="0" w:color="auto"/>
              </w:divBdr>
              <w:divsChild>
                <w:div w:id="387462398">
                  <w:marLeft w:val="0"/>
                  <w:marRight w:val="0"/>
                  <w:marTop w:val="0"/>
                  <w:marBottom w:val="0"/>
                  <w:divBdr>
                    <w:top w:val="none" w:sz="0" w:space="0" w:color="auto"/>
                    <w:left w:val="none" w:sz="0" w:space="0" w:color="auto"/>
                    <w:bottom w:val="none" w:sz="0" w:space="0" w:color="auto"/>
                    <w:right w:val="none" w:sz="0" w:space="0" w:color="auto"/>
                  </w:divBdr>
                </w:div>
                <w:div w:id="1975522336">
                  <w:marLeft w:val="0"/>
                  <w:marRight w:val="0"/>
                  <w:marTop w:val="120"/>
                  <w:marBottom w:val="0"/>
                  <w:divBdr>
                    <w:top w:val="none" w:sz="0" w:space="0" w:color="auto"/>
                    <w:left w:val="none" w:sz="0" w:space="0" w:color="auto"/>
                    <w:bottom w:val="none" w:sz="0" w:space="0" w:color="auto"/>
                    <w:right w:val="none" w:sz="0" w:space="0" w:color="auto"/>
                  </w:divBdr>
                </w:div>
              </w:divsChild>
            </w:div>
            <w:div w:id="1758674728">
              <w:marLeft w:val="0"/>
              <w:marRight w:val="0"/>
              <w:marTop w:val="0"/>
              <w:marBottom w:val="0"/>
              <w:divBdr>
                <w:top w:val="none" w:sz="0" w:space="0" w:color="auto"/>
                <w:left w:val="none" w:sz="0" w:space="0" w:color="auto"/>
                <w:bottom w:val="none" w:sz="0" w:space="0" w:color="auto"/>
                <w:right w:val="none" w:sz="0" w:space="0" w:color="auto"/>
              </w:divBdr>
              <w:divsChild>
                <w:div w:id="1692142759">
                  <w:marLeft w:val="0"/>
                  <w:marRight w:val="0"/>
                  <w:marTop w:val="0"/>
                  <w:marBottom w:val="0"/>
                  <w:divBdr>
                    <w:top w:val="none" w:sz="0" w:space="0" w:color="auto"/>
                    <w:left w:val="none" w:sz="0" w:space="0" w:color="auto"/>
                    <w:bottom w:val="none" w:sz="0" w:space="0" w:color="auto"/>
                    <w:right w:val="none" w:sz="0" w:space="0" w:color="auto"/>
                  </w:divBdr>
                </w:div>
                <w:div w:id="19134193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17999797">
      <w:bodyDiv w:val="1"/>
      <w:marLeft w:val="0"/>
      <w:marRight w:val="0"/>
      <w:marTop w:val="0"/>
      <w:marBottom w:val="0"/>
      <w:divBdr>
        <w:top w:val="none" w:sz="0" w:space="0" w:color="auto"/>
        <w:left w:val="none" w:sz="0" w:space="0" w:color="auto"/>
        <w:bottom w:val="none" w:sz="0" w:space="0" w:color="auto"/>
        <w:right w:val="none" w:sz="0" w:space="0" w:color="auto"/>
      </w:divBdr>
      <w:divsChild>
        <w:div w:id="1662391678">
          <w:marLeft w:val="0"/>
          <w:marRight w:val="0"/>
          <w:marTop w:val="0"/>
          <w:marBottom w:val="0"/>
          <w:divBdr>
            <w:top w:val="none" w:sz="0" w:space="0" w:color="auto"/>
            <w:left w:val="none" w:sz="0" w:space="0" w:color="auto"/>
            <w:bottom w:val="none" w:sz="0" w:space="0" w:color="auto"/>
            <w:right w:val="none" w:sz="0" w:space="0" w:color="auto"/>
          </w:divBdr>
          <w:divsChild>
            <w:div w:id="141167869">
              <w:marLeft w:val="0"/>
              <w:marRight w:val="0"/>
              <w:marTop w:val="0"/>
              <w:marBottom w:val="0"/>
              <w:divBdr>
                <w:top w:val="none" w:sz="0" w:space="0" w:color="auto"/>
                <w:left w:val="none" w:sz="0" w:space="0" w:color="auto"/>
                <w:bottom w:val="none" w:sz="0" w:space="0" w:color="auto"/>
                <w:right w:val="none" w:sz="0" w:space="0" w:color="auto"/>
              </w:divBdr>
              <w:divsChild>
                <w:div w:id="11541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7739">
      <w:bodyDiv w:val="1"/>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
      </w:divsChild>
    </w:div>
    <w:div w:id="1019891805">
      <w:bodyDiv w:val="1"/>
      <w:marLeft w:val="0"/>
      <w:marRight w:val="0"/>
      <w:marTop w:val="0"/>
      <w:marBottom w:val="0"/>
      <w:divBdr>
        <w:top w:val="none" w:sz="0" w:space="0" w:color="auto"/>
        <w:left w:val="none" w:sz="0" w:space="0" w:color="auto"/>
        <w:bottom w:val="none" w:sz="0" w:space="0" w:color="auto"/>
        <w:right w:val="none" w:sz="0" w:space="0" w:color="auto"/>
      </w:divBdr>
      <w:divsChild>
        <w:div w:id="1693335194">
          <w:marLeft w:val="0"/>
          <w:marRight w:val="0"/>
          <w:marTop w:val="0"/>
          <w:marBottom w:val="0"/>
          <w:divBdr>
            <w:top w:val="none" w:sz="0" w:space="0" w:color="auto"/>
            <w:left w:val="none" w:sz="0" w:space="0" w:color="auto"/>
            <w:bottom w:val="none" w:sz="0" w:space="0" w:color="auto"/>
            <w:right w:val="none" w:sz="0" w:space="0" w:color="auto"/>
          </w:divBdr>
          <w:divsChild>
            <w:div w:id="1059935437">
              <w:marLeft w:val="0"/>
              <w:marRight w:val="0"/>
              <w:marTop w:val="0"/>
              <w:marBottom w:val="0"/>
              <w:divBdr>
                <w:top w:val="none" w:sz="0" w:space="0" w:color="auto"/>
                <w:left w:val="none" w:sz="0" w:space="0" w:color="auto"/>
                <w:bottom w:val="none" w:sz="0" w:space="0" w:color="auto"/>
                <w:right w:val="none" w:sz="0" w:space="0" w:color="auto"/>
              </w:divBdr>
              <w:divsChild>
                <w:div w:id="876696647">
                  <w:marLeft w:val="0"/>
                  <w:marRight w:val="0"/>
                  <w:marTop w:val="0"/>
                  <w:marBottom w:val="0"/>
                  <w:divBdr>
                    <w:top w:val="none" w:sz="0" w:space="0" w:color="auto"/>
                    <w:left w:val="none" w:sz="0" w:space="0" w:color="auto"/>
                    <w:bottom w:val="none" w:sz="0" w:space="0" w:color="auto"/>
                    <w:right w:val="none" w:sz="0" w:space="0" w:color="auto"/>
                  </w:divBdr>
                </w:div>
                <w:div w:id="1516580778">
                  <w:marLeft w:val="0"/>
                  <w:marRight w:val="0"/>
                  <w:marTop w:val="120"/>
                  <w:marBottom w:val="0"/>
                  <w:divBdr>
                    <w:top w:val="none" w:sz="0" w:space="0" w:color="auto"/>
                    <w:left w:val="none" w:sz="0" w:space="0" w:color="auto"/>
                    <w:bottom w:val="none" w:sz="0" w:space="0" w:color="auto"/>
                    <w:right w:val="none" w:sz="0" w:space="0" w:color="auto"/>
                  </w:divBdr>
                </w:div>
              </w:divsChild>
            </w:div>
            <w:div w:id="1097363399">
              <w:marLeft w:val="0"/>
              <w:marRight w:val="0"/>
              <w:marTop w:val="0"/>
              <w:marBottom w:val="0"/>
              <w:divBdr>
                <w:top w:val="none" w:sz="0" w:space="0" w:color="auto"/>
                <w:left w:val="none" w:sz="0" w:space="0" w:color="auto"/>
                <w:bottom w:val="none" w:sz="0" w:space="0" w:color="auto"/>
                <w:right w:val="none" w:sz="0" w:space="0" w:color="auto"/>
              </w:divBdr>
              <w:divsChild>
                <w:div w:id="921329483">
                  <w:marLeft w:val="0"/>
                  <w:marRight w:val="0"/>
                  <w:marTop w:val="120"/>
                  <w:marBottom w:val="0"/>
                  <w:divBdr>
                    <w:top w:val="none" w:sz="0" w:space="0" w:color="auto"/>
                    <w:left w:val="none" w:sz="0" w:space="0" w:color="auto"/>
                    <w:bottom w:val="none" w:sz="0" w:space="0" w:color="auto"/>
                    <w:right w:val="none" w:sz="0" w:space="0" w:color="auto"/>
                  </w:divBdr>
                </w:div>
                <w:div w:id="15343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3673">
      <w:bodyDiv w:val="1"/>
      <w:marLeft w:val="0"/>
      <w:marRight w:val="0"/>
      <w:marTop w:val="0"/>
      <w:marBottom w:val="0"/>
      <w:divBdr>
        <w:top w:val="none" w:sz="0" w:space="0" w:color="auto"/>
        <w:left w:val="none" w:sz="0" w:space="0" w:color="auto"/>
        <w:bottom w:val="none" w:sz="0" w:space="0" w:color="auto"/>
        <w:right w:val="none" w:sz="0" w:space="0" w:color="auto"/>
      </w:divBdr>
      <w:divsChild>
        <w:div w:id="111020484">
          <w:marLeft w:val="0"/>
          <w:marRight w:val="0"/>
          <w:marTop w:val="0"/>
          <w:marBottom w:val="0"/>
          <w:divBdr>
            <w:top w:val="none" w:sz="0" w:space="0" w:color="auto"/>
            <w:left w:val="none" w:sz="0" w:space="0" w:color="auto"/>
            <w:bottom w:val="none" w:sz="0" w:space="0" w:color="auto"/>
            <w:right w:val="none" w:sz="0" w:space="0" w:color="auto"/>
          </w:divBdr>
        </w:div>
      </w:divsChild>
    </w:div>
    <w:div w:id="1024525534">
      <w:bodyDiv w:val="1"/>
      <w:marLeft w:val="0"/>
      <w:marRight w:val="0"/>
      <w:marTop w:val="0"/>
      <w:marBottom w:val="0"/>
      <w:divBdr>
        <w:top w:val="none" w:sz="0" w:space="0" w:color="auto"/>
        <w:left w:val="none" w:sz="0" w:space="0" w:color="auto"/>
        <w:bottom w:val="none" w:sz="0" w:space="0" w:color="auto"/>
        <w:right w:val="none" w:sz="0" w:space="0" w:color="auto"/>
      </w:divBdr>
      <w:divsChild>
        <w:div w:id="585846431">
          <w:marLeft w:val="0"/>
          <w:marRight w:val="0"/>
          <w:marTop w:val="0"/>
          <w:marBottom w:val="0"/>
          <w:divBdr>
            <w:top w:val="none" w:sz="0" w:space="0" w:color="auto"/>
            <w:left w:val="none" w:sz="0" w:space="0" w:color="auto"/>
            <w:bottom w:val="none" w:sz="0" w:space="0" w:color="auto"/>
            <w:right w:val="none" w:sz="0" w:space="0" w:color="auto"/>
          </w:divBdr>
          <w:divsChild>
            <w:div w:id="8947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2718">
      <w:bodyDiv w:val="1"/>
      <w:marLeft w:val="0"/>
      <w:marRight w:val="0"/>
      <w:marTop w:val="0"/>
      <w:marBottom w:val="0"/>
      <w:divBdr>
        <w:top w:val="none" w:sz="0" w:space="0" w:color="auto"/>
        <w:left w:val="none" w:sz="0" w:space="0" w:color="auto"/>
        <w:bottom w:val="none" w:sz="0" w:space="0" w:color="auto"/>
        <w:right w:val="none" w:sz="0" w:space="0" w:color="auto"/>
      </w:divBdr>
      <w:divsChild>
        <w:div w:id="1260137957">
          <w:marLeft w:val="0"/>
          <w:marRight w:val="0"/>
          <w:marTop w:val="0"/>
          <w:marBottom w:val="0"/>
          <w:divBdr>
            <w:top w:val="none" w:sz="0" w:space="0" w:color="auto"/>
            <w:left w:val="none" w:sz="0" w:space="0" w:color="auto"/>
            <w:bottom w:val="none" w:sz="0" w:space="0" w:color="auto"/>
            <w:right w:val="none" w:sz="0" w:space="0" w:color="auto"/>
          </w:divBdr>
        </w:div>
      </w:divsChild>
    </w:div>
    <w:div w:id="1031077972">
      <w:bodyDiv w:val="1"/>
      <w:marLeft w:val="0"/>
      <w:marRight w:val="0"/>
      <w:marTop w:val="0"/>
      <w:marBottom w:val="0"/>
      <w:divBdr>
        <w:top w:val="none" w:sz="0" w:space="0" w:color="auto"/>
        <w:left w:val="none" w:sz="0" w:space="0" w:color="auto"/>
        <w:bottom w:val="none" w:sz="0" w:space="0" w:color="auto"/>
        <w:right w:val="none" w:sz="0" w:space="0" w:color="auto"/>
      </w:divBdr>
      <w:divsChild>
        <w:div w:id="513958357">
          <w:marLeft w:val="0"/>
          <w:marRight w:val="0"/>
          <w:marTop w:val="0"/>
          <w:marBottom w:val="0"/>
          <w:divBdr>
            <w:top w:val="none" w:sz="0" w:space="0" w:color="auto"/>
            <w:left w:val="none" w:sz="0" w:space="0" w:color="auto"/>
            <w:bottom w:val="none" w:sz="0" w:space="0" w:color="auto"/>
            <w:right w:val="none" w:sz="0" w:space="0" w:color="auto"/>
          </w:divBdr>
          <w:divsChild>
            <w:div w:id="13593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61799">
      <w:bodyDiv w:val="1"/>
      <w:marLeft w:val="0"/>
      <w:marRight w:val="0"/>
      <w:marTop w:val="0"/>
      <w:marBottom w:val="0"/>
      <w:divBdr>
        <w:top w:val="none" w:sz="0" w:space="0" w:color="auto"/>
        <w:left w:val="none" w:sz="0" w:space="0" w:color="auto"/>
        <w:bottom w:val="none" w:sz="0" w:space="0" w:color="auto"/>
        <w:right w:val="none" w:sz="0" w:space="0" w:color="auto"/>
      </w:divBdr>
    </w:div>
    <w:div w:id="1040322013">
      <w:bodyDiv w:val="1"/>
      <w:marLeft w:val="0"/>
      <w:marRight w:val="0"/>
      <w:marTop w:val="0"/>
      <w:marBottom w:val="0"/>
      <w:divBdr>
        <w:top w:val="none" w:sz="0" w:space="0" w:color="auto"/>
        <w:left w:val="none" w:sz="0" w:space="0" w:color="auto"/>
        <w:bottom w:val="none" w:sz="0" w:space="0" w:color="auto"/>
        <w:right w:val="none" w:sz="0" w:space="0" w:color="auto"/>
      </w:divBdr>
      <w:divsChild>
        <w:div w:id="2016569857">
          <w:marLeft w:val="0"/>
          <w:marRight w:val="0"/>
          <w:marTop w:val="0"/>
          <w:marBottom w:val="0"/>
          <w:divBdr>
            <w:top w:val="none" w:sz="0" w:space="0" w:color="auto"/>
            <w:left w:val="none" w:sz="0" w:space="0" w:color="auto"/>
            <w:bottom w:val="none" w:sz="0" w:space="0" w:color="auto"/>
            <w:right w:val="none" w:sz="0" w:space="0" w:color="auto"/>
          </w:divBdr>
        </w:div>
      </w:divsChild>
    </w:div>
    <w:div w:id="1042901559">
      <w:bodyDiv w:val="1"/>
      <w:marLeft w:val="0"/>
      <w:marRight w:val="0"/>
      <w:marTop w:val="0"/>
      <w:marBottom w:val="0"/>
      <w:divBdr>
        <w:top w:val="none" w:sz="0" w:space="0" w:color="auto"/>
        <w:left w:val="none" w:sz="0" w:space="0" w:color="auto"/>
        <w:bottom w:val="none" w:sz="0" w:space="0" w:color="auto"/>
        <w:right w:val="none" w:sz="0" w:space="0" w:color="auto"/>
      </w:divBdr>
      <w:divsChild>
        <w:div w:id="1798066306">
          <w:marLeft w:val="0"/>
          <w:marRight w:val="0"/>
          <w:marTop w:val="0"/>
          <w:marBottom w:val="0"/>
          <w:divBdr>
            <w:top w:val="none" w:sz="0" w:space="0" w:color="auto"/>
            <w:left w:val="none" w:sz="0" w:space="0" w:color="auto"/>
            <w:bottom w:val="none" w:sz="0" w:space="0" w:color="auto"/>
            <w:right w:val="none" w:sz="0" w:space="0" w:color="auto"/>
          </w:divBdr>
          <w:divsChild>
            <w:div w:id="31591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29806">
      <w:bodyDiv w:val="1"/>
      <w:marLeft w:val="0"/>
      <w:marRight w:val="0"/>
      <w:marTop w:val="0"/>
      <w:marBottom w:val="0"/>
      <w:divBdr>
        <w:top w:val="none" w:sz="0" w:space="0" w:color="auto"/>
        <w:left w:val="none" w:sz="0" w:space="0" w:color="auto"/>
        <w:bottom w:val="none" w:sz="0" w:space="0" w:color="auto"/>
        <w:right w:val="none" w:sz="0" w:space="0" w:color="auto"/>
      </w:divBdr>
      <w:divsChild>
        <w:div w:id="50616151">
          <w:marLeft w:val="0"/>
          <w:marRight w:val="0"/>
          <w:marTop w:val="0"/>
          <w:marBottom w:val="0"/>
          <w:divBdr>
            <w:top w:val="none" w:sz="0" w:space="0" w:color="auto"/>
            <w:left w:val="none" w:sz="0" w:space="0" w:color="auto"/>
            <w:bottom w:val="none" w:sz="0" w:space="0" w:color="auto"/>
            <w:right w:val="none" w:sz="0" w:space="0" w:color="auto"/>
          </w:divBdr>
          <w:divsChild>
            <w:div w:id="21049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4425">
      <w:bodyDiv w:val="1"/>
      <w:marLeft w:val="0"/>
      <w:marRight w:val="0"/>
      <w:marTop w:val="0"/>
      <w:marBottom w:val="0"/>
      <w:divBdr>
        <w:top w:val="none" w:sz="0" w:space="0" w:color="auto"/>
        <w:left w:val="none" w:sz="0" w:space="0" w:color="auto"/>
        <w:bottom w:val="none" w:sz="0" w:space="0" w:color="auto"/>
        <w:right w:val="none" w:sz="0" w:space="0" w:color="auto"/>
      </w:divBdr>
      <w:divsChild>
        <w:div w:id="761220113">
          <w:marLeft w:val="0"/>
          <w:marRight w:val="0"/>
          <w:marTop w:val="0"/>
          <w:marBottom w:val="0"/>
          <w:divBdr>
            <w:top w:val="none" w:sz="0" w:space="0" w:color="auto"/>
            <w:left w:val="none" w:sz="0" w:space="0" w:color="auto"/>
            <w:bottom w:val="none" w:sz="0" w:space="0" w:color="auto"/>
            <w:right w:val="none" w:sz="0" w:space="0" w:color="auto"/>
          </w:divBdr>
        </w:div>
      </w:divsChild>
    </w:div>
    <w:div w:id="1051806288">
      <w:bodyDiv w:val="1"/>
      <w:marLeft w:val="0"/>
      <w:marRight w:val="0"/>
      <w:marTop w:val="0"/>
      <w:marBottom w:val="0"/>
      <w:divBdr>
        <w:top w:val="none" w:sz="0" w:space="0" w:color="auto"/>
        <w:left w:val="none" w:sz="0" w:space="0" w:color="auto"/>
        <w:bottom w:val="none" w:sz="0" w:space="0" w:color="auto"/>
        <w:right w:val="none" w:sz="0" w:space="0" w:color="auto"/>
      </w:divBdr>
      <w:divsChild>
        <w:div w:id="128061015">
          <w:marLeft w:val="0"/>
          <w:marRight w:val="0"/>
          <w:marTop w:val="0"/>
          <w:marBottom w:val="0"/>
          <w:divBdr>
            <w:top w:val="none" w:sz="0" w:space="0" w:color="auto"/>
            <w:left w:val="none" w:sz="0" w:space="0" w:color="auto"/>
            <w:bottom w:val="none" w:sz="0" w:space="0" w:color="auto"/>
            <w:right w:val="none" w:sz="0" w:space="0" w:color="auto"/>
          </w:divBdr>
        </w:div>
      </w:divsChild>
    </w:div>
    <w:div w:id="1056398544">
      <w:bodyDiv w:val="1"/>
      <w:marLeft w:val="0"/>
      <w:marRight w:val="0"/>
      <w:marTop w:val="0"/>
      <w:marBottom w:val="0"/>
      <w:divBdr>
        <w:top w:val="none" w:sz="0" w:space="0" w:color="auto"/>
        <w:left w:val="none" w:sz="0" w:space="0" w:color="auto"/>
        <w:bottom w:val="none" w:sz="0" w:space="0" w:color="auto"/>
        <w:right w:val="none" w:sz="0" w:space="0" w:color="auto"/>
      </w:divBdr>
      <w:divsChild>
        <w:div w:id="221603455">
          <w:marLeft w:val="0"/>
          <w:marRight w:val="0"/>
          <w:marTop w:val="0"/>
          <w:marBottom w:val="0"/>
          <w:divBdr>
            <w:top w:val="none" w:sz="0" w:space="0" w:color="auto"/>
            <w:left w:val="none" w:sz="0" w:space="0" w:color="auto"/>
            <w:bottom w:val="none" w:sz="0" w:space="0" w:color="auto"/>
            <w:right w:val="none" w:sz="0" w:space="0" w:color="auto"/>
          </w:divBdr>
        </w:div>
      </w:divsChild>
    </w:div>
    <w:div w:id="1057633405">
      <w:bodyDiv w:val="1"/>
      <w:marLeft w:val="0"/>
      <w:marRight w:val="0"/>
      <w:marTop w:val="0"/>
      <w:marBottom w:val="0"/>
      <w:divBdr>
        <w:top w:val="none" w:sz="0" w:space="0" w:color="auto"/>
        <w:left w:val="none" w:sz="0" w:space="0" w:color="auto"/>
        <w:bottom w:val="none" w:sz="0" w:space="0" w:color="auto"/>
        <w:right w:val="none" w:sz="0" w:space="0" w:color="auto"/>
      </w:divBdr>
      <w:divsChild>
        <w:div w:id="554049877">
          <w:marLeft w:val="0"/>
          <w:marRight w:val="0"/>
          <w:marTop w:val="0"/>
          <w:marBottom w:val="0"/>
          <w:divBdr>
            <w:top w:val="none" w:sz="0" w:space="0" w:color="auto"/>
            <w:left w:val="none" w:sz="0" w:space="0" w:color="auto"/>
            <w:bottom w:val="none" w:sz="0" w:space="0" w:color="auto"/>
            <w:right w:val="none" w:sz="0" w:space="0" w:color="auto"/>
          </w:divBdr>
        </w:div>
      </w:divsChild>
    </w:div>
    <w:div w:id="1058474111">
      <w:bodyDiv w:val="1"/>
      <w:marLeft w:val="0"/>
      <w:marRight w:val="0"/>
      <w:marTop w:val="0"/>
      <w:marBottom w:val="0"/>
      <w:divBdr>
        <w:top w:val="none" w:sz="0" w:space="0" w:color="auto"/>
        <w:left w:val="none" w:sz="0" w:space="0" w:color="auto"/>
        <w:bottom w:val="none" w:sz="0" w:space="0" w:color="auto"/>
        <w:right w:val="none" w:sz="0" w:space="0" w:color="auto"/>
      </w:divBdr>
      <w:divsChild>
        <w:div w:id="525217236">
          <w:marLeft w:val="0"/>
          <w:marRight w:val="0"/>
          <w:marTop w:val="0"/>
          <w:marBottom w:val="0"/>
          <w:divBdr>
            <w:top w:val="none" w:sz="0" w:space="0" w:color="auto"/>
            <w:left w:val="none" w:sz="0" w:space="0" w:color="auto"/>
            <w:bottom w:val="none" w:sz="0" w:space="0" w:color="auto"/>
            <w:right w:val="none" w:sz="0" w:space="0" w:color="auto"/>
          </w:divBdr>
          <w:divsChild>
            <w:div w:id="436944311">
              <w:marLeft w:val="0"/>
              <w:marRight w:val="0"/>
              <w:marTop w:val="0"/>
              <w:marBottom w:val="0"/>
              <w:divBdr>
                <w:top w:val="none" w:sz="0" w:space="0" w:color="auto"/>
                <w:left w:val="none" w:sz="0" w:space="0" w:color="auto"/>
                <w:bottom w:val="none" w:sz="0" w:space="0" w:color="auto"/>
                <w:right w:val="none" w:sz="0" w:space="0" w:color="auto"/>
              </w:divBdr>
            </w:div>
            <w:div w:id="2115398120">
              <w:marLeft w:val="0"/>
              <w:marRight w:val="0"/>
              <w:marTop w:val="120"/>
              <w:marBottom w:val="0"/>
              <w:divBdr>
                <w:top w:val="none" w:sz="0" w:space="0" w:color="auto"/>
                <w:left w:val="none" w:sz="0" w:space="0" w:color="auto"/>
                <w:bottom w:val="none" w:sz="0" w:space="0" w:color="auto"/>
                <w:right w:val="none" w:sz="0" w:space="0" w:color="auto"/>
              </w:divBdr>
            </w:div>
          </w:divsChild>
        </w:div>
        <w:div w:id="1569151556">
          <w:marLeft w:val="0"/>
          <w:marRight w:val="0"/>
          <w:marTop w:val="0"/>
          <w:marBottom w:val="0"/>
          <w:divBdr>
            <w:top w:val="none" w:sz="0" w:space="0" w:color="auto"/>
            <w:left w:val="none" w:sz="0" w:space="0" w:color="auto"/>
            <w:bottom w:val="none" w:sz="0" w:space="0" w:color="auto"/>
            <w:right w:val="none" w:sz="0" w:space="0" w:color="auto"/>
          </w:divBdr>
        </w:div>
        <w:div w:id="1639653370">
          <w:marLeft w:val="0"/>
          <w:marRight w:val="0"/>
          <w:marTop w:val="0"/>
          <w:marBottom w:val="0"/>
          <w:divBdr>
            <w:top w:val="none" w:sz="0" w:space="0" w:color="auto"/>
            <w:left w:val="none" w:sz="0" w:space="0" w:color="auto"/>
            <w:bottom w:val="none" w:sz="0" w:space="0" w:color="auto"/>
            <w:right w:val="none" w:sz="0" w:space="0" w:color="auto"/>
          </w:divBdr>
          <w:divsChild>
            <w:div w:id="569929081">
              <w:marLeft w:val="0"/>
              <w:marRight w:val="0"/>
              <w:marTop w:val="0"/>
              <w:marBottom w:val="0"/>
              <w:divBdr>
                <w:top w:val="none" w:sz="0" w:space="0" w:color="auto"/>
                <w:left w:val="none" w:sz="0" w:space="0" w:color="auto"/>
                <w:bottom w:val="none" w:sz="0" w:space="0" w:color="auto"/>
                <w:right w:val="none" w:sz="0" w:space="0" w:color="auto"/>
              </w:divBdr>
            </w:div>
            <w:div w:id="1013799770">
              <w:marLeft w:val="0"/>
              <w:marRight w:val="0"/>
              <w:marTop w:val="120"/>
              <w:marBottom w:val="0"/>
              <w:divBdr>
                <w:top w:val="none" w:sz="0" w:space="0" w:color="auto"/>
                <w:left w:val="none" w:sz="0" w:space="0" w:color="auto"/>
                <w:bottom w:val="none" w:sz="0" w:space="0" w:color="auto"/>
                <w:right w:val="none" w:sz="0" w:space="0" w:color="auto"/>
              </w:divBdr>
            </w:div>
          </w:divsChild>
        </w:div>
        <w:div w:id="1702433753">
          <w:marLeft w:val="0"/>
          <w:marRight w:val="0"/>
          <w:marTop w:val="0"/>
          <w:marBottom w:val="0"/>
          <w:divBdr>
            <w:top w:val="none" w:sz="0" w:space="0" w:color="auto"/>
            <w:left w:val="none" w:sz="0" w:space="0" w:color="auto"/>
            <w:bottom w:val="none" w:sz="0" w:space="0" w:color="auto"/>
            <w:right w:val="none" w:sz="0" w:space="0" w:color="auto"/>
          </w:divBdr>
          <w:divsChild>
            <w:div w:id="8211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6388">
      <w:bodyDiv w:val="1"/>
      <w:marLeft w:val="0"/>
      <w:marRight w:val="0"/>
      <w:marTop w:val="0"/>
      <w:marBottom w:val="0"/>
      <w:divBdr>
        <w:top w:val="none" w:sz="0" w:space="0" w:color="auto"/>
        <w:left w:val="none" w:sz="0" w:space="0" w:color="auto"/>
        <w:bottom w:val="none" w:sz="0" w:space="0" w:color="auto"/>
        <w:right w:val="none" w:sz="0" w:space="0" w:color="auto"/>
      </w:divBdr>
      <w:divsChild>
        <w:div w:id="47844187">
          <w:marLeft w:val="0"/>
          <w:marRight w:val="0"/>
          <w:marTop w:val="0"/>
          <w:marBottom w:val="0"/>
          <w:divBdr>
            <w:top w:val="none" w:sz="0" w:space="0" w:color="auto"/>
            <w:left w:val="none" w:sz="0" w:space="0" w:color="auto"/>
            <w:bottom w:val="none" w:sz="0" w:space="0" w:color="auto"/>
            <w:right w:val="none" w:sz="0" w:space="0" w:color="auto"/>
          </w:divBdr>
          <w:divsChild>
            <w:div w:id="17678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8840">
      <w:bodyDiv w:val="1"/>
      <w:marLeft w:val="0"/>
      <w:marRight w:val="0"/>
      <w:marTop w:val="0"/>
      <w:marBottom w:val="0"/>
      <w:divBdr>
        <w:top w:val="none" w:sz="0" w:space="0" w:color="auto"/>
        <w:left w:val="none" w:sz="0" w:space="0" w:color="auto"/>
        <w:bottom w:val="none" w:sz="0" w:space="0" w:color="auto"/>
        <w:right w:val="none" w:sz="0" w:space="0" w:color="auto"/>
      </w:divBdr>
      <w:divsChild>
        <w:div w:id="1485897860">
          <w:marLeft w:val="0"/>
          <w:marRight w:val="0"/>
          <w:marTop w:val="0"/>
          <w:marBottom w:val="0"/>
          <w:divBdr>
            <w:top w:val="none" w:sz="0" w:space="0" w:color="auto"/>
            <w:left w:val="none" w:sz="0" w:space="0" w:color="auto"/>
            <w:bottom w:val="none" w:sz="0" w:space="0" w:color="auto"/>
            <w:right w:val="none" w:sz="0" w:space="0" w:color="auto"/>
          </w:divBdr>
          <w:divsChild>
            <w:div w:id="8066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6352">
      <w:bodyDiv w:val="1"/>
      <w:marLeft w:val="0"/>
      <w:marRight w:val="0"/>
      <w:marTop w:val="0"/>
      <w:marBottom w:val="0"/>
      <w:divBdr>
        <w:top w:val="none" w:sz="0" w:space="0" w:color="auto"/>
        <w:left w:val="none" w:sz="0" w:space="0" w:color="auto"/>
        <w:bottom w:val="none" w:sz="0" w:space="0" w:color="auto"/>
        <w:right w:val="none" w:sz="0" w:space="0" w:color="auto"/>
      </w:divBdr>
      <w:divsChild>
        <w:div w:id="152649767">
          <w:marLeft w:val="0"/>
          <w:marRight w:val="0"/>
          <w:marTop w:val="0"/>
          <w:marBottom w:val="0"/>
          <w:divBdr>
            <w:top w:val="none" w:sz="0" w:space="0" w:color="auto"/>
            <w:left w:val="none" w:sz="0" w:space="0" w:color="auto"/>
            <w:bottom w:val="none" w:sz="0" w:space="0" w:color="auto"/>
            <w:right w:val="none" w:sz="0" w:space="0" w:color="auto"/>
          </w:divBdr>
        </w:div>
      </w:divsChild>
    </w:div>
    <w:div w:id="1084037128">
      <w:bodyDiv w:val="1"/>
      <w:marLeft w:val="0"/>
      <w:marRight w:val="0"/>
      <w:marTop w:val="0"/>
      <w:marBottom w:val="0"/>
      <w:divBdr>
        <w:top w:val="none" w:sz="0" w:space="0" w:color="auto"/>
        <w:left w:val="none" w:sz="0" w:space="0" w:color="auto"/>
        <w:bottom w:val="none" w:sz="0" w:space="0" w:color="auto"/>
        <w:right w:val="none" w:sz="0" w:space="0" w:color="auto"/>
      </w:divBdr>
      <w:divsChild>
        <w:div w:id="64884865">
          <w:marLeft w:val="0"/>
          <w:marRight w:val="0"/>
          <w:marTop w:val="0"/>
          <w:marBottom w:val="0"/>
          <w:divBdr>
            <w:top w:val="none" w:sz="0" w:space="0" w:color="auto"/>
            <w:left w:val="none" w:sz="0" w:space="0" w:color="auto"/>
            <w:bottom w:val="none" w:sz="0" w:space="0" w:color="auto"/>
            <w:right w:val="none" w:sz="0" w:space="0" w:color="auto"/>
          </w:divBdr>
          <w:divsChild>
            <w:div w:id="4805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0482">
      <w:bodyDiv w:val="1"/>
      <w:marLeft w:val="0"/>
      <w:marRight w:val="0"/>
      <w:marTop w:val="0"/>
      <w:marBottom w:val="0"/>
      <w:divBdr>
        <w:top w:val="none" w:sz="0" w:space="0" w:color="auto"/>
        <w:left w:val="none" w:sz="0" w:space="0" w:color="auto"/>
        <w:bottom w:val="none" w:sz="0" w:space="0" w:color="auto"/>
        <w:right w:val="none" w:sz="0" w:space="0" w:color="auto"/>
      </w:divBdr>
      <w:divsChild>
        <w:div w:id="294871679">
          <w:marLeft w:val="0"/>
          <w:marRight w:val="0"/>
          <w:marTop w:val="0"/>
          <w:marBottom w:val="0"/>
          <w:divBdr>
            <w:top w:val="none" w:sz="0" w:space="0" w:color="auto"/>
            <w:left w:val="none" w:sz="0" w:space="0" w:color="auto"/>
            <w:bottom w:val="none" w:sz="0" w:space="0" w:color="auto"/>
            <w:right w:val="none" w:sz="0" w:space="0" w:color="auto"/>
          </w:divBdr>
        </w:div>
      </w:divsChild>
    </w:div>
    <w:div w:id="1092433189">
      <w:bodyDiv w:val="1"/>
      <w:marLeft w:val="0"/>
      <w:marRight w:val="0"/>
      <w:marTop w:val="0"/>
      <w:marBottom w:val="0"/>
      <w:divBdr>
        <w:top w:val="none" w:sz="0" w:space="0" w:color="auto"/>
        <w:left w:val="none" w:sz="0" w:space="0" w:color="auto"/>
        <w:bottom w:val="none" w:sz="0" w:space="0" w:color="auto"/>
        <w:right w:val="none" w:sz="0" w:space="0" w:color="auto"/>
      </w:divBdr>
      <w:divsChild>
        <w:div w:id="866984307">
          <w:marLeft w:val="0"/>
          <w:marRight w:val="0"/>
          <w:marTop w:val="0"/>
          <w:marBottom w:val="0"/>
          <w:divBdr>
            <w:top w:val="none" w:sz="0" w:space="0" w:color="auto"/>
            <w:left w:val="none" w:sz="0" w:space="0" w:color="auto"/>
            <w:bottom w:val="none" w:sz="0" w:space="0" w:color="auto"/>
            <w:right w:val="none" w:sz="0" w:space="0" w:color="auto"/>
          </w:divBdr>
          <w:divsChild>
            <w:div w:id="134494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7655">
      <w:bodyDiv w:val="1"/>
      <w:marLeft w:val="0"/>
      <w:marRight w:val="0"/>
      <w:marTop w:val="0"/>
      <w:marBottom w:val="0"/>
      <w:divBdr>
        <w:top w:val="none" w:sz="0" w:space="0" w:color="auto"/>
        <w:left w:val="none" w:sz="0" w:space="0" w:color="auto"/>
        <w:bottom w:val="none" w:sz="0" w:space="0" w:color="auto"/>
        <w:right w:val="none" w:sz="0" w:space="0" w:color="auto"/>
      </w:divBdr>
      <w:divsChild>
        <w:div w:id="179273535">
          <w:marLeft w:val="0"/>
          <w:marRight w:val="0"/>
          <w:marTop w:val="0"/>
          <w:marBottom w:val="0"/>
          <w:divBdr>
            <w:top w:val="none" w:sz="0" w:space="0" w:color="auto"/>
            <w:left w:val="none" w:sz="0" w:space="0" w:color="auto"/>
            <w:bottom w:val="none" w:sz="0" w:space="0" w:color="auto"/>
            <w:right w:val="none" w:sz="0" w:space="0" w:color="auto"/>
          </w:divBdr>
          <w:divsChild>
            <w:div w:id="1029138099">
              <w:marLeft w:val="0"/>
              <w:marRight w:val="0"/>
              <w:marTop w:val="0"/>
              <w:marBottom w:val="0"/>
              <w:divBdr>
                <w:top w:val="none" w:sz="0" w:space="0" w:color="auto"/>
                <w:left w:val="none" w:sz="0" w:space="0" w:color="auto"/>
                <w:bottom w:val="none" w:sz="0" w:space="0" w:color="auto"/>
                <w:right w:val="none" w:sz="0" w:space="0" w:color="auto"/>
              </w:divBdr>
            </w:div>
          </w:divsChild>
        </w:div>
        <w:div w:id="406266884">
          <w:marLeft w:val="0"/>
          <w:marRight w:val="0"/>
          <w:marTop w:val="0"/>
          <w:marBottom w:val="0"/>
          <w:divBdr>
            <w:top w:val="none" w:sz="0" w:space="0" w:color="auto"/>
            <w:left w:val="none" w:sz="0" w:space="0" w:color="auto"/>
            <w:bottom w:val="none" w:sz="0" w:space="0" w:color="auto"/>
            <w:right w:val="none" w:sz="0" w:space="0" w:color="auto"/>
          </w:divBdr>
          <w:divsChild>
            <w:div w:id="833958232">
              <w:marLeft w:val="0"/>
              <w:marRight w:val="0"/>
              <w:marTop w:val="0"/>
              <w:marBottom w:val="0"/>
              <w:divBdr>
                <w:top w:val="none" w:sz="0" w:space="0" w:color="auto"/>
                <w:left w:val="none" w:sz="0" w:space="0" w:color="auto"/>
                <w:bottom w:val="none" w:sz="0" w:space="0" w:color="auto"/>
                <w:right w:val="none" w:sz="0" w:space="0" w:color="auto"/>
              </w:divBdr>
            </w:div>
          </w:divsChild>
        </w:div>
        <w:div w:id="1158229050">
          <w:marLeft w:val="0"/>
          <w:marRight w:val="0"/>
          <w:marTop w:val="0"/>
          <w:marBottom w:val="0"/>
          <w:divBdr>
            <w:top w:val="none" w:sz="0" w:space="0" w:color="auto"/>
            <w:left w:val="none" w:sz="0" w:space="0" w:color="auto"/>
            <w:bottom w:val="none" w:sz="0" w:space="0" w:color="auto"/>
            <w:right w:val="none" w:sz="0" w:space="0" w:color="auto"/>
          </w:divBdr>
          <w:divsChild>
            <w:div w:id="1777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94298">
      <w:bodyDiv w:val="1"/>
      <w:marLeft w:val="0"/>
      <w:marRight w:val="0"/>
      <w:marTop w:val="0"/>
      <w:marBottom w:val="0"/>
      <w:divBdr>
        <w:top w:val="none" w:sz="0" w:space="0" w:color="auto"/>
        <w:left w:val="none" w:sz="0" w:space="0" w:color="auto"/>
        <w:bottom w:val="none" w:sz="0" w:space="0" w:color="auto"/>
        <w:right w:val="none" w:sz="0" w:space="0" w:color="auto"/>
      </w:divBdr>
      <w:divsChild>
        <w:div w:id="864515218">
          <w:marLeft w:val="0"/>
          <w:marRight w:val="0"/>
          <w:marTop w:val="0"/>
          <w:marBottom w:val="0"/>
          <w:divBdr>
            <w:top w:val="none" w:sz="0" w:space="0" w:color="auto"/>
            <w:left w:val="none" w:sz="0" w:space="0" w:color="auto"/>
            <w:bottom w:val="none" w:sz="0" w:space="0" w:color="auto"/>
            <w:right w:val="none" w:sz="0" w:space="0" w:color="auto"/>
          </w:divBdr>
        </w:div>
      </w:divsChild>
    </w:div>
    <w:div w:id="1102381840">
      <w:bodyDiv w:val="1"/>
      <w:marLeft w:val="0"/>
      <w:marRight w:val="0"/>
      <w:marTop w:val="0"/>
      <w:marBottom w:val="0"/>
      <w:divBdr>
        <w:top w:val="none" w:sz="0" w:space="0" w:color="auto"/>
        <w:left w:val="none" w:sz="0" w:space="0" w:color="auto"/>
        <w:bottom w:val="none" w:sz="0" w:space="0" w:color="auto"/>
        <w:right w:val="none" w:sz="0" w:space="0" w:color="auto"/>
      </w:divBdr>
      <w:divsChild>
        <w:div w:id="1095202996">
          <w:marLeft w:val="0"/>
          <w:marRight w:val="0"/>
          <w:marTop w:val="0"/>
          <w:marBottom w:val="0"/>
          <w:divBdr>
            <w:top w:val="none" w:sz="0" w:space="0" w:color="auto"/>
            <w:left w:val="none" w:sz="0" w:space="0" w:color="auto"/>
            <w:bottom w:val="none" w:sz="0" w:space="0" w:color="auto"/>
            <w:right w:val="none" w:sz="0" w:space="0" w:color="auto"/>
          </w:divBdr>
          <w:divsChild>
            <w:div w:id="4534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3348">
      <w:bodyDiv w:val="1"/>
      <w:marLeft w:val="0"/>
      <w:marRight w:val="0"/>
      <w:marTop w:val="0"/>
      <w:marBottom w:val="0"/>
      <w:divBdr>
        <w:top w:val="none" w:sz="0" w:space="0" w:color="auto"/>
        <w:left w:val="none" w:sz="0" w:space="0" w:color="auto"/>
        <w:bottom w:val="none" w:sz="0" w:space="0" w:color="auto"/>
        <w:right w:val="none" w:sz="0" w:space="0" w:color="auto"/>
      </w:divBdr>
      <w:divsChild>
        <w:div w:id="896403735">
          <w:marLeft w:val="0"/>
          <w:marRight w:val="0"/>
          <w:marTop w:val="0"/>
          <w:marBottom w:val="0"/>
          <w:divBdr>
            <w:top w:val="none" w:sz="0" w:space="0" w:color="auto"/>
            <w:left w:val="none" w:sz="0" w:space="0" w:color="auto"/>
            <w:bottom w:val="none" w:sz="0" w:space="0" w:color="auto"/>
            <w:right w:val="none" w:sz="0" w:space="0" w:color="auto"/>
          </w:divBdr>
        </w:div>
      </w:divsChild>
    </w:div>
    <w:div w:id="1104810715">
      <w:bodyDiv w:val="1"/>
      <w:marLeft w:val="0"/>
      <w:marRight w:val="0"/>
      <w:marTop w:val="0"/>
      <w:marBottom w:val="0"/>
      <w:divBdr>
        <w:top w:val="none" w:sz="0" w:space="0" w:color="auto"/>
        <w:left w:val="none" w:sz="0" w:space="0" w:color="auto"/>
        <w:bottom w:val="none" w:sz="0" w:space="0" w:color="auto"/>
        <w:right w:val="none" w:sz="0" w:space="0" w:color="auto"/>
      </w:divBdr>
      <w:divsChild>
        <w:div w:id="380834729">
          <w:marLeft w:val="0"/>
          <w:marRight w:val="0"/>
          <w:marTop w:val="0"/>
          <w:marBottom w:val="0"/>
          <w:divBdr>
            <w:top w:val="none" w:sz="0" w:space="0" w:color="auto"/>
            <w:left w:val="none" w:sz="0" w:space="0" w:color="auto"/>
            <w:bottom w:val="none" w:sz="0" w:space="0" w:color="auto"/>
            <w:right w:val="none" w:sz="0" w:space="0" w:color="auto"/>
          </w:divBdr>
          <w:divsChild>
            <w:div w:id="1815291713">
              <w:marLeft w:val="0"/>
              <w:marRight w:val="0"/>
              <w:marTop w:val="0"/>
              <w:marBottom w:val="0"/>
              <w:divBdr>
                <w:top w:val="none" w:sz="0" w:space="0" w:color="auto"/>
                <w:left w:val="none" w:sz="0" w:space="0" w:color="auto"/>
                <w:bottom w:val="none" w:sz="0" w:space="0" w:color="auto"/>
                <w:right w:val="none" w:sz="0" w:space="0" w:color="auto"/>
              </w:divBdr>
              <w:divsChild>
                <w:div w:id="409351795">
                  <w:marLeft w:val="0"/>
                  <w:marRight w:val="0"/>
                  <w:marTop w:val="0"/>
                  <w:marBottom w:val="0"/>
                  <w:divBdr>
                    <w:top w:val="none" w:sz="0" w:space="0" w:color="auto"/>
                    <w:left w:val="none" w:sz="0" w:space="0" w:color="auto"/>
                    <w:bottom w:val="none" w:sz="0" w:space="0" w:color="auto"/>
                    <w:right w:val="none" w:sz="0" w:space="0" w:color="auto"/>
                  </w:divBdr>
                  <w:divsChild>
                    <w:div w:id="274093339">
                      <w:marLeft w:val="0"/>
                      <w:marRight w:val="0"/>
                      <w:marTop w:val="0"/>
                      <w:marBottom w:val="0"/>
                      <w:divBdr>
                        <w:top w:val="none" w:sz="0" w:space="0" w:color="auto"/>
                        <w:left w:val="none" w:sz="0" w:space="0" w:color="auto"/>
                        <w:bottom w:val="none" w:sz="0" w:space="0" w:color="auto"/>
                        <w:right w:val="none" w:sz="0" w:space="0" w:color="auto"/>
                      </w:divBdr>
                      <w:divsChild>
                        <w:div w:id="1169491118">
                          <w:marLeft w:val="0"/>
                          <w:marRight w:val="0"/>
                          <w:marTop w:val="0"/>
                          <w:marBottom w:val="0"/>
                          <w:divBdr>
                            <w:top w:val="none" w:sz="0" w:space="0" w:color="auto"/>
                            <w:left w:val="none" w:sz="0" w:space="0" w:color="auto"/>
                            <w:bottom w:val="none" w:sz="0" w:space="0" w:color="auto"/>
                            <w:right w:val="none" w:sz="0" w:space="0" w:color="auto"/>
                          </w:divBdr>
                        </w:div>
                        <w:div w:id="1463966051">
                          <w:marLeft w:val="0"/>
                          <w:marRight w:val="0"/>
                          <w:marTop w:val="120"/>
                          <w:marBottom w:val="0"/>
                          <w:divBdr>
                            <w:top w:val="none" w:sz="0" w:space="0" w:color="auto"/>
                            <w:left w:val="none" w:sz="0" w:space="0" w:color="auto"/>
                            <w:bottom w:val="none" w:sz="0" w:space="0" w:color="auto"/>
                            <w:right w:val="none" w:sz="0" w:space="0" w:color="auto"/>
                          </w:divBdr>
                        </w:div>
                      </w:divsChild>
                    </w:div>
                    <w:div w:id="508258135">
                      <w:marLeft w:val="0"/>
                      <w:marRight w:val="0"/>
                      <w:marTop w:val="0"/>
                      <w:marBottom w:val="0"/>
                      <w:divBdr>
                        <w:top w:val="none" w:sz="0" w:space="0" w:color="auto"/>
                        <w:left w:val="none" w:sz="0" w:space="0" w:color="auto"/>
                        <w:bottom w:val="none" w:sz="0" w:space="0" w:color="auto"/>
                        <w:right w:val="none" w:sz="0" w:space="0" w:color="auto"/>
                      </w:divBdr>
                      <w:divsChild>
                        <w:div w:id="1183084035">
                          <w:marLeft w:val="0"/>
                          <w:marRight w:val="0"/>
                          <w:marTop w:val="0"/>
                          <w:marBottom w:val="0"/>
                          <w:divBdr>
                            <w:top w:val="none" w:sz="0" w:space="0" w:color="auto"/>
                            <w:left w:val="none" w:sz="0" w:space="0" w:color="auto"/>
                            <w:bottom w:val="none" w:sz="0" w:space="0" w:color="auto"/>
                            <w:right w:val="none" w:sz="0" w:space="0" w:color="auto"/>
                          </w:divBdr>
                        </w:div>
                        <w:div w:id="2133748325">
                          <w:marLeft w:val="0"/>
                          <w:marRight w:val="0"/>
                          <w:marTop w:val="120"/>
                          <w:marBottom w:val="0"/>
                          <w:divBdr>
                            <w:top w:val="none" w:sz="0" w:space="0" w:color="auto"/>
                            <w:left w:val="none" w:sz="0" w:space="0" w:color="auto"/>
                            <w:bottom w:val="none" w:sz="0" w:space="0" w:color="auto"/>
                            <w:right w:val="none" w:sz="0" w:space="0" w:color="auto"/>
                          </w:divBdr>
                        </w:div>
                      </w:divsChild>
                    </w:div>
                    <w:div w:id="1058283976">
                      <w:marLeft w:val="0"/>
                      <w:marRight w:val="0"/>
                      <w:marTop w:val="0"/>
                      <w:marBottom w:val="0"/>
                      <w:divBdr>
                        <w:top w:val="none" w:sz="0" w:space="0" w:color="auto"/>
                        <w:left w:val="none" w:sz="0" w:space="0" w:color="auto"/>
                        <w:bottom w:val="none" w:sz="0" w:space="0" w:color="auto"/>
                        <w:right w:val="none" w:sz="0" w:space="0" w:color="auto"/>
                      </w:divBdr>
                      <w:divsChild>
                        <w:div w:id="36786287">
                          <w:marLeft w:val="0"/>
                          <w:marRight w:val="0"/>
                          <w:marTop w:val="120"/>
                          <w:marBottom w:val="0"/>
                          <w:divBdr>
                            <w:top w:val="none" w:sz="0" w:space="0" w:color="auto"/>
                            <w:left w:val="none" w:sz="0" w:space="0" w:color="auto"/>
                            <w:bottom w:val="none" w:sz="0" w:space="0" w:color="auto"/>
                            <w:right w:val="none" w:sz="0" w:space="0" w:color="auto"/>
                          </w:divBdr>
                        </w:div>
                        <w:div w:id="1629243619">
                          <w:marLeft w:val="0"/>
                          <w:marRight w:val="0"/>
                          <w:marTop w:val="0"/>
                          <w:marBottom w:val="0"/>
                          <w:divBdr>
                            <w:top w:val="none" w:sz="0" w:space="0" w:color="auto"/>
                            <w:left w:val="none" w:sz="0" w:space="0" w:color="auto"/>
                            <w:bottom w:val="none" w:sz="0" w:space="0" w:color="auto"/>
                            <w:right w:val="none" w:sz="0" w:space="0" w:color="auto"/>
                          </w:divBdr>
                        </w:div>
                      </w:divsChild>
                    </w:div>
                    <w:div w:id="1140419841">
                      <w:marLeft w:val="0"/>
                      <w:marRight w:val="0"/>
                      <w:marTop w:val="0"/>
                      <w:marBottom w:val="0"/>
                      <w:divBdr>
                        <w:top w:val="none" w:sz="0" w:space="0" w:color="auto"/>
                        <w:left w:val="none" w:sz="0" w:space="0" w:color="auto"/>
                        <w:bottom w:val="none" w:sz="0" w:space="0" w:color="auto"/>
                        <w:right w:val="none" w:sz="0" w:space="0" w:color="auto"/>
                      </w:divBdr>
                      <w:divsChild>
                        <w:div w:id="37165980">
                          <w:marLeft w:val="0"/>
                          <w:marRight w:val="0"/>
                          <w:marTop w:val="120"/>
                          <w:marBottom w:val="0"/>
                          <w:divBdr>
                            <w:top w:val="none" w:sz="0" w:space="0" w:color="auto"/>
                            <w:left w:val="none" w:sz="0" w:space="0" w:color="auto"/>
                            <w:bottom w:val="none" w:sz="0" w:space="0" w:color="auto"/>
                            <w:right w:val="none" w:sz="0" w:space="0" w:color="auto"/>
                          </w:divBdr>
                        </w:div>
                        <w:div w:id="120182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786863">
      <w:bodyDiv w:val="1"/>
      <w:marLeft w:val="0"/>
      <w:marRight w:val="0"/>
      <w:marTop w:val="0"/>
      <w:marBottom w:val="0"/>
      <w:divBdr>
        <w:top w:val="none" w:sz="0" w:space="0" w:color="auto"/>
        <w:left w:val="none" w:sz="0" w:space="0" w:color="auto"/>
        <w:bottom w:val="none" w:sz="0" w:space="0" w:color="auto"/>
        <w:right w:val="none" w:sz="0" w:space="0" w:color="auto"/>
      </w:divBdr>
      <w:divsChild>
        <w:div w:id="1718429957">
          <w:marLeft w:val="0"/>
          <w:marRight w:val="0"/>
          <w:marTop w:val="0"/>
          <w:marBottom w:val="0"/>
          <w:divBdr>
            <w:top w:val="none" w:sz="0" w:space="0" w:color="auto"/>
            <w:left w:val="none" w:sz="0" w:space="0" w:color="auto"/>
            <w:bottom w:val="none" w:sz="0" w:space="0" w:color="auto"/>
            <w:right w:val="none" w:sz="0" w:space="0" w:color="auto"/>
          </w:divBdr>
          <w:divsChild>
            <w:div w:id="571307165">
              <w:marLeft w:val="0"/>
              <w:marRight w:val="0"/>
              <w:marTop w:val="0"/>
              <w:marBottom w:val="0"/>
              <w:divBdr>
                <w:top w:val="none" w:sz="0" w:space="0" w:color="auto"/>
                <w:left w:val="none" w:sz="0" w:space="0" w:color="auto"/>
                <w:bottom w:val="none" w:sz="0" w:space="0" w:color="auto"/>
                <w:right w:val="none" w:sz="0" w:space="0" w:color="auto"/>
              </w:divBdr>
              <w:divsChild>
                <w:div w:id="259604996">
                  <w:marLeft w:val="0"/>
                  <w:marRight w:val="0"/>
                  <w:marTop w:val="0"/>
                  <w:marBottom w:val="0"/>
                  <w:divBdr>
                    <w:top w:val="none" w:sz="0" w:space="0" w:color="auto"/>
                    <w:left w:val="none" w:sz="0" w:space="0" w:color="auto"/>
                    <w:bottom w:val="none" w:sz="0" w:space="0" w:color="auto"/>
                    <w:right w:val="none" w:sz="0" w:space="0" w:color="auto"/>
                  </w:divBdr>
                </w:div>
                <w:div w:id="1671761421">
                  <w:marLeft w:val="0"/>
                  <w:marRight w:val="0"/>
                  <w:marTop w:val="120"/>
                  <w:marBottom w:val="0"/>
                  <w:divBdr>
                    <w:top w:val="none" w:sz="0" w:space="0" w:color="auto"/>
                    <w:left w:val="none" w:sz="0" w:space="0" w:color="auto"/>
                    <w:bottom w:val="none" w:sz="0" w:space="0" w:color="auto"/>
                    <w:right w:val="none" w:sz="0" w:space="0" w:color="auto"/>
                  </w:divBdr>
                </w:div>
              </w:divsChild>
            </w:div>
            <w:div w:id="602156238">
              <w:marLeft w:val="0"/>
              <w:marRight w:val="0"/>
              <w:marTop w:val="0"/>
              <w:marBottom w:val="0"/>
              <w:divBdr>
                <w:top w:val="none" w:sz="0" w:space="0" w:color="auto"/>
                <w:left w:val="none" w:sz="0" w:space="0" w:color="auto"/>
                <w:bottom w:val="none" w:sz="0" w:space="0" w:color="auto"/>
                <w:right w:val="none" w:sz="0" w:space="0" w:color="auto"/>
              </w:divBdr>
              <w:divsChild>
                <w:div w:id="56981583">
                  <w:marLeft w:val="0"/>
                  <w:marRight w:val="0"/>
                  <w:marTop w:val="0"/>
                  <w:marBottom w:val="0"/>
                  <w:divBdr>
                    <w:top w:val="none" w:sz="0" w:space="0" w:color="auto"/>
                    <w:left w:val="none" w:sz="0" w:space="0" w:color="auto"/>
                    <w:bottom w:val="none" w:sz="0" w:space="0" w:color="auto"/>
                    <w:right w:val="none" w:sz="0" w:space="0" w:color="auto"/>
                  </w:divBdr>
                </w:div>
                <w:div w:id="1261598305">
                  <w:marLeft w:val="0"/>
                  <w:marRight w:val="0"/>
                  <w:marTop w:val="120"/>
                  <w:marBottom w:val="0"/>
                  <w:divBdr>
                    <w:top w:val="none" w:sz="0" w:space="0" w:color="auto"/>
                    <w:left w:val="none" w:sz="0" w:space="0" w:color="auto"/>
                    <w:bottom w:val="none" w:sz="0" w:space="0" w:color="auto"/>
                    <w:right w:val="none" w:sz="0" w:space="0" w:color="auto"/>
                  </w:divBdr>
                </w:div>
              </w:divsChild>
            </w:div>
            <w:div w:id="794909509">
              <w:marLeft w:val="0"/>
              <w:marRight w:val="0"/>
              <w:marTop w:val="0"/>
              <w:marBottom w:val="0"/>
              <w:divBdr>
                <w:top w:val="none" w:sz="0" w:space="0" w:color="auto"/>
                <w:left w:val="none" w:sz="0" w:space="0" w:color="auto"/>
                <w:bottom w:val="none" w:sz="0" w:space="0" w:color="auto"/>
                <w:right w:val="none" w:sz="0" w:space="0" w:color="auto"/>
              </w:divBdr>
              <w:divsChild>
                <w:div w:id="1116438316">
                  <w:marLeft w:val="0"/>
                  <w:marRight w:val="0"/>
                  <w:marTop w:val="120"/>
                  <w:marBottom w:val="0"/>
                  <w:divBdr>
                    <w:top w:val="none" w:sz="0" w:space="0" w:color="auto"/>
                    <w:left w:val="none" w:sz="0" w:space="0" w:color="auto"/>
                    <w:bottom w:val="none" w:sz="0" w:space="0" w:color="auto"/>
                    <w:right w:val="none" w:sz="0" w:space="0" w:color="auto"/>
                  </w:divBdr>
                </w:div>
                <w:div w:id="1862546126">
                  <w:marLeft w:val="0"/>
                  <w:marRight w:val="0"/>
                  <w:marTop w:val="0"/>
                  <w:marBottom w:val="0"/>
                  <w:divBdr>
                    <w:top w:val="none" w:sz="0" w:space="0" w:color="auto"/>
                    <w:left w:val="none" w:sz="0" w:space="0" w:color="auto"/>
                    <w:bottom w:val="none" w:sz="0" w:space="0" w:color="auto"/>
                    <w:right w:val="none" w:sz="0" w:space="0" w:color="auto"/>
                  </w:divBdr>
                </w:div>
              </w:divsChild>
            </w:div>
            <w:div w:id="831220103">
              <w:marLeft w:val="0"/>
              <w:marRight w:val="0"/>
              <w:marTop w:val="0"/>
              <w:marBottom w:val="0"/>
              <w:divBdr>
                <w:top w:val="none" w:sz="0" w:space="0" w:color="auto"/>
                <w:left w:val="none" w:sz="0" w:space="0" w:color="auto"/>
                <w:bottom w:val="none" w:sz="0" w:space="0" w:color="auto"/>
                <w:right w:val="none" w:sz="0" w:space="0" w:color="auto"/>
              </w:divBdr>
              <w:divsChild>
                <w:div w:id="918368621">
                  <w:marLeft w:val="0"/>
                  <w:marRight w:val="0"/>
                  <w:marTop w:val="0"/>
                  <w:marBottom w:val="0"/>
                  <w:divBdr>
                    <w:top w:val="none" w:sz="0" w:space="0" w:color="auto"/>
                    <w:left w:val="none" w:sz="0" w:space="0" w:color="auto"/>
                    <w:bottom w:val="none" w:sz="0" w:space="0" w:color="auto"/>
                    <w:right w:val="none" w:sz="0" w:space="0" w:color="auto"/>
                  </w:divBdr>
                </w:div>
                <w:div w:id="1392927916">
                  <w:marLeft w:val="0"/>
                  <w:marRight w:val="0"/>
                  <w:marTop w:val="120"/>
                  <w:marBottom w:val="0"/>
                  <w:divBdr>
                    <w:top w:val="none" w:sz="0" w:space="0" w:color="auto"/>
                    <w:left w:val="none" w:sz="0" w:space="0" w:color="auto"/>
                    <w:bottom w:val="none" w:sz="0" w:space="0" w:color="auto"/>
                    <w:right w:val="none" w:sz="0" w:space="0" w:color="auto"/>
                  </w:divBdr>
                </w:div>
              </w:divsChild>
            </w:div>
            <w:div w:id="936058458">
              <w:marLeft w:val="0"/>
              <w:marRight w:val="0"/>
              <w:marTop w:val="0"/>
              <w:marBottom w:val="0"/>
              <w:divBdr>
                <w:top w:val="none" w:sz="0" w:space="0" w:color="auto"/>
                <w:left w:val="none" w:sz="0" w:space="0" w:color="auto"/>
                <w:bottom w:val="none" w:sz="0" w:space="0" w:color="auto"/>
                <w:right w:val="none" w:sz="0" w:space="0" w:color="auto"/>
              </w:divBdr>
              <w:divsChild>
                <w:div w:id="93289558">
                  <w:marLeft w:val="0"/>
                  <w:marRight w:val="0"/>
                  <w:marTop w:val="120"/>
                  <w:marBottom w:val="0"/>
                  <w:divBdr>
                    <w:top w:val="none" w:sz="0" w:space="0" w:color="auto"/>
                    <w:left w:val="none" w:sz="0" w:space="0" w:color="auto"/>
                    <w:bottom w:val="none" w:sz="0" w:space="0" w:color="auto"/>
                    <w:right w:val="none" w:sz="0" w:space="0" w:color="auto"/>
                  </w:divBdr>
                </w:div>
                <w:div w:id="405228651">
                  <w:marLeft w:val="0"/>
                  <w:marRight w:val="0"/>
                  <w:marTop w:val="0"/>
                  <w:marBottom w:val="0"/>
                  <w:divBdr>
                    <w:top w:val="none" w:sz="0" w:space="0" w:color="auto"/>
                    <w:left w:val="none" w:sz="0" w:space="0" w:color="auto"/>
                    <w:bottom w:val="none" w:sz="0" w:space="0" w:color="auto"/>
                    <w:right w:val="none" w:sz="0" w:space="0" w:color="auto"/>
                  </w:divBdr>
                </w:div>
              </w:divsChild>
            </w:div>
            <w:div w:id="991443416">
              <w:marLeft w:val="0"/>
              <w:marRight w:val="0"/>
              <w:marTop w:val="0"/>
              <w:marBottom w:val="0"/>
              <w:divBdr>
                <w:top w:val="none" w:sz="0" w:space="0" w:color="auto"/>
                <w:left w:val="none" w:sz="0" w:space="0" w:color="auto"/>
                <w:bottom w:val="none" w:sz="0" w:space="0" w:color="auto"/>
                <w:right w:val="none" w:sz="0" w:space="0" w:color="auto"/>
              </w:divBdr>
              <w:divsChild>
                <w:div w:id="697975204">
                  <w:marLeft w:val="0"/>
                  <w:marRight w:val="0"/>
                  <w:marTop w:val="0"/>
                  <w:marBottom w:val="0"/>
                  <w:divBdr>
                    <w:top w:val="none" w:sz="0" w:space="0" w:color="auto"/>
                    <w:left w:val="none" w:sz="0" w:space="0" w:color="auto"/>
                    <w:bottom w:val="none" w:sz="0" w:space="0" w:color="auto"/>
                    <w:right w:val="none" w:sz="0" w:space="0" w:color="auto"/>
                  </w:divBdr>
                </w:div>
                <w:div w:id="1948349676">
                  <w:marLeft w:val="0"/>
                  <w:marRight w:val="0"/>
                  <w:marTop w:val="120"/>
                  <w:marBottom w:val="0"/>
                  <w:divBdr>
                    <w:top w:val="none" w:sz="0" w:space="0" w:color="auto"/>
                    <w:left w:val="none" w:sz="0" w:space="0" w:color="auto"/>
                    <w:bottom w:val="none" w:sz="0" w:space="0" w:color="auto"/>
                    <w:right w:val="none" w:sz="0" w:space="0" w:color="auto"/>
                  </w:divBdr>
                </w:div>
              </w:divsChild>
            </w:div>
            <w:div w:id="1004819531">
              <w:marLeft w:val="0"/>
              <w:marRight w:val="0"/>
              <w:marTop w:val="0"/>
              <w:marBottom w:val="0"/>
              <w:divBdr>
                <w:top w:val="none" w:sz="0" w:space="0" w:color="auto"/>
                <w:left w:val="none" w:sz="0" w:space="0" w:color="auto"/>
                <w:bottom w:val="none" w:sz="0" w:space="0" w:color="auto"/>
                <w:right w:val="none" w:sz="0" w:space="0" w:color="auto"/>
              </w:divBdr>
              <w:divsChild>
                <w:div w:id="1125154236">
                  <w:marLeft w:val="0"/>
                  <w:marRight w:val="0"/>
                  <w:marTop w:val="0"/>
                  <w:marBottom w:val="0"/>
                  <w:divBdr>
                    <w:top w:val="none" w:sz="0" w:space="0" w:color="auto"/>
                    <w:left w:val="none" w:sz="0" w:space="0" w:color="auto"/>
                    <w:bottom w:val="none" w:sz="0" w:space="0" w:color="auto"/>
                    <w:right w:val="none" w:sz="0" w:space="0" w:color="auto"/>
                  </w:divBdr>
                </w:div>
                <w:div w:id="1798600958">
                  <w:marLeft w:val="0"/>
                  <w:marRight w:val="0"/>
                  <w:marTop w:val="120"/>
                  <w:marBottom w:val="0"/>
                  <w:divBdr>
                    <w:top w:val="none" w:sz="0" w:space="0" w:color="auto"/>
                    <w:left w:val="none" w:sz="0" w:space="0" w:color="auto"/>
                    <w:bottom w:val="none" w:sz="0" w:space="0" w:color="auto"/>
                    <w:right w:val="none" w:sz="0" w:space="0" w:color="auto"/>
                  </w:divBdr>
                </w:div>
              </w:divsChild>
            </w:div>
            <w:div w:id="1079404460">
              <w:marLeft w:val="0"/>
              <w:marRight w:val="0"/>
              <w:marTop w:val="0"/>
              <w:marBottom w:val="0"/>
              <w:divBdr>
                <w:top w:val="none" w:sz="0" w:space="0" w:color="auto"/>
                <w:left w:val="none" w:sz="0" w:space="0" w:color="auto"/>
                <w:bottom w:val="none" w:sz="0" w:space="0" w:color="auto"/>
                <w:right w:val="none" w:sz="0" w:space="0" w:color="auto"/>
              </w:divBdr>
              <w:divsChild>
                <w:div w:id="286787724">
                  <w:marLeft w:val="0"/>
                  <w:marRight w:val="0"/>
                  <w:marTop w:val="120"/>
                  <w:marBottom w:val="0"/>
                  <w:divBdr>
                    <w:top w:val="none" w:sz="0" w:space="0" w:color="auto"/>
                    <w:left w:val="none" w:sz="0" w:space="0" w:color="auto"/>
                    <w:bottom w:val="none" w:sz="0" w:space="0" w:color="auto"/>
                    <w:right w:val="none" w:sz="0" w:space="0" w:color="auto"/>
                  </w:divBdr>
                </w:div>
                <w:div w:id="1257519740">
                  <w:marLeft w:val="0"/>
                  <w:marRight w:val="0"/>
                  <w:marTop w:val="0"/>
                  <w:marBottom w:val="0"/>
                  <w:divBdr>
                    <w:top w:val="none" w:sz="0" w:space="0" w:color="auto"/>
                    <w:left w:val="none" w:sz="0" w:space="0" w:color="auto"/>
                    <w:bottom w:val="none" w:sz="0" w:space="0" w:color="auto"/>
                    <w:right w:val="none" w:sz="0" w:space="0" w:color="auto"/>
                  </w:divBdr>
                  <w:divsChild>
                    <w:div w:id="399250992">
                      <w:marLeft w:val="0"/>
                      <w:marRight w:val="0"/>
                      <w:marTop w:val="0"/>
                      <w:marBottom w:val="0"/>
                      <w:divBdr>
                        <w:top w:val="none" w:sz="0" w:space="0" w:color="auto"/>
                        <w:left w:val="none" w:sz="0" w:space="0" w:color="auto"/>
                        <w:bottom w:val="none" w:sz="0" w:space="0" w:color="auto"/>
                        <w:right w:val="none" w:sz="0" w:space="0" w:color="auto"/>
                      </w:divBdr>
                      <w:divsChild>
                        <w:div w:id="2023166317">
                          <w:marLeft w:val="0"/>
                          <w:marRight w:val="0"/>
                          <w:marTop w:val="120"/>
                          <w:marBottom w:val="0"/>
                          <w:divBdr>
                            <w:top w:val="none" w:sz="0" w:space="0" w:color="auto"/>
                            <w:left w:val="none" w:sz="0" w:space="0" w:color="auto"/>
                            <w:bottom w:val="none" w:sz="0" w:space="0" w:color="auto"/>
                            <w:right w:val="none" w:sz="0" w:space="0" w:color="auto"/>
                          </w:divBdr>
                        </w:div>
                        <w:div w:id="2108043321">
                          <w:marLeft w:val="0"/>
                          <w:marRight w:val="0"/>
                          <w:marTop w:val="0"/>
                          <w:marBottom w:val="0"/>
                          <w:divBdr>
                            <w:top w:val="none" w:sz="0" w:space="0" w:color="auto"/>
                            <w:left w:val="none" w:sz="0" w:space="0" w:color="auto"/>
                            <w:bottom w:val="none" w:sz="0" w:space="0" w:color="auto"/>
                            <w:right w:val="none" w:sz="0" w:space="0" w:color="auto"/>
                          </w:divBdr>
                        </w:div>
                      </w:divsChild>
                    </w:div>
                    <w:div w:id="861212079">
                      <w:marLeft w:val="0"/>
                      <w:marRight w:val="0"/>
                      <w:marTop w:val="0"/>
                      <w:marBottom w:val="0"/>
                      <w:divBdr>
                        <w:top w:val="none" w:sz="0" w:space="0" w:color="auto"/>
                        <w:left w:val="none" w:sz="0" w:space="0" w:color="auto"/>
                        <w:bottom w:val="none" w:sz="0" w:space="0" w:color="auto"/>
                        <w:right w:val="none" w:sz="0" w:space="0" w:color="auto"/>
                      </w:divBdr>
                      <w:divsChild>
                        <w:div w:id="386534712">
                          <w:marLeft w:val="0"/>
                          <w:marRight w:val="0"/>
                          <w:marTop w:val="0"/>
                          <w:marBottom w:val="0"/>
                          <w:divBdr>
                            <w:top w:val="none" w:sz="0" w:space="0" w:color="auto"/>
                            <w:left w:val="none" w:sz="0" w:space="0" w:color="auto"/>
                            <w:bottom w:val="none" w:sz="0" w:space="0" w:color="auto"/>
                            <w:right w:val="none" w:sz="0" w:space="0" w:color="auto"/>
                          </w:divBdr>
                          <w:divsChild>
                            <w:div w:id="670108390">
                              <w:marLeft w:val="0"/>
                              <w:marRight w:val="0"/>
                              <w:marTop w:val="0"/>
                              <w:marBottom w:val="0"/>
                              <w:divBdr>
                                <w:top w:val="none" w:sz="0" w:space="0" w:color="auto"/>
                                <w:left w:val="none" w:sz="0" w:space="0" w:color="auto"/>
                                <w:bottom w:val="none" w:sz="0" w:space="0" w:color="auto"/>
                                <w:right w:val="none" w:sz="0" w:space="0" w:color="auto"/>
                              </w:divBdr>
                              <w:divsChild>
                                <w:div w:id="19551756">
                                  <w:marLeft w:val="0"/>
                                  <w:marRight w:val="0"/>
                                  <w:marTop w:val="0"/>
                                  <w:marBottom w:val="0"/>
                                  <w:divBdr>
                                    <w:top w:val="none" w:sz="0" w:space="0" w:color="auto"/>
                                    <w:left w:val="none" w:sz="0" w:space="0" w:color="auto"/>
                                    <w:bottom w:val="none" w:sz="0" w:space="0" w:color="auto"/>
                                    <w:right w:val="none" w:sz="0" w:space="0" w:color="auto"/>
                                  </w:divBdr>
                                </w:div>
                                <w:div w:id="1119228536">
                                  <w:marLeft w:val="0"/>
                                  <w:marRight w:val="0"/>
                                  <w:marTop w:val="120"/>
                                  <w:marBottom w:val="0"/>
                                  <w:divBdr>
                                    <w:top w:val="none" w:sz="0" w:space="0" w:color="auto"/>
                                    <w:left w:val="none" w:sz="0" w:space="0" w:color="auto"/>
                                    <w:bottom w:val="none" w:sz="0" w:space="0" w:color="auto"/>
                                    <w:right w:val="none" w:sz="0" w:space="0" w:color="auto"/>
                                  </w:divBdr>
                                </w:div>
                              </w:divsChild>
                            </w:div>
                            <w:div w:id="1511797792">
                              <w:marLeft w:val="0"/>
                              <w:marRight w:val="0"/>
                              <w:marTop w:val="0"/>
                              <w:marBottom w:val="0"/>
                              <w:divBdr>
                                <w:top w:val="none" w:sz="0" w:space="0" w:color="auto"/>
                                <w:left w:val="none" w:sz="0" w:space="0" w:color="auto"/>
                                <w:bottom w:val="none" w:sz="0" w:space="0" w:color="auto"/>
                                <w:right w:val="none" w:sz="0" w:space="0" w:color="auto"/>
                              </w:divBdr>
                              <w:divsChild>
                                <w:div w:id="1207451925">
                                  <w:marLeft w:val="0"/>
                                  <w:marRight w:val="0"/>
                                  <w:marTop w:val="0"/>
                                  <w:marBottom w:val="0"/>
                                  <w:divBdr>
                                    <w:top w:val="none" w:sz="0" w:space="0" w:color="auto"/>
                                    <w:left w:val="none" w:sz="0" w:space="0" w:color="auto"/>
                                    <w:bottom w:val="none" w:sz="0" w:space="0" w:color="auto"/>
                                    <w:right w:val="none" w:sz="0" w:space="0" w:color="auto"/>
                                  </w:divBdr>
                                </w:div>
                                <w:div w:id="1914779637">
                                  <w:marLeft w:val="0"/>
                                  <w:marRight w:val="0"/>
                                  <w:marTop w:val="120"/>
                                  <w:marBottom w:val="0"/>
                                  <w:divBdr>
                                    <w:top w:val="none" w:sz="0" w:space="0" w:color="auto"/>
                                    <w:left w:val="none" w:sz="0" w:space="0" w:color="auto"/>
                                    <w:bottom w:val="none" w:sz="0" w:space="0" w:color="auto"/>
                                    <w:right w:val="none" w:sz="0" w:space="0" w:color="auto"/>
                                  </w:divBdr>
                                </w:div>
                              </w:divsChild>
                            </w:div>
                            <w:div w:id="1772319072">
                              <w:marLeft w:val="0"/>
                              <w:marRight w:val="0"/>
                              <w:marTop w:val="0"/>
                              <w:marBottom w:val="0"/>
                              <w:divBdr>
                                <w:top w:val="none" w:sz="0" w:space="0" w:color="auto"/>
                                <w:left w:val="none" w:sz="0" w:space="0" w:color="auto"/>
                                <w:bottom w:val="none" w:sz="0" w:space="0" w:color="auto"/>
                                <w:right w:val="none" w:sz="0" w:space="0" w:color="auto"/>
                              </w:divBdr>
                              <w:divsChild>
                                <w:div w:id="589655511">
                                  <w:marLeft w:val="0"/>
                                  <w:marRight w:val="0"/>
                                  <w:marTop w:val="0"/>
                                  <w:marBottom w:val="0"/>
                                  <w:divBdr>
                                    <w:top w:val="none" w:sz="0" w:space="0" w:color="auto"/>
                                    <w:left w:val="none" w:sz="0" w:space="0" w:color="auto"/>
                                    <w:bottom w:val="none" w:sz="0" w:space="0" w:color="auto"/>
                                    <w:right w:val="none" w:sz="0" w:space="0" w:color="auto"/>
                                  </w:divBdr>
                                </w:div>
                                <w:div w:id="6860970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43312980">
                          <w:marLeft w:val="0"/>
                          <w:marRight w:val="0"/>
                          <w:marTop w:val="120"/>
                          <w:marBottom w:val="0"/>
                          <w:divBdr>
                            <w:top w:val="none" w:sz="0" w:space="0" w:color="auto"/>
                            <w:left w:val="none" w:sz="0" w:space="0" w:color="auto"/>
                            <w:bottom w:val="none" w:sz="0" w:space="0" w:color="auto"/>
                            <w:right w:val="none" w:sz="0" w:space="0" w:color="auto"/>
                          </w:divBdr>
                        </w:div>
                      </w:divsChild>
                    </w:div>
                    <w:div w:id="1942689486">
                      <w:marLeft w:val="0"/>
                      <w:marRight w:val="0"/>
                      <w:marTop w:val="0"/>
                      <w:marBottom w:val="0"/>
                      <w:divBdr>
                        <w:top w:val="none" w:sz="0" w:space="0" w:color="auto"/>
                        <w:left w:val="none" w:sz="0" w:space="0" w:color="auto"/>
                        <w:bottom w:val="none" w:sz="0" w:space="0" w:color="auto"/>
                        <w:right w:val="none" w:sz="0" w:space="0" w:color="auto"/>
                      </w:divBdr>
                      <w:divsChild>
                        <w:div w:id="555240710">
                          <w:marLeft w:val="0"/>
                          <w:marRight w:val="0"/>
                          <w:marTop w:val="0"/>
                          <w:marBottom w:val="0"/>
                          <w:divBdr>
                            <w:top w:val="none" w:sz="0" w:space="0" w:color="auto"/>
                            <w:left w:val="none" w:sz="0" w:space="0" w:color="auto"/>
                            <w:bottom w:val="none" w:sz="0" w:space="0" w:color="auto"/>
                            <w:right w:val="none" w:sz="0" w:space="0" w:color="auto"/>
                          </w:divBdr>
                        </w:div>
                        <w:div w:id="20699127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77450479">
              <w:marLeft w:val="0"/>
              <w:marRight w:val="0"/>
              <w:marTop w:val="0"/>
              <w:marBottom w:val="0"/>
              <w:divBdr>
                <w:top w:val="none" w:sz="0" w:space="0" w:color="auto"/>
                <w:left w:val="none" w:sz="0" w:space="0" w:color="auto"/>
                <w:bottom w:val="none" w:sz="0" w:space="0" w:color="auto"/>
                <w:right w:val="none" w:sz="0" w:space="0" w:color="auto"/>
              </w:divBdr>
              <w:divsChild>
                <w:div w:id="676153197">
                  <w:marLeft w:val="0"/>
                  <w:marRight w:val="0"/>
                  <w:marTop w:val="120"/>
                  <w:marBottom w:val="0"/>
                  <w:divBdr>
                    <w:top w:val="none" w:sz="0" w:space="0" w:color="auto"/>
                    <w:left w:val="none" w:sz="0" w:space="0" w:color="auto"/>
                    <w:bottom w:val="none" w:sz="0" w:space="0" w:color="auto"/>
                    <w:right w:val="none" w:sz="0" w:space="0" w:color="auto"/>
                  </w:divBdr>
                </w:div>
                <w:div w:id="10550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8642">
      <w:bodyDiv w:val="1"/>
      <w:marLeft w:val="0"/>
      <w:marRight w:val="0"/>
      <w:marTop w:val="0"/>
      <w:marBottom w:val="0"/>
      <w:divBdr>
        <w:top w:val="none" w:sz="0" w:space="0" w:color="auto"/>
        <w:left w:val="none" w:sz="0" w:space="0" w:color="auto"/>
        <w:bottom w:val="none" w:sz="0" w:space="0" w:color="auto"/>
        <w:right w:val="none" w:sz="0" w:space="0" w:color="auto"/>
      </w:divBdr>
      <w:divsChild>
        <w:div w:id="1457984929">
          <w:marLeft w:val="0"/>
          <w:marRight w:val="0"/>
          <w:marTop w:val="0"/>
          <w:marBottom w:val="0"/>
          <w:divBdr>
            <w:top w:val="none" w:sz="0" w:space="0" w:color="auto"/>
            <w:left w:val="none" w:sz="0" w:space="0" w:color="auto"/>
            <w:bottom w:val="none" w:sz="0" w:space="0" w:color="auto"/>
            <w:right w:val="none" w:sz="0" w:space="0" w:color="auto"/>
          </w:divBdr>
          <w:divsChild>
            <w:div w:id="1879733679">
              <w:marLeft w:val="0"/>
              <w:marRight w:val="0"/>
              <w:marTop w:val="0"/>
              <w:marBottom w:val="0"/>
              <w:divBdr>
                <w:top w:val="none" w:sz="0" w:space="0" w:color="auto"/>
                <w:left w:val="none" w:sz="0" w:space="0" w:color="auto"/>
                <w:bottom w:val="none" w:sz="0" w:space="0" w:color="auto"/>
                <w:right w:val="none" w:sz="0" w:space="0" w:color="auto"/>
              </w:divBdr>
              <w:divsChild>
                <w:div w:id="325978325">
                  <w:marLeft w:val="0"/>
                  <w:marRight w:val="0"/>
                  <w:marTop w:val="0"/>
                  <w:marBottom w:val="0"/>
                  <w:divBdr>
                    <w:top w:val="none" w:sz="0" w:space="0" w:color="auto"/>
                    <w:left w:val="none" w:sz="0" w:space="0" w:color="auto"/>
                    <w:bottom w:val="none" w:sz="0" w:space="0" w:color="auto"/>
                    <w:right w:val="none" w:sz="0" w:space="0" w:color="auto"/>
                  </w:divBdr>
                  <w:divsChild>
                    <w:div w:id="1053039378">
                      <w:marLeft w:val="0"/>
                      <w:marRight w:val="0"/>
                      <w:marTop w:val="0"/>
                      <w:marBottom w:val="0"/>
                      <w:divBdr>
                        <w:top w:val="none" w:sz="0" w:space="0" w:color="auto"/>
                        <w:left w:val="none" w:sz="0" w:space="0" w:color="auto"/>
                        <w:bottom w:val="none" w:sz="0" w:space="0" w:color="auto"/>
                        <w:right w:val="none" w:sz="0" w:space="0" w:color="auto"/>
                      </w:divBdr>
                    </w:div>
                    <w:div w:id="1802306128">
                      <w:marLeft w:val="0"/>
                      <w:marRight w:val="0"/>
                      <w:marTop w:val="120"/>
                      <w:marBottom w:val="0"/>
                      <w:divBdr>
                        <w:top w:val="none" w:sz="0" w:space="0" w:color="auto"/>
                        <w:left w:val="none" w:sz="0" w:space="0" w:color="auto"/>
                        <w:bottom w:val="none" w:sz="0" w:space="0" w:color="auto"/>
                        <w:right w:val="none" w:sz="0" w:space="0" w:color="auto"/>
                      </w:divBdr>
                    </w:div>
                  </w:divsChild>
                </w:div>
                <w:div w:id="328868690">
                  <w:marLeft w:val="0"/>
                  <w:marRight w:val="0"/>
                  <w:marTop w:val="0"/>
                  <w:marBottom w:val="0"/>
                  <w:divBdr>
                    <w:top w:val="none" w:sz="0" w:space="0" w:color="auto"/>
                    <w:left w:val="none" w:sz="0" w:space="0" w:color="auto"/>
                    <w:bottom w:val="none" w:sz="0" w:space="0" w:color="auto"/>
                    <w:right w:val="none" w:sz="0" w:space="0" w:color="auto"/>
                  </w:divBdr>
                  <w:divsChild>
                    <w:div w:id="86318383">
                      <w:marLeft w:val="0"/>
                      <w:marRight w:val="0"/>
                      <w:marTop w:val="0"/>
                      <w:marBottom w:val="0"/>
                      <w:divBdr>
                        <w:top w:val="none" w:sz="0" w:space="0" w:color="auto"/>
                        <w:left w:val="none" w:sz="0" w:space="0" w:color="auto"/>
                        <w:bottom w:val="none" w:sz="0" w:space="0" w:color="auto"/>
                        <w:right w:val="none" w:sz="0" w:space="0" w:color="auto"/>
                      </w:divBdr>
                    </w:div>
                    <w:div w:id="1883521969">
                      <w:marLeft w:val="0"/>
                      <w:marRight w:val="0"/>
                      <w:marTop w:val="120"/>
                      <w:marBottom w:val="0"/>
                      <w:divBdr>
                        <w:top w:val="none" w:sz="0" w:space="0" w:color="auto"/>
                        <w:left w:val="none" w:sz="0" w:space="0" w:color="auto"/>
                        <w:bottom w:val="none" w:sz="0" w:space="0" w:color="auto"/>
                        <w:right w:val="none" w:sz="0" w:space="0" w:color="auto"/>
                      </w:divBdr>
                    </w:div>
                  </w:divsChild>
                </w:div>
                <w:div w:id="724838252">
                  <w:marLeft w:val="0"/>
                  <w:marRight w:val="0"/>
                  <w:marTop w:val="0"/>
                  <w:marBottom w:val="0"/>
                  <w:divBdr>
                    <w:top w:val="none" w:sz="0" w:space="0" w:color="auto"/>
                    <w:left w:val="none" w:sz="0" w:space="0" w:color="auto"/>
                    <w:bottom w:val="none" w:sz="0" w:space="0" w:color="auto"/>
                    <w:right w:val="none" w:sz="0" w:space="0" w:color="auto"/>
                  </w:divBdr>
                  <w:divsChild>
                    <w:div w:id="548416083">
                      <w:marLeft w:val="0"/>
                      <w:marRight w:val="0"/>
                      <w:marTop w:val="120"/>
                      <w:marBottom w:val="0"/>
                      <w:divBdr>
                        <w:top w:val="none" w:sz="0" w:space="0" w:color="auto"/>
                        <w:left w:val="none" w:sz="0" w:space="0" w:color="auto"/>
                        <w:bottom w:val="none" w:sz="0" w:space="0" w:color="auto"/>
                        <w:right w:val="none" w:sz="0" w:space="0" w:color="auto"/>
                      </w:divBdr>
                    </w:div>
                    <w:div w:id="949438950">
                      <w:marLeft w:val="0"/>
                      <w:marRight w:val="0"/>
                      <w:marTop w:val="0"/>
                      <w:marBottom w:val="0"/>
                      <w:divBdr>
                        <w:top w:val="none" w:sz="0" w:space="0" w:color="auto"/>
                        <w:left w:val="none" w:sz="0" w:space="0" w:color="auto"/>
                        <w:bottom w:val="none" w:sz="0" w:space="0" w:color="auto"/>
                        <w:right w:val="none" w:sz="0" w:space="0" w:color="auto"/>
                      </w:divBdr>
                    </w:div>
                  </w:divsChild>
                </w:div>
                <w:div w:id="1668291092">
                  <w:marLeft w:val="0"/>
                  <w:marRight w:val="0"/>
                  <w:marTop w:val="0"/>
                  <w:marBottom w:val="0"/>
                  <w:divBdr>
                    <w:top w:val="none" w:sz="0" w:space="0" w:color="auto"/>
                    <w:left w:val="none" w:sz="0" w:space="0" w:color="auto"/>
                    <w:bottom w:val="none" w:sz="0" w:space="0" w:color="auto"/>
                    <w:right w:val="none" w:sz="0" w:space="0" w:color="auto"/>
                  </w:divBdr>
                  <w:divsChild>
                    <w:div w:id="1385982078">
                      <w:marLeft w:val="0"/>
                      <w:marRight w:val="0"/>
                      <w:marTop w:val="0"/>
                      <w:marBottom w:val="0"/>
                      <w:divBdr>
                        <w:top w:val="none" w:sz="0" w:space="0" w:color="auto"/>
                        <w:left w:val="none" w:sz="0" w:space="0" w:color="auto"/>
                        <w:bottom w:val="none" w:sz="0" w:space="0" w:color="auto"/>
                        <w:right w:val="none" w:sz="0" w:space="0" w:color="auto"/>
                      </w:divBdr>
                    </w:div>
                    <w:div w:id="15051713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23578645">
      <w:bodyDiv w:val="1"/>
      <w:marLeft w:val="0"/>
      <w:marRight w:val="0"/>
      <w:marTop w:val="0"/>
      <w:marBottom w:val="0"/>
      <w:divBdr>
        <w:top w:val="none" w:sz="0" w:space="0" w:color="auto"/>
        <w:left w:val="none" w:sz="0" w:space="0" w:color="auto"/>
        <w:bottom w:val="none" w:sz="0" w:space="0" w:color="auto"/>
        <w:right w:val="none" w:sz="0" w:space="0" w:color="auto"/>
      </w:divBdr>
      <w:divsChild>
        <w:div w:id="374622175">
          <w:marLeft w:val="0"/>
          <w:marRight w:val="0"/>
          <w:marTop w:val="0"/>
          <w:marBottom w:val="0"/>
          <w:divBdr>
            <w:top w:val="none" w:sz="0" w:space="0" w:color="auto"/>
            <w:left w:val="none" w:sz="0" w:space="0" w:color="auto"/>
            <w:bottom w:val="none" w:sz="0" w:space="0" w:color="auto"/>
            <w:right w:val="none" w:sz="0" w:space="0" w:color="auto"/>
          </w:divBdr>
        </w:div>
      </w:divsChild>
    </w:div>
    <w:div w:id="1136264796">
      <w:bodyDiv w:val="1"/>
      <w:marLeft w:val="0"/>
      <w:marRight w:val="0"/>
      <w:marTop w:val="0"/>
      <w:marBottom w:val="0"/>
      <w:divBdr>
        <w:top w:val="none" w:sz="0" w:space="0" w:color="auto"/>
        <w:left w:val="none" w:sz="0" w:space="0" w:color="auto"/>
        <w:bottom w:val="none" w:sz="0" w:space="0" w:color="auto"/>
        <w:right w:val="none" w:sz="0" w:space="0" w:color="auto"/>
      </w:divBdr>
      <w:divsChild>
        <w:div w:id="851459181">
          <w:marLeft w:val="0"/>
          <w:marRight w:val="0"/>
          <w:marTop w:val="0"/>
          <w:marBottom w:val="0"/>
          <w:divBdr>
            <w:top w:val="none" w:sz="0" w:space="0" w:color="auto"/>
            <w:left w:val="none" w:sz="0" w:space="0" w:color="auto"/>
            <w:bottom w:val="none" w:sz="0" w:space="0" w:color="auto"/>
            <w:right w:val="none" w:sz="0" w:space="0" w:color="auto"/>
          </w:divBdr>
          <w:divsChild>
            <w:div w:id="1170104248">
              <w:marLeft w:val="0"/>
              <w:marRight w:val="0"/>
              <w:marTop w:val="0"/>
              <w:marBottom w:val="0"/>
              <w:divBdr>
                <w:top w:val="none" w:sz="0" w:space="0" w:color="auto"/>
                <w:left w:val="none" w:sz="0" w:space="0" w:color="auto"/>
                <w:bottom w:val="none" w:sz="0" w:space="0" w:color="auto"/>
                <w:right w:val="none" w:sz="0" w:space="0" w:color="auto"/>
              </w:divBdr>
              <w:divsChild>
                <w:div w:id="1243295446">
                  <w:marLeft w:val="0"/>
                  <w:marRight w:val="0"/>
                  <w:marTop w:val="120"/>
                  <w:marBottom w:val="0"/>
                  <w:divBdr>
                    <w:top w:val="none" w:sz="0" w:space="0" w:color="auto"/>
                    <w:left w:val="none" w:sz="0" w:space="0" w:color="auto"/>
                    <w:bottom w:val="none" w:sz="0" w:space="0" w:color="auto"/>
                    <w:right w:val="none" w:sz="0" w:space="0" w:color="auto"/>
                  </w:divBdr>
                </w:div>
                <w:div w:id="1512180685">
                  <w:marLeft w:val="0"/>
                  <w:marRight w:val="0"/>
                  <w:marTop w:val="0"/>
                  <w:marBottom w:val="0"/>
                  <w:divBdr>
                    <w:top w:val="none" w:sz="0" w:space="0" w:color="auto"/>
                    <w:left w:val="none" w:sz="0" w:space="0" w:color="auto"/>
                    <w:bottom w:val="none" w:sz="0" w:space="0" w:color="auto"/>
                    <w:right w:val="none" w:sz="0" w:space="0" w:color="auto"/>
                  </w:divBdr>
                </w:div>
              </w:divsChild>
            </w:div>
            <w:div w:id="1242987213">
              <w:marLeft w:val="0"/>
              <w:marRight w:val="0"/>
              <w:marTop w:val="0"/>
              <w:marBottom w:val="0"/>
              <w:divBdr>
                <w:top w:val="none" w:sz="0" w:space="0" w:color="auto"/>
                <w:left w:val="none" w:sz="0" w:space="0" w:color="auto"/>
                <w:bottom w:val="none" w:sz="0" w:space="0" w:color="auto"/>
                <w:right w:val="none" w:sz="0" w:space="0" w:color="auto"/>
              </w:divBdr>
              <w:divsChild>
                <w:div w:id="830679939">
                  <w:marLeft w:val="0"/>
                  <w:marRight w:val="0"/>
                  <w:marTop w:val="0"/>
                  <w:marBottom w:val="0"/>
                  <w:divBdr>
                    <w:top w:val="none" w:sz="0" w:space="0" w:color="auto"/>
                    <w:left w:val="none" w:sz="0" w:space="0" w:color="auto"/>
                    <w:bottom w:val="none" w:sz="0" w:space="0" w:color="auto"/>
                    <w:right w:val="none" w:sz="0" w:space="0" w:color="auto"/>
                  </w:divBdr>
                </w:div>
                <w:div w:id="1931573498">
                  <w:marLeft w:val="0"/>
                  <w:marRight w:val="0"/>
                  <w:marTop w:val="120"/>
                  <w:marBottom w:val="0"/>
                  <w:divBdr>
                    <w:top w:val="none" w:sz="0" w:space="0" w:color="auto"/>
                    <w:left w:val="none" w:sz="0" w:space="0" w:color="auto"/>
                    <w:bottom w:val="none" w:sz="0" w:space="0" w:color="auto"/>
                    <w:right w:val="none" w:sz="0" w:space="0" w:color="auto"/>
                  </w:divBdr>
                </w:div>
              </w:divsChild>
            </w:div>
            <w:div w:id="1394238237">
              <w:marLeft w:val="0"/>
              <w:marRight w:val="0"/>
              <w:marTop w:val="0"/>
              <w:marBottom w:val="0"/>
              <w:divBdr>
                <w:top w:val="none" w:sz="0" w:space="0" w:color="auto"/>
                <w:left w:val="none" w:sz="0" w:space="0" w:color="auto"/>
                <w:bottom w:val="none" w:sz="0" w:space="0" w:color="auto"/>
                <w:right w:val="none" w:sz="0" w:space="0" w:color="auto"/>
              </w:divBdr>
              <w:divsChild>
                <w:div w:id="1097677019">
                  <w:marLeft w:val="0"/>
                  <w:marRight w:val="0"/>
                  <w:marTop w:val="120"/>
                  <w:marBottom w:val="0"/>
                  <w:divBdr>
                    <w:top w:val="none" w:sz="0" w:space="0" w:color="auto"/>
                    <w:left w:val="none" w:sz="0" w:space="0" w:color="auto"/>
                    <w:bottom w:val="none" w:sz="0" w:space="0" w:color="auto"/>
                    <w:right w:val="none" w:sz="0" w:space="0" w:color="auto"/>
                  </w:divBdr>
                </w:div>
                <w:div w:id="1155412010">
                  <w:marLeft w:val="0"/>
                  <w:marRight w:val="0"/>
                  <w:marTop w:val="0"/>
                  <w:marBottom w:val="0"/>
                  <w:divBdr>
                    <w:top w:val="none" w:sz="0" w:space="0" w:color="auto"/>
                    <w:left w:val="none" w:sz="0" w:space="0" w:color="auto"/>
                    <w:bottom w:val="none" w:sz="0" w:space="0" w:color="auto"/>
                    <w:right w:val="none" w:sz="0" w:space="0" w:color="auto"/>
                  </w:divBdr>
                </w:div>
              </w:divsChild>
            </w:div>
            <w:div w:id="2076777171">
              <w:marLeft w:val="0"/>
              <w:marRight w:val="0"/>
              <w:marTop w:val="0"/>
              <w:marBottom w:val="0"/>
              <w:divBdr>
                <w:top w:val="none" w:sz="0" w:space="0" w:color="auto"/>
                <w:left w:val="none" w:sz="0" w:space="0" w:color="auto"/>
                <w:bottom w:val="none" w:sz="0" w:space="0" w:color="auto"/>
                <w:right w:val="none" w:sz="0" w:space="0" w:color="auto"/>
              </w:divBdr>
              <w:divsChild>
                <w:div w:id="204294079">
                  <w:marLeft w:val="0"/>
                  <w:marRight w:val="0"/>
                  <w:marTop w:val="0"/>
                  <w:marBottom w:val="0"/>
                  <w:divBdr>
                    <w:top w:val="none" w:sz="0" w:space="0" w:color="auto"/>
                    <w:left w:val="none" w:sz="0" w:space="0" w:color="auto"/>
                    <w:bottom w:val="none" w:sz="0" w:space="0" w:color="auto"/>
                    <w:right w:val="none" w:sz="0" w:space="0" w:color="auto"/>
                  </w:divBdr>
                </w:div>
                <w:div w:id="10299104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46245417">
      <w:bodyDiv w:val="1"/>
      <w:marLeft w:val="0"/>
      <w:marRight w:val="0"/>
      <w:marTop w:val="0"/>
      <w:marBottom w:val="0"/>
      <w:divBdr>
        <w:top w:val="none" w:sz="0" w:space="0" w:color="auto"/>
        <w:left w:val="none" w:sz="0" w:space="0" w:color="auto"/>
        <w:bottom w:val="none" w:sz="0" w:space="0" w:color="auto"/>
        <w:right w:val="none" w:sz="0" w:space="0" w:color="auto"/>
      </w:divBdr>
      <w:divsChild>
        <w:div w:id="1825201207">
          <w:marLeft w:val="0"/>
          <w:marRight w:val="0"/>
          <w:marTop w:val="0"/>
          <w:marBottom w:val="0"/>
          <w:divBdr>
            <w:top w:val="none" w:sz="0" w:space="0" w:color="auto"/>
            <w:left w:val="none" w:sz="0" w:space="0" w:color="auto"/>
            <w:bottom w:val="none" w:sz="0" w:space="0" w:color="auto"/>
            <w:right w:val="none" w:sz="0" w:space="0" w:color="auto"/>
          </w:divBdr>
        </w:div>
      </w:divsChild>
    </w:div>
    <w:div w:id="1156873175">
      <w:bodyDiv w:val="1"/>
      <w:marLeft w:val="0"/>
      <w:marRight w:val="0"/>
      <w:marTop w:val="0"/>
      <w:marBottom w:val="0"/>
      <w:divBdr>
        <w:top w:val="none" w:sz="0" w:space="0" w:color="auto"/>
        <w:left w:val="none" w:sz="0" w:space="0" w:color="auto"/>
        <w:bottom w:val="none" w:sz="0" w:space="0" w:color="auto"/>
        <w:right w:val="none" w:sz="0" w:space="0" w:color="auto"/>
      </w:divBdr>
      <w:divsChild>
        <w:div w:id="1353413872">
          <w:marLeft w:val="0"/>
          <w:marRight w:val="0"/>
          <w:marTop w:val="0"/>
          <w:marBottom w:val="0"/>
          <w:divBdr>
            <w:top w:val="none" w:sz="0" w:space="0" w:color="auto"/>
            <w:left w:val="none" w:sz="0" w:space="0" w:color="auto"/>
            <w:bottom w:val="none" w:sz="0" w:space="0" w:color="auto"/>
            <w:right w:val="none" w:sz="0" w:space="0" w:color="auto"/>
          </w:divBdr>
        </w:div>
      </w:divsChild>
    </w:div>
    <w:div w:id="1160267025">
      <w:bodyDiv w:val="1"/>
      <w:marLeft w:val="0"/>
      <w:marRight w:val="0"/>
      <w:marTop w:val="0"/>
      <w:marBottom w:val="0"/>
      <w:divBdr>
        <w:top w:val="none" w:sz="0" w:space="0" w:color="auto"/>
        <w:left w:val="none" w:sz="0" w:space="0" w:color="auto"/>
        <w:bottom w:val="none" w:sz="0" w:space="0" w:color="auto"/>
        <w:right w:val="none" w:sz="0" w:space="0" w:color="auto"/>
      </w:divBdr>
      <w:divsChild>
        <w:div w:id="169679182">
          <w:marLeft w:val="0"/>
          <w:marRight w:val="0"/>
          <w:marTop w:val="0"/>
          <w:marBottom w:val="0"/>
          <w:divBdr>
            <w:top w:val="none" w:sz="0" w:space="0" w:color="auto"/>
            <w:left w:val="none" w:sz="0" w:space="0" w:color="auto"/>
            <w:bottom w:val="none" w:sz="0" w:space="0" w:color="auto"/>
            <w:right w:val="none" w:sz="0" w:space="0" w:color="auto"/>
          </w:divBdr>
        </w:div>
      </w:divsChild>
    </w:div>
    <w:div w:id="1161040768">
      <w:bodyDiv w:val="1"/>
      <w:marLeft w:val="0"/>
      <w:marRight w:val="0"/>
      <w:marTop w:val="0"/>
      <w:marBottom w:val="0"/>
      <w:divBdr>
        <w:top w:val="none" w:sz="0" w:space="0" w:color="auto"/>
        <w:left w:val="none" w:sz="0" w:space="0" w:color="auto"/>
        <w:bottom w:val="none" w:sz="0" w:space="0" w:color="auto"/>
        <w:right w:val="none" w:sz="0" w:space="0" w:color="auto"/>
      </w:divBdr>
      <w:divsChild>
        <w:div w:id="265773378">
          <w:marLeft w:val="0"/>
          <w:marRight w:val="0"/>
          <w:marTop w:val="0"/>
          <w:marBottom w:val="0"/>
          <w:divBdr>
            <w:top w:val="none" w:sz="0" w:space="0" w:color="auto"/>
            <w:left w:val="none" w:sz="0" w:space="0" w:color="auto"/>
            <w:bottom w:val="none" w:sz="0" w:space="0" w:color="auto"/>
            <w:right w:val="none" w:sz="0" w:space="0" w:color="auto"/>
          </w:divBdr>
          <w:divsChild>
            <w:div w:id="142622297">
              <w:marLeft w:val="0"/>
              <w:marRight w:val="0"/>
              <w:marTop w:val="0"/>
              <w:marBottom w:val="0"/>
              <w:divBdr>
                <w:top w:val="none" w:sz="0" w:space="0" w:color="auto"/>
                <w:left w:val="none" w:sz="0" w:space="0" w:color="auto"/>
                <w:bottom w:val="none" w:sz="0" w:space="0" w:color="auto"/>
                <w:right w:val="none" w:sz="0" w:space="0" w:color="auto"/>
              </w:divBdr>
              <w:divsChild>
                <w:div w:id="1121462731">
                  <w:marLeft w:val="0"/>
                  <w:marRight w:val="0"/>
                  <w:marTop w:val="120"/>
                  <w:marBottom w:val="0"/>
                  <w:divBdr>
                    <w:top w:val="none" w:sz="0" w:space="0" w:color="auto"/>
                    <w:left w:val="none" w:sz="0" w:space="0" w:color="auto"/>
                    <w:bottom w:val="none" w:sz="0" w:space="0" w:color="auto"/>
                    <w:right w:val="none" w:sz="0" w:space="0" w:color="auto"/>
                  </w:divBdr>
                </w:div>
                <w:div w:id="1375304659">
                  <w:marLeft w:val="0"/>
                  <w:marRight w:val="0"/>
                  <w:marTop w:val="0"/>
                  <w:marBottom w:val="0"/>
                  <w:divBdr>
                    <w:top w:val="none" w:sz="0" w:space="0" w:color="auto"/>
                    <w:left w:val="none" w:sz="0" w:space="0" w:color="auto"/>
                    <w:bottom w:val="none" w:sz="0" w:space="0" w:color="auto"/>
                    <w:right w:val="none" w:sz="0" w:space="0" w:color="auto"/>
                  </w:divBdr>
                </w:div>
              </w:divsChild>
            </w:div>
            <w:div w:id="257103556">
              <w:marLeft w:val="0"/>
              <w:marRight w:val="0"/>
              <w:marTop w:val="0"/>
              <w:marBottom w:val="0"/>
              <w:divBdr>
                <w:top w:val="none" w:sz="0" w:space="0" w:color="auto"/>
                <w:left w:val="none" w:sz="0" w:space="0" w:color="auto"/>
                <w:bottom w:val="none" w:sz="0" w:space="0" w:color="auto"/>
                <w:right w:val="none" w:sz="0" w:space="0" w:color="auto"/>
              </w:divBdr>
              <w:divsChild>
                <w:div w:id="719941848">
                  <w:marLeft w:val="0"/>
                  <w:marRight w:val="0"/>
                  <w:marTop w:val="120"/>
                  <w:marBottom w:val="0"/>
                  <w:divBdr>
                    <w:top w:val="none" w:sz="0" w:space="0" w:color="auto"/>
                    <w:left w:val="none" w:sz="0" w:space="0" w:color="auto"/>
                    <w:bottom w:val="none" w:sz="0" w:space="0" w:color="auto"/>
                    <w:right w:val="none" w:sz="0" w:space="0" w:color="auto"/>
                  </w:divBdr>
                </w:div>
                <w:div w:id="1140269672">
                  <w:marLeft w:val="0"/>
                  <w:marRight w:val="0"/>
                  <w:marTop w:val="0"/>
                  <w:marBottom w:val="0"/>
                  <w:divBdr>
                    <w:top w:val="none" w:sz="0" w:space="0" w:color="auto"/>
                    <w:left w:val="none" w:sz="0" w:space="0" w:color="auto"/>
                    <w:bottom w:val="none" w:sz="0" w:space="0" w:color="auto"/>
                    <w:right w:val="none" w:sz="0" w:space="0" w:color="auto"/>
                  </w:divBdr>
                </w:div>
              </w:divsChild>
            </w:div>
            <w:div w:id="1044646100">
              <w:marLeft w:val="0"/>
              <w:marRight w:val="0"/>
              <w:marTop w:val="0"/>
              <w:marBottom w:val="0"/>
              <w:divBdr>
                <w:top w:val="none" w:sz="0" w:space="0" w:color="auto"/>
                <w:left w:val="none" w:sz="0" w:space="0" w:color="auto"/>
                <w:bottom w:val="none" w:sz="0" w:space="0" w:color="auto"/>
                <w:right w:val="none" w:sz="0" w:space="0" w:color="auto"/>
              </w:divBdr>
              <w:divsChild>
                <w:div w:id="817456810">
                  <w:marLeft w:val="0"/>
                  <w:marRight w:val="0"/>
                  <w:marTop w:val="0"/>
                  <w:marBottom w:val="0"/>
                  <w:divBdr>
                    <w:top w:val="none" w:sz="0" w:space="0" w:color="auto"/>
                    <w:left w:val="none" w:sz="0" w:space="0" w:color="auto"/>
                    <w:bottom w:val="none" w:sz="0" w:space="0" w:color="auto"/>
                    <w:right w:val="none" w:sz="0" w:space="0" w:color="auto"/>
                  </w:divBdr>
                </w:div>
                <w:div w:id="2106536041">
                  <w:marLeft w:val="0"/>
                  <w:marRight w:val="0"/>
                  <w:marTop w:val="120"/>
                  <w:marBottom w:val="0"/>
                  <w:divBdr>
                    <w:top w:val="none" w:sz="0" w:space="0" w:color="auto"/>
                    <w:left w:val="none" w:sz="0" w:space="0" w:color="auto"/>
                    <w:bottom w:val="none" w:sz="0" w:space="0" w:color="auto"/>
                    <w:right w:val="none" w:sz="0" w:space="0" w:color="auto"/>
                  </w:divBdr>
                </w:div>
              </w:divsChild>
            </w:div>
            <w:div w:id="1558511630">
              <w:marLeft w:val="0"/>
              <w:marRight w:val="0"/>
              <w:marTop w:val="0"/>
              <w:marBottom w:val="0"/>
              <w:divBdr>
                <w:top w:val="none" w:sz="0" w:space="0" w:color="auto"/>
                <w:left w:val="none" w:sz="0" w:space="0" w:color="auto"/>
                <w:bottom w:val="none" w:sz="0" w:space="0" w:color="auto"/>
                <w:right w:val="none" w:sz="0" w:space="0" w:color="auto"/>
              </w:divBdr>
              <w:divsChild>
                <w:div w:id="135689581">
                  <w:marLeft w:val="0"/>
                  <w:marRight w:val="0"/>
                  <w:marTop w:val="120"/>
                  <w:marBottom w:val="0"/>
                  <w:divBdr>
                    <w:top w:val="none" w:sz="0" w:space="0" w:color="auto"/>
                    <w:left w:val="none" w:sz="0" w:space="0" w:color="auto"/>
                    <w:bottom w:val="none" w:sz="0" w:space="0" w:color="auto"/>
                    <w:right w:val="none" w:sz="0" w:space="0" w:color="auto"/>
                  </w:divBdr>
                </w:div>
                <w:div w:id="180776169">
                  <w:marLeft w:val="0"/>
                  <w:marRight w:val="0"/>
                  <w:marTop w:val="0"/>
                  <w:marBottom w:val="0"/>
                  <w:divBdr>
                    <w:top w:val="none" w:sz="0" w:space="0" w:color="auto"/>
                    <w:left w:val="none" w:sz="0" w:space="0" w:color="auto"/>
                    <w:bottom w:val="none" w:sz="0" w:space="0" w:color="auto"/>
                    <w:right w:val="none" w:sz="0" w:space="0" w:color="auto"/>
                  </w:divBdr>
                </w:div>
              </w:divsChild>
            </w:div>
            <w:div w:id="1616596280">
              <w:marLeft w:val="0"/>
              <w:marRight w:val="0"/>
              <w:marTop w:val="0"/>
              <w:marBottom w:val="0"/>
              <w:divBdr>
                <w:top w:val="none" w:sz="0" w:space="0" w:color="auto"/>
                <w:left w:val="none" w:sz="0" w:space="0" w:color="auto"/>
                <w:bottom w:val="none" w:sz="0" w:space="0" w:color="auto"/>
                <w:right w:val="none" w:sz="0" w:space="0" w:color="auto"/>
              </w:divBdr>
              <w:divsChild>
                <w:div w:id="1005128937">
                  <w:marLeft w:val="0"/>
                  <w:marRight w:val="0"/>
                  <w:marTop w:val="0"/>
                  <w:marBottom w:val="0"/>
                  <w:divBdr>
                    <w:top w:val="none" w:sz="0" w:space="0" w:color="auto"/>
                    <w:left w:val="none" w:sz="0" w:space="0" w:color="auto"/>
                    <w:bottom w:val="none" w:sz="0" w:space="0" w:color="auto"/>
                    <w:right w:val="none" w:sz="0" w:space="0" w:color="auto"/>
                  </w:divBdr>
                </w:div>
                <w:div w:id="1527215284">
                  <w:marLeft w:val="0"/>
                  <w:marRight w:val="0"/>
                  <w:marTop w:val="120"/>
                  <w:marBottom w:val="0"/>
                  <w:divBdr>
                    <w:top w:val="none" w:sz="0" w:space="0" w:color="auto"/>
                    <w:left w:val="none" w:sz="0" w:space="0" w:color="auto"/>
                    <w:bottom w:val="none" w:sz="0" w:space="0" w:color="auto"/>
                    <w:right w:val="none" w:sz="0" w:space="0" w:color="auto"/>
                  </w:divBdr>
                </w:div>
              </w:divsChild>
            </w:div>
            <w:div w:id="1649701509">
              <w:marLeft w:val="0"/>
              <w:marRight w:val="0"/>
              <w:marTop w:val="0"/>
              <w:marBottom w:val="0"/>
              <w:divBdr>
                <w:top w:val="none" w:sz="0" w:space="0" w:color="auto"/>
                <w:left w:val="none" w:sz="0" w:space="0" w:color="auto"/>
                <w:bottom w:val="none" w:sz="0" w:space="0" w:color="auto"/>
                <w:right w:val="none" w:sz="0" w:space="0" w:color="auto"/>
              </w:divBdr>
              <w:divsChild>
                <w:div w:id="451173010">
                  <w:marLeft w:val="0"/>
                  <w:marRight w:val="0"/>
                  <w:marTop w:val="120"/>
                  <w:marBottom w:val="0"/>
                  <w:divBdr>
                    <w:top w:val="none" w:sz="0" w:space="0" w:color="auto"/>
                    <w:left w:val="none" w:sz="0" w:space="0" w:color="auto"/>
                    <w:bottom w:val="none" w:sz="0" w:space="0" w:color="auto"/>
                    <w:right w:val="none" w:sz="0" w:space="0" w:color="auto"/>
                  </w:divBdr>
                </w:div>
                <w:div w:id="9565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83968">
      <w:bodyDiv w:val="1"/>
      <w:marLeft w:val="0"/>
      <w:marRight w:val="0"/>
      <w:marTop w:val="0"/>
      <w:marBottom w:val="0"/>
      <w:divBdr>
        <w:top w:val="none" w:sz="0" w:space="0" w:color="auto"/>
        <w:left w:val="none" w:sz="0" w:space="0" w:color="auto"/>
        <w:bottom w:val="none" w:sz="0" w:space="0" w:color="auto"/>
        <w:right w:val="none" w:sz="0" w:space="0" w:color="auto"/>
      </w:divBdr>
      <w:divsChild>
        <w:div w:id="1053188928">
          <w:marLeft w:val="0"/>
          <w:marRight w:val="0"/>
          <w:marTop w:val="0"/>
          <w:marBottom w:val="0"/>
          <w:divBdr>
            <w:top w:val="none" w:sz="0" w:space="0" w:color="auto"/>
            <w:left w:val="none" w:sz="0" w:space="0" w:color="auto"/>
            <w:bottom w:val="none" w:sz="0" w:space="0" w:color="auto"/>
            <w:right w:val="none" w:sz="0" w:space="0" w:color="auto"/>
          </w:divBdr>
        </w:div>
      </w:divsChild>
    </w:div>
    <w:div w:id="1170825957">
      <w:bodyDiv w:val="1"/>
      <w:marLeft w:val="0"/>
      <w:marRight w:val="0"/>
      <w:marTop w:val="0"/>
      <w:marBottom w:val="0"/>
      <w:divBdr>
        <w:top w:val="none" w:sz="0" w:space="0" w:color="auto"/>
        <w:left w:val="none" w:sz="0" w:space="0" w:color="auto"/>
        <w:bottom w:val="none" w:sz="0" w:space="0" w:color="auto"/>
        <w:right w:val="none" w:sz="0" w:space="0" w:color="auto"/>
      </w:divBdr>
      <w:divsChild>
        <w:div w:id="1356691516">
          <w:marLeft w:val="0"/>
          <w:marRight w:val="0"/>
          <w:marTop w:val="0"/>
          <w:marBottom w:val="0"/>
          <w:divBdr>
            <w:top w:val="none" w:sz="0" w:space="0" w:color="auto"/>
            <w:left w:val="none" w:sz="0" w:space="0" w:color="auto"/>
            <w:bottom w:val="none" w:sz="0" w:space="0" w:color="auto"/>
            <w:right w:val="none" w:sz="0" w:space="0" w:color="auto"/>
          </w:divBdr>
          <w:divsChild>
            <w:div w:id="10911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9572">
      <w:bodyDiv w:val="1"/>
      <w:marLeft w:val="0"/>
      <w:marRight w:val="0"/>
      <w:marTop w:val="0"/>
      <w:marBottom w:val="0"/>
      <w:divBdr>
        <w:top w:val="none" w:sz="0" w:space="0" w:color="auto"/>
        <w:left w:val="none" w:sz="0" w:space="0" w:color="auto"/>
        <w:bottom w:val="none" w:sz="0" w:space="0" w:color="auto"/>
        <w:right w:val="none" w:sz="0" w:space="0" w:color="auto"/>
      </w:divBdr>
      <w:divsChild>
        <w:div w:id="1179006795">
          <w:marLeft w:val="0"/>
          <w:marRight w:val="0"/>
          <w:marTop w:val="0"/>
          <w:marBottom w:val="0"/>
          <w:divBdr>
            <w:top w:val="none" w:sz="0" w:space="0" w:color="auto"/>
            <w:left w:val="none" w:sz="0" w:space="0" w:color="auto"/>
            <w:bottom w:val="none" w:sz="0" w:space="0" w:color="auto"/>
            <w:right w:val="none" w:sz="0" w:space="0" w:color="auto"/>
          </w:divBdr>
          <w:divsChild>
            <w:div w:id="10858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153">
      <w:bodyDiv w:val="1"/>
      <w:marLeft w:val="0"/>
      <w:marRight w:val="0"/>
      <w:marTop w:val="0"/>
      <w:marBottom w:val="0"/>
      <w:divBdr>
        <w:top w:val="none" w:sz="0" w:space="0" w:color="auto"/>
        <w:left w:val="none" w:sz="0" w:space="0" w:color="auto"/>
        <w:bottom w:val="none" w:sz="0" w:space="0" w:color="auto"/>
        <w:right w:val="none" w:sz="0" w:space="0" w:color="auto"/>
      </w:divBdr>
      <w:divsChild>
        <w:div w:id="1338263138">
          <w:marLeft w:val="0"/>
          <w:marRight w:val="0"/>
          <w:marTop w:val="0"/>
          <w:marBottom w:val="0"/>
          <w:divBdr>
            <w:top w:val="none" w:sz="0" w:space="0" w:color="auto"/>
            <w:left w:val="none" w:sz="0" w:space="0" w:color="auto"/>
            <w:bottom w:val="none" w:sz="0" w:space="0" w:color="auto"/>
            <w:right w:val="none" w:sz="0" w:space="0" w:color="auto"/>
          </w:divBdr>
          <w:divsChild>
            <w:div w:id="750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07914">
      <w:bodyDiv w:val="1"/>
      <w:marLeft w:val="0"/>
      <w:marRight w:val="0"/>
      <w:marTop w:val="0"/>
      <w:marBottom w:val="0"/>
      <w:divBdr>
        <w:top w:val="none" w:sz="0" w:space="0" w:color="auto"/>
        <w:left w:val="none" w:sz="0" w:space="0" w:color="auto"/>
        <w:bottom w:val="none" w:sz="0" w:space="0" w:color="auto"/>
        <w:right w:val="none" w:sz="0" w:space="0" w:color="auto"/>
      </w:divBdr>
      <w:divsChild>
        <w:div w:id="1581595250">
          <w:marLeft w:val="0"/>
          <w:marRight w:val="0"/>
          <w:marTop w:val="0"/>
          <w:marBottom w:val="0"/>
          <w:divBdr>
            <w:top w:val="none" w:sz="0" w:space="0" w:color="auto"/>
            <w:left w:val="none" w:sz="0" w:space="0" w:color="auto"/>
            <w:bottom w:val="none" w:sz="0" w:space="0" w:color="auto"/>
            <w:right w:val="none" w:sz="0" w:space="0" w:color="auto"/>
          </w:divBdr>
        </w:div>
      </w:divsChild>
    </w:div>
    <w:div w:id="1198815650">
      <w:bodyDiv w:val="1"/>
      <w:marLeft w:val="0"/>
      <w:marRight w:val="0"/>
      <w:marTop w:val="0"/>
      <w:marBottom w:val="0"/>
      <w:divBdr>
        <w:top w:val="none" w:sz="0" w:space="0" w:color="auto"/>
        <w:left w:val="none" w:sz="0" w:space="0" w:color="auto"/>
        <w:bottom w:val="none" w:sz="0" w:space="0" w:color="auto"/>
        <w:right w:val="none" w:sz="0" w:space="0" w:color="auto"/>
      </w:divBdr>
      <w:divsChild>
        <w:div w:id="192311592">
          <w:marLeft w:val="0"/>
          <w:marRight w:val="0"/>
          <w:marTop w:val="0"/>
          <w:marBottom w:val="0"/>
          <w:divBdr>
            <w:top w:val="none" w:sz="0" w:space="0" w:color="auto"/>
            <w:left w:val="none" w:sz="0" w:space="0" w:color="auto"/>
            <w:bottom w:val="none" w:sz="0" w:space="0" w:color="auto"/>
            <w:right w:val="none" w:sz="0" w:space="0" w:color="auto"/>
          </w:divBdr>
        </w:div>
      </w:divsChild>
    </w:div>
    <w:div w:id="1203397530">
      <w:bodyDiv w:val="1"/>
      <w:marLeft w:val="0"/>
      <w:marRight w:val="0"/>
      <w:marTop w:val="0"/>
      <w:marBottom w:val="0"/>
      <w:divBdr>
        <w:top w:val="none" w:sz="0" w:space="0" w:color="auto"/>
        <w:left w:val="none" w:sz="0" w:space="0" w:color="auto"/>
        <w:bottom w:val="none" w:sz="0" w:space="0" w:color="auto"/>
        <w:right w:val="none" w:sz="0" w:space="0" w:color="auto"/>
      </w:divBdr>
      <w:divsChild>
        <w:div w:id="1317143577">
          <w:marLeft w:val="0"/>
          <w:marRight w:val="0"/>
          <w:marTop w:val="0"/>
          <w:marBottom w:val="0"/>
          <w:divBdr>
            <w:top w:val="none" w:sz="0" w:space="0" w:color="auto"/>
            <w:left w:val="none" w:sz="0" w:space="0" w:color="auto"/>
            <w:bottom w:val="none" w:sz="0" w:space="0" w:color="auto"/>
            <w:right w:val="none" w:sz="0" w:space="0" w:color="auto"/>
          </w:divBdr>
        </w:div>
      </w:divsChild>
    </w:div>
    <w:div w:id="1204562011">
      <w:bodyDiv w:val="1"/>
      <w:marLeft w:val="0"/>
      <w:marRight w:val="0"/>
      <w:marTop w:val="0"/>
      <w:marBottom w:val="0"/>
      <w:divBdr>
        <w:top w:val="none" w:sz="0" w:space="0" w:color="auto"/>
        <w:left w:val="none" w:sz="0" w:space="0" w:color="auto"/>
        <w:bottom w:val="none" w:sz="0" w:space="0" w:color="auto"/>
        <w:right w:val="none" w:sz="0" w:space="0" w:color="auto"/>
      </w:divBdr>
      <w:divsChild>
        <w:div w:id="885799235">
          <w:marLeft w:val="0"/>
          <w:marRight w:val="0"/>
          <w:marTop w:val="0"/>
          <w:marBottom w:val="0"/>
          <w:divBdr>
            <w:top w:val="none" w:sz="0" w:space="0" w:color="auto"/>
            <w:left w:val="none" w:sz="0" w:space="0" w:color="auto"/>
            <w:bottom w:val="none" w:sz="0" w:space="0" w:color="auto"/>
            <w:right w:val="none" w:sz="0" w:space="0" w:color="auto"/>
          </w:divBdr>
          <w:divsChild>
            <w:div w:id="176837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3504">
      <w:bodyDiv w:val="1"/>
      <w:marLeft w:val="0"/>
      <w:marRight w:val="0"/>
      <w:marTop w:val="0"/>
      <w:marBottom w:val="0"/>
      <w:divBdr>
        <w:top w:val="none" w:sz="0" w:space="0" w:color="auto"/>
        <w:left w:val="none" w:sz="0" w:space="0" w:color="auto"/>
        <w:bottom w:val="none" w:sz="0" w:space="0" w:color="auto"/>
        <w:right w:val="none" w:sz="0" w:space="0" w:color="auto"/>
      </w:divBdr>
      <w:divsChild>
        <w:div w:id="746076029">
          <w:marLeft w:val="0"/>
          <w:marRight w:val="0"/>
          <w:marTop w:val="0"/>
          <w:marBottom w:val="0"/>
          <w:divBdr>
            <w:top w:val="none" w:sz="0" w:space="0" w:color="auto"/>
            <w:left w:val="none" w:sz="0" w:space="0" w:color="auto"/>
            <w:bottom w:val="none" w:sz="0" w:space="0" w:color="auto"/>
            <w:right w:val="none" w:sz="0" w:space="0" w:color="auto"/>
          </w:divBdr>
        </w:div>
      </w:divsChild>
    </w:div>
    <w:div w:id="1206019472">
      <w:bodyDiv w:val="1"/>
      <w:marLeft w:val="0"/>
      <w:marRight w:val="0"/>
      <w:marTop w:val="0"/>
      <w:marBottom w:val="0"/>
      <w:divBdr>
        <w:top w:val="none" w:sz="0" w:space="0" w:color="auto"/>
        <w:left w:val="none" w:sz="0" w:space="0" w:color="auto"/>
        <w:bottom w:val="none" w:sz="0" w:space="0" w:color="auto"/>
        <w:right w:val="none" w:sz="0" w:space="0" w:color="auto"/>
      </w:divBdr>
      <w:divsChild>
        <w:div w:id="1679650952">
          <w:marLeft w:val="0"/>
          <w:marRight w:val="0"/>
          <w:marTop w:val="0"/>
          <w:marBottom w:val="0"/>
          <w:divBdr>
            <w:top w:val="none" w:sz="0" w:space="0" w:color="auto"/>
            <w:left w:val="none" w:sz="0" w:space="0" w:color="auto"/>
            <w:bottom w:val="none" w:sz="0" w:space="0" w:color="auto"/>
            <w:right w:val="none" w:sz="0" w:space="0" w:color="auto"/>
          </w:divBdr>
        </w:div>
      </w:divsChild>
    </w:div>
    <w:div w:id="1206287427">
      <w:bodyDiv w:val="1"/>
      <w:marLeft w:val="0"/>
      <w:marRight w:val="0"/>
      <w:marTop w:val="0"/>
      <w:marBottom w:val="0"/>
      <w:divBdr>
        <w:top w:val="none" w:sz="0" w:space="0" w:color="auto"/>
        <w:left w:val="none" w:sz="0" w:space="0" w:color="auto"/>
        <w:bottom w:val="none" w:sz="0" w:space="0" w:color="auto"/>
        <w:right w:val="none" w:sz="0" w:space="0" w:color="auto"/>
      </w:divBdr>
      <w:divsChild>
        <w:div w:id="359356234">
          <w:marLeft w:val="0"/>
          <w:marRight w:val="0"/>
          <w:marTop w:val="120"/>
          <w:marBottom w:val="0"/>
          <w:divBdr>
            <w:top w:val="none" w:sz="0" w:space="0" w:color="auto"/>
            <w:left w:val="none" w:sz="0" w:space="0" w:color="auto"/>
            <w:bottom w:val="none" w:sz="0" w:space="0" w:color="auto"/>
            <w:right w:val="none" w:sz="0" w:space="0" w:color="auto"/>
          </w:divBdr>
          <w:divsChild>
            <w:div w:id="903292901">
              <w:marLeft w:val="0"/>
              <w:marRight w:val="0"/>
              <w:marTop w:val="120"/>
              <w:marBottom w:val="0"/>
              <w:divBdr>
                <w:top w:val="none" w:sz="0" w:space="0" w:color="auto"/>
                <w:left w:val="none" w:sz="0" w:space="0" w:color="auto"/>
                <w:bottom w:val="none" w:sz="0" w:space="0" w:color="auto"/>
                <w:right w:val="none" w:sz="0" w:space="0" w:color="auto"/>
              </w:divBdr>
            </w:div>
            <w:div w:id="1723138549">
              <w:marLeft w:val="0"/>
              <w:marRight w:val="0"/>
              <w:marTop w:val="120"/>
              <w:marBottom w:val="0"/>
              <w:divBdr>
                <w:top w:val="none" w:sz="0" w:space="0" w:color="auto"/>
                <w:left w:val="none" w:sz="0" w:space="0" w:color="auto"/>
                <w:bottom w:val="none" w:sz="0" w:space="0" w:color="auto"/>
                <w:right w:val="none" w:sz="0" w:space="0" w:color="auto"/>
              </w:divBdr>
            </w:div>
            <w:div w:id="1750274670">
              <w:marLeft w:val="0"/>
              <w:marRight w:val="0"/>
              <w:marTop w:val="120"/>
              <w:marBottom w:val="0"/>
              <w:divBdr>
                <w:top w:val="none" w:sz="0" w:space="0" w:color="auto"/>
                <w:left w:val="none" w:sz="0" w:space="0" w:color="auto"/>
                <w:bottom w:val="none" w:sz="0" w:space="0" w:color="auto"/>
                <w:right w:val="none" w:sz="0" w:space="0" w:color="auto"/>
              </w:divBdr>
            </w:div>
            <w:div w:id="2143108882">
              <w:marLeft w:val="0"/>
              <w:marRight w:val="0"/>
              <w:marTop w:val="120"/>
              <w:marBottom w:val="0"/>
              <w:divBdr>
                <w:top w:val="none" w:sz="0" w:space="0" w:color="auto"/>
                <w:left w:val="none" w:sz="0" w:space="0" w:color="auto"/>
                <w:bottom w:val="none" w:sz="0" w:space="0" w:color="auto"/>
                <w:right w:val="none" w:sz="0" w:space="0" w:color="auto"/>
              </w:divBdr>
              <w:divsChild>
                <w:div w:id="49350032">
                  <w:marLeft w:val="0"/>
                  <w:marRight w:val="0"/>
                  <w:marTop w:val="0"/>
                  <w:marBottom w:val="0"/>
                  <w:divBdr>
                    <w:top w:val="none" w:sz="0" w:space="0" w:color="auto"/>
                    <w:left w:val="none" w:sz="0" w:space="0" w:color="auto"/>
                    <w:bottom w:val="none" w:sz="0" w:space="0" w:color="auto"/>
                    <w:right w:val="none" w:sz="0" w:space="0" w:color="auto"/>
                  </w:divBdr>
                  <w:divsChild>
                    <w:div w:id="384645435">
                      <w:marLeft w:val="0"/>
                      <w:marRight w:val="0"/>
                      <w:marTop w:val="120"/>
                      <w:marBottom w:val="0"/>
                      <w:divBdr>
                        <w:top w:val="none" w:sz="0" w:space="0" w:color="auto"/>
                        <w:left w:val="none" w:sz="0" w:space="0" w:color="auto"/>
                        <w:bottom w:val="none" w:sz="0" w:space="0" w:color="auto"/>
                        <w:right w:val="none" w:sz="0" w:space="0" w:color="auto"/>
                      </w:divBdr>
                    </w:div>
                    <w:div w:id="560093487">
                      <w:marLeft w:val="0"/>
                      <w:marRight w:val="0"/>
                      <w:marTop w:val="0"/>
                      <w:marBottom w:val="0"/>
                      <w:divBdr>
                        <w:top w:val="none" w:sz="0" w:space="0" w:color="auto"/>
                        <w:left w:val="none" w:sz="0" w:space="0" w:color="auto"/>
                        <w:bottom w:val="none" w:sz="0" w:space="0" w:color="auto"/>
                        <w:right w:val="none" w:sz="0" w:space="0" w:color="auto"/>
                      </w:divBdr>
                    </w:div>
                  </w:divsChild>
                </w:div>
                <w:div w:id="596794205">
                  <w:marLeft w:val="0"/>
                  <w:marRight w:val="0"/>
                  <w:marTop w:val="0"/>
                  <w:marBottom w:val="0"/>
                  <w:divBdr>
                    <w:top w:val="none" w:sz="0" w:space="0" w:color="auto"/>
                    <w:left w:val="none" w:sz="0" w:space="0" w:color="auto"/>
                    <w:bottom w:val="none" w:sz="0" w:space="0" w:color="auto"/>
                    <w:right w:val="none" w:sz="0" w:space="0" w:color="auto"/>
                  </w:divBdr>
                  <w:divsChild>
                    <w:div w:id="808209474">
                      <w:marLeft w:val="0"/>
                      <w:marRight w:val="0"/>
                      <w:marTop w:val="0"/>
                      <w:marBottom w:val="0"/>
                      <w:divBdr>
                        <w:top w:val="none" w:sz="0" w:space="0" w:color="auto"/>
                        <w:left w:val="none" w:sz="0" w:space="0" w:color="auto"/>
                        <w:bottom w:val="none" w:sz="0" w:space="0" w:color="auto"/>
                        <w:right w:val="none" w:sz="0" w:space="0" w:color="auto"/>
                      </w:divBdr>
                    </w:div>
                    <w:div w:id="1690520102">
                      <w:marLeft w:val="0"/>
                      <w:marRight w:val="0"/>
                      <w:marTop w:val="120"/>
                      <w:marBottom w:val="0"/>
                      <w:divBdr>
                        <w:top w:val="none" w:sz="0" w:space="0" w:color="auto"/>
                        <w:left w:val="none" w:sz="0" w:space="0" w:color="auto"/>
                        <w:bottom w:val="none" w:sz="0" w:space="0" w:color="auto"/>
                        <w:right w:val="none" w:sz="0" w:space="0" w:color="auto"/>
                      </w:divBdr>
                    </w:div>
                  </w:divsChild>
                </w:div>
                <w:div w:id="1204907782">
                  <w:marLeft w:val="0"/>
                  <w:marRight w:val="0"/>
                  <w:marTop w:val="0"/>
                  <w:marBottom w:val="0"/>
                  <w:divBdr>
                    <w:top w:val="none" w:sz="0" w:space="0" w:color="auto"/>
                    <w:left w:val="none" w:sz="0" w:space="0" w:color="auto"/>
                    <w:bottom w:val="none" w:sz="0" w:space="0" w:color="auto"/>
                    <w:right w:val="none" w:sz="0" w:space="0" w:color="auto"/>
                  </w:divBdr>
                  <w:divsChild>
                    <w:div w:id="347831984">
                      <w:marLeft w:val="0"/>
                      <w:marRight w:val="0"/>
                      <w:marTop w:val="120"/>
                      <w:marBottom w:val="0"/>
                      <w:divBdr>
                        <w:top w:val="none" w:sz="0" w:space="0" w:color="auto"/>
                        <w:left w:val="none" w:sz="0" w:space="0" w:color="auto"/>
                        <w:bottom w:val="none" w:sz="0" w:space="0" w:color="auto"/>
                        <w:right w:val="none" w:sz="0" w:space="0" w:color="auto"/>
                      </w:divBdr>
                    </w:div>
                    <w:div w:id="1161576891">
                      <w:marLeft w:val="0"/>
                      <w:marRight w:val="0"/>
                      <w:marTop w:val="0"/>
                      <w:marBottom w:val="0"/>
                      <w:divBdr>
                        <w:top w:val="none" w:sz="0" w:space="0" w:color="auto"/>
                        <w:left w:val="none" w:sz="0" w:space="0" w:color="auto"/>
                        <w:bottom w:val="none" w:sz="0" w:space="0" w:color="auto"/>
                        <w:right w:val="none" w:sz="0" w:space="0" w:color="auto"/>
                      </w:divBdr>
                    </w:div>
                  </w:divsChild>
                </w:div>
                <w:div w:id="1367481546">
                  <w:marLeft w:val="0"/>
                  <w:marRight w:val="0"/>
                  <w:marTop w:val="0"/>
                  <w:marBottom w:val="0"/>
                  <w:divBdr>
                    <w:top w:val="none" w:sz="0" w:space="0" w:color="auto"/>
                    <w:left w:val="none" w:sz="0" w:space="0" w:color="auto"/>
                    <w:bottom w:val="none" w:sz="0" w:space="0" w:color="auto"/>
                    <w:right w:val="none" w:sz="0" w:space="0" w:color="auto"/>
                  </w:divBdr>
                  <w:divsChild>
                    <w:div w:id="526220232">
                      <w:marLeft w:val="0"/>
                      <w:marRight w:val="0"/>
                      <w:marTop w:val="0"/>
                      <w:marBottom w:val="0"/>
                      <w:divBdr>
                        <w:top w:val="none" w:sz="0" w:space="0" w:color="auto"/>
                        <w:left w:val="none" w:sz="0" w:space="0" w:color="auto"/>
                        <w:bottom w:val="none" w:sz="0" w:space="0" w:color="auto"/>
                        <w:right w:val="none" w:sz="0" w:space="0" w:color="auto"/>
                      </w:divBdr>
                    </w:div>
                    <w:div w:id="16182189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94435928">
          <w:marLeft w:val="0"/>
          <w:marRight w:val="0"/>
          <w:marTop w:val="120"/>
          <w:marBottom w:val="0"/>
          <w:divBdr>
            <w:top w:val="none" w:sz="0" w:space="0" w:color="auto"/>
            <w:left w:val="none" w:sz="0" w:space="0" w:color="auto"/>
            <w:bottom w:val="none" w:sz="0" w:space="0" w:color="auto"/>
            <w:right w:val="none" w:sz="0" w:space="0" w:color="auto"/>
          </w:divBdr>
        </w:div>
        <w:div w:id="1867210957">
          <w:marLeft w:val="0"/>
          <w:marRight w:val="0"/>
          <w:marTop w:val="120"/>
          <w:marBottom w:val="0"/>
          <w:divBdr>
            <w:top w:val="none" w:sz="0" w:space="0" w:color="auto"/>
            <w:left w:val="none" w:sz="0" w:space="0" w:color="auto"/>
            <w:bottom w:val="none" w:sz="0" w:space="0" w:color="auto"/>
            <w:right w:val="none" w:sz="0" w:space="0" w:color="auto"/>
          </w:divBdr>
        </w:div>
      </w:divsChild>
    </w:div>
    <w:div w:id="1207638654">
      <w:bodyDiv w:val="1"/>
      <w:marLeft w:val="0"/>
      <w:marRight w:val="0"/>
      <w:marTop w:val="0"/>
      <w:marBottom w:val="0"/>
      <w:divBdr>
        <w:top w:val="none" w:sz="0" w:space="0" w:color="auto"/>
        <w:left w:val="none" w:sz="0" w:space="0" w:color="auto"/>
        <w:bottom w:val="none" w:sz="0" w:space="0" w:color="auto"/>
        <w:right w:val="none" w:sz="0" w:space="0" w:color="auto"/>
      </w:divBdr>
      <w:divsChild>
        <w:div w:id="584340020">
          <w:marLeft w:val="0"/>
          <w:marRight w:val="0"/>
          <w:marTop w:val="0"/>
          <w:marBottom w:val="0"/>
          <w:divBdr>
            <w:top w:val="none" w:sz="0" w:space="0" w:color="auto"/>
            <w:left w:val="none" w:sz="0" w:space="0" w:color="auto"/>
            <w:bottom w:val="none" w:sz="0" w:space="0" w:color="auto"/>
            <w:right w:val="none" w:sz="0" w:space="0" w:color="auto"/>
          </w:divBdr>
          <w:divsChild>
            <w:div w:id="922421296">
              <w:marLeft w:val="0"/>
              <w:marRight w:val="0"/>
              <w:marTop w:val="0"/>
              <w:marBottom w:val="0"/>
              <w:divBdr>
                <w:top w:val="none" w:sz="0" w:space="0" w:color="auto"/>
                <w:left w:val="none" w:sz="0" w:space="0" w:color="auto"/>
                <w:bottom w:val="none" w:sz="0" w:space="0" w:color="auto"/>
                <w:right w:val="none" w:sz="0" w:space="0" w:color="auto"/>
              </w:divBdr>
            </w:div>
          </w:divsChild>
        </w:div>
        <w:div w:id="791902765">
          <w:marLeft w:val="0"/>
          <w:marRight w:val="0"/>
          <w:marTop w:val="0"/>
          <w:marBottom w:val="0"/>
          <w:divBdr>
            <w:top w:val="none" w:sz="0" w:space="0" w:color="auto"/>
            <w:left w:val="none" w:sz="0" w:space="0" w:color="auto"/>
            <w:bottom w:val="none" w:sz="0" w:space="0" w:color="auto"/>
            <w:right w:val="none" w:sz="0" w:space="0" w:color="auto"/>
          </w:divBdr>
          <w:divsChild>
            <w:div w:id="1954634236">
              <w:marLeft w:val="0"/>
              <w:marRight w:val="0"/>
              <w:marTop w:val="0"/>
              <w:marBottom w:val="0"/>
              <w:divBdr>
                <w:top w:val="none" w:sz="0" w:space="0" w:color="auto"/>
                <w:left w:val="none" w:sz="0" w:space="0" w:color="auto"/>
                <w:bottom w:val="none" w:sz="0" w:space="0" w:color="auto"/>
                <w:right w:val="none" w:sz="0" w:space="0" w:color="auto"/>
              </w:divBdr>
            </w:div>
          </w:divsChild>
        </w:div>
        <w:div w:id="1046490198">
          <w:marLeft w:val="0"/>
          <w:marRight w:val="0"/>
          <w:marTop w:val="0"/>
          <w:marBottom w:val="0"/>
          <w:divBdr>
            <w:top w:val="none" w:sz="0" w:space="0" w:color="auto"/>
            <w:left w:val="none" w:sz="0" w:space="0" w:color="auto"/>
            <w:bottom w:val="none" w:sz="0" w:space="0" w:color="auto"/>
            <w:right w:val="none" w:sz="0" w:space="0" w:color="auto"/>
          </w:divBdr>
          <w:divsChild>
            <w:div w:id="1045568956">
              <w:marLeft w:val="0"/>
              <w:marRight w:val="0"/>
              <w:marTop w:val="0"/>
              <w:marBottom w:val="0"/>
              <w:divBdr>
                <w:top w:val="none" w:sz="0" w:space="0" w:color="auto"/>
                <w:left w:val="none" w:sz="0" w:space="0" w:color="auto"/>
                <w:bottom w:val="none" w:sz="0" w:space="0" w:color="auto"/>
                <w:right w:val="none" w:sz="0" w:space="0" w:color="auto"/>
              </w:divBdr>
            </w:div>
          </w:divsChild>
        </w:div>
        <w:div w:id="1791243506">
          <w:marLeft w:val="0"/>
          <w:marRight w:val="0"/>
          <w:marTop w:val="0"/>
          <w:marBottom w:val="0"/>
          <w:divBdr>
            <w:top w:val="none" w:sz="0" w:space="0" w:color="auto"/>
            <w:left w:val="none" w:sz="0" w:space="0" w:color="auto"/>
            <w:bottom w:val="none" w:sz="0" w:space="0" w:color="auto"/>
            <w:right w:val="none" w:sz="0" w:space="0" w:color="auto"/>
          </w:divBdr>
          <w:divsChild>
            <w:div w:id="19178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39519">
      <w:bodyDiv w:val="1"/>
      <w:marLeft w:val="0"/>
      <w:marRight w:val="0"/>
      <w:marTop w:val="0"/>
      <w:marBottom w:val="0"/>
      <w:divBdr>
        <w:top w:val="none" w:sz="0" w:space="0" w:color="auto"/>
        <w:left w:val="none" w:sz="0" w:space="0" w:color="auto"/>
        <w:bottom w:val="none" w:sz="0" w:space="0" w:color="auto"/>
        <w:right w:val="none" w:sz="0" w:space="0" w:color="auto"/>
      </w:divBdr>
      <w:divsChild>
        <w:div w:id="72515318">
          <w:marLeft w:val="0"/>
          <w:marRight w:val="0"/>
          <w:marTop w:val="0"/>
          <w:marBottom w:val="0"/>
          <w:divBdr>
            <w:top w:val="none" w:sz="0" w:space="0" w:color="auto"/>
            <w:left w:val="none" w:sz="0" w:space="0" w:color="auto"/>
            <w:bottom w:val="none" w:sz="0" w:space="0" w:color="auto"/>
            <w:right w:val="none" w:sz="0" w:space="0" w:color="auto"/>
          </w:divBdr>
          <w:divsChild>
            <w:div w:id="1261600627">
              <w:marLeft w:val="0"/>
              <w:marRight w:val="0"/>
              <w:marTop w:val="0"/>
              <w:marBottom w:val="0"/>
              <w:divBdr>
                <w:top w:val="none" w:sz="0" w:space="0" w:color="auto"/>
                <w:left w:val="none" w:sz="0" w:space="0" w:color="auto"/>
                <w:bottom w:val="none" w:sz="0" w:space="0" w:color="auto"/>
                <w:right w:val="none" w:sz="0" w:space="0" w:color="auto"/>
              </w:divBdr>
            </w:div>
          </w:divsChild>
        </w:div>
        <w:div w:id="557321295">
          <w:marLeft w:val="0"/>
          <w:marRight w:val="0"/>
          <w:marTop w:val="0"/>
          <w:marBottom w:val="0"/>
          <w:divBdr>
            <w:top w:val="none" w:sz="0" w:space="0" w:color="auto"/>
            <w:left w:val="none" w:sz="0" w:space="0" w:color="auto"/>
            <w:bottom w:val="none" w:sz="0" w:space="0" w:color="auto"/>
            <w:right w:val="none" w:sz="0" w:space="0" w:color="auto"/>
          </w:divBdr>
          <w:divsChild>
            <w:div w:id="1538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3029">
      <w:bodyDiv w:val="1"/>
      <w:marLeft w:val="0"/>
      <w:marRight w:val="0"/>
      <w:marTop w:val="0"/>
      <w:marBottom w:val="0"/>
      <w:divBdr>
        <w:top w:val="none" w:sz="0" w:space="0" w:color="auto"/>
        <w:left w:val="none" w:sz="0" w:space="0" w:color="auto"/>
        <w:bottom w:val="none" w:sz="0" w:space="0" w:color="auto"/>
        <w:right w:val="none" w:sz="0" w:space="0" w:color="auto"/>
      </w:divBdr>
      <w:divsChild>
        <w:div w:id="1624268301">
          <w:marLeft w:val="0"/>
          <w:marRight w:val="0"/>
          <w:marTop w:val="0"/>
          <w:marBottom w:val="0"/>
          <w:divBdr>
            <w:top w:val="none" w:sz="0" w:space="0" w:color="auto"/>
            <w:left w:val="none" w:sz="0" w:space="0" w:color="auto"/>
            <w:bottom w:val="none" w:sz="0" w:space="0" w:color="auto"/>
            <w:right w:val="none" w:sz="0" w:space="0" w:color="auto"/>
          </w:divBdr>
        </w:div>
      </w:divsChild>
    </w:div>
    <w:div w:id="1210536634">
      <w:bodyDiv w:val="1"/>
      <w:marLeft w:val="0"/>
      <w:marRight w:val="0"/>
      <w:marTop w:val="0"/>
      <w:marBottom w:val="0"/>
      <w:divBdr>
        <w:top w:val="none" w:sz="0" w:space="0" w:color="auto"/>
        <w:left w:val="none" w:sz="0" w:space="0" w:color="auto"/>
        <w:bottom w:val="none" w:sz="0" w:space="0" w:color="auto"/>
        <w:right w:val="none" w:sz="0" w:space="0" w:color="auto"/>
      </w:divBdr>
      <w:divsChild>
        <w:div w:id="905191048">
          <w:marLeft w:val="0"/>
          <w:marRight w:val="0"/>
          <w:marTop w:val="0"/>
          <w:marBottom w:val="0"/>
          <w:divBdr>
            <w:top w:val="none" w:sz="0" w:space="0" w:color="auto"/>
            <w:left w:val="none" w:sz="0" w:space="0" w:color="auto"/>
            <w:bottom w:val="none" w:sz="0" w:space="0" w:color="auto"/>
            <w:right w:val="none" w:sz="0" w:space="0" w:color="auto"/>
          </w:divBdr>
        </w:div>
      </w:divsChild>
    </w:div>
    <w:div w:id="1222013813">
      <w:bodyDiv w:val="1"/>
      <w:marLeft w:val="0"/>
      <w:marRight w:val="0"/>
      <w:marTop w:val="0"/>
      <w:marBottom w:val="0"/>
      <w:divBdr>
        <w:top w:val="none" w:sz="0" w:space="0" w:color="auto"/>
        <w:left w:val="none" w:sz="0" w:space="0" w:color="auto"/>
        <w:bottom w:val="none" w:sz="0" w:space="0" w:color="auto"/>
        <w:right w:val="none" w:sz="0" w:space="0" w:color="auto"/>
      </w:divBdr>
      <w:divsChild>
        <w:div w:id="903873278">
          <w:marLeft w:val="0"/>
          <w:marRight w:val="0"/>
          <w:marTop w:val="0"/>
          <w:marBottom w:val="0"/>
          <w:divBdr>
            <w:top w:val="none" w:sz="0" w:space="0" w:color="auto"/>
            <w:left w:val="none" w:sz="0" w:space="0" w:color="auto"/>
            <w:bottom w:val="none" w:sz="0" w:space="0" w:color="auto"/>
            <w:right w:val="none" w:sz="0" w:space="0" w:color="auto"/>
          </w:divBdr>
        </w:div>
      </w:divsChild>
    </w:div>
    <w:div w:id="1226572889">
      <w:bodyDiv w:val="1"/>
      <w:marLeft w:val="0"/>
      <w:marRight w:val="0"/>
      <w:marTop w:val="0"/>
      <w:marBottom w:val="0"/>
      <w:divBdr>
        <w:top w:val="none" w:sz="0" w:space="0" w:color="auto"/>
        <w:left w:val="none" w:sz="0" w:space="0" w:color="auto"/>
        <w:bottom w:val="none" w:sz="0" w:space="0" w:color="auto"/>
        <w:right w:val="none" w:sz="0" w:space="0" w:color="auto"/>
      </w:divBdr>
      <w:divsChild>
        <w:div w:id="813523083">
          <w:marLeft w:val="0"/>
          <w:marRight w:val="0"/>
          <w:marTop w:val="0"/>
          <w:marBottom w:val="0"/>
          <w:divBdr>
            <w:top w:val="none" w:sz="0" w:space="0" w:color="auto"/>
            <w:left w:val="none" w:sz="0" w:space="0" w:color="auto"/>
            <w:bottom w:val="none" w:sz="0" w:space="0" w:color="auto"/>
            <w:right w:val="none" w:sz="0" w:space="0" w:color="auto"/>
          </w:divBdr>
          <w:divsChild>
            <w:div w:id="1797720589">
              <w:marLeft w:val="0"/>
              <w:marRight w:val="0"/>
              <w:marTop w:val="0"/>
              <w:marBottom w:val="0"/>
              <w:divBdr>
                <w:top w:val="none" w:sz="0" w:space="0" w:color="auto"/>
                <w:left w:val="none" w:sz="0" w:space="0" w:color="auto"/>
                <w:bottom w:val="none" w:sz="0" w:space="0" w:color="auto"/>
                <w:right w:val="none" w:sz="0" w:space="0" w:color="auto"/>
              </w:divBdr>
            </w:div>
          </w:divsChild>
        </w:div>
        <w:div w:id="1298143260">
          <w:marLeft w:val="0"/>
          <w:marRight w:val="0"/>
          <w:marTop w:val="0"/>
          <w:marBottom w:val="0"/>
          <w:divBdr>
            <w:top w:val="none" w:sz="0" w:space="0" w:color="auto"/>
            <w:left w:val="none" w:sz="0" w:space="0" w:color="auto"/>
            <w:bottom w:val="none" w:sz="0" w:space="0" w:color="auto"/>
            <w:right w:val="none" w:sz="0" w:space="0" w:color="auto"/>
          </w:divBdr>
          <w:divsChild>
            <w:div w:id="571547472">
              <w:marLeft w:val="0"/>
              <w:marRight w:val="0"/>
              <w:marTop w:val="0"/>
              <w:marBottom w:val="0"/>
              <w:divBdr>
                <w:top w:val="none" w:sz="0" w:space="0" w:color="auto"/>
                <w:left w:val="none" w:sz="0" w:space="0" w:color="auto"/>
                <w:bottom w:val="none" w:sz="0" w:space="0" w:color="auto"/>
                <w:right w:val="none" w:sz="0" w:space="0" w:color="auto"/>
              </w:divBdr>
              <w:divsChild>
                <w:div w:id="337199846">
                  <w:marLeft w:val="0"/>
                  <w:marRight w:val="0"/>
                  <w:marTop w:val="0"/>
                  <w:marBottom w:val="0"/>
                  <w:divBdr>
                    <w:top w:val="none" w:sz="0" w:space="0" w:color="auto"/>
                    <w:left w:val="none" w:sz="0" w:space="0" w:color="auto"/>
                    <w:bottom w:val="none" w:sz="0" w:space="0" w:color="auto"/>
                    <w:right w:val="none" w:sz="0" w:space="0" w:color="auto"/>
                  </w:divBdr>
                  <w:divsChild>
                    <w:div w:id="52238309">
                      <w:marLeft w:val="0"/>
                      <w:marRight w:val="0"/>
                      <w:marTop w:val="120"/>
                      <w:marBottom w:val="0"/>
                      <w:divBdr>
                        <w:top w:val="none" w:sz="0" w:space="0" w:color="auto"/>
                        <w:left w:val="none" w:sz="0" w:space="0" w:color="auto"/>
                        <w:bottom w:val="none" w:sz="0" w:space="0" w:color="auto"/>
                        <w:right w:val="none" w:sz="0" w:space="0" w:color="auto"/>
                      </w:divBdr>
                    </w:div>
                    <w:div w:id="986514796">
                      <w:marLeft w:val="0"/>
                      <w:marRight w:val="0"/>
                      <w:marTop w:val="0"/>
                      <w:marBottom w:val="0"/>
                      <w:divBdr>
                        <w:top w:val="none" w:sz="0" w:space="0" w:color="auto"/>
                        <w:left w:val="none" w:sz="0" w:space="0" w:color="auto"/>
                        <w:bottom w:val="none" w:sz="0" w:space="0" w:color="auto"/>
                        <w:right w:val="none" w:sz="0" w:space="0" w:color="auto"/>
                      </w:divBdr>
                    </w:div>
                  </w:divsChild>
                </w:div>
                <w:div w:id="1422606160">
                  <w:marLeft w:val="0"/>
                  <w:marRight w:val="0"/>
                  <w:marTop w:val="0"/>
                  <w:marBottom w:val="0"/>
                  <w:divBdr>
                    <w:top w:val="none" w:sz="0" w:space="0" w:color="auto"/>
                    <w:left w:val="none" w:sz="0" w:space="0" w:color="auto"/>
                    <w:bottom w:val="none" w:sz="0" w:space="0" w:color="auto"/>
                    <w:right w:val="none" w:sz="0" w:space="0" w:color="auto"/>
                  </w:divBdr>
                  <w:divsChild>
                    <w:div w:id="1648512291">
                      <w:marLeft w:val="0"/>
                      <w:marRight w:val="0"/>
                      <w:marTop w:val="0"/>
                      <w:marBottom w:val="0"/>
                      <w:divBdr>
                        <w:top w:val="none" w:sz="0" w:space="0" w:color="auto"/>
                        <w:left w:val="none" w:sz="0" w:space="0" w:color="auto"/>
                        <w:bottom w:val="none" w:sz="0" w:space="0" w:color="auto"/>
                        <w:right w:val="none" w:sz="0" w:space="0" w:color="auto"/>
                      </w:divBdr>
                    </w:div>
                    <w:div w:id="1813329890">
                      <w:marLeft w:val="0"/>
                      <w:marRight w:val="0"/>
                      <w:marTop w:val="120"/>
                      <w:marBottom w:val="0"/>
                      <w:divBdr>
                        <w:top w:val="none" w:sz="0" w:space="0" w:color="auto"/>
                        <w:left w:val="none" w:sz="0" w:space="0" w:color="auto"/>
                        <w:bottom w:val="none" w:sz="0" w:space="0" w:color="auto"/>
                        <w:right w:val="none" w:sz="0" w:space="0" w:color="auto"/>
                      </w:divBdr>
                    </w:div>
                  </w:divsChild>
                </w:div>
                <w:div w:id="1721173360">
                  <w:marLeft w:val="0"/>
                  <w:marRight w:val="0"/>
                  <w:marTop w:val="0"/>
                  <w:marBottom w:val="0"/>
                  <w:divBdr>
                    <w:top w:val="none" w:sz="0" w:space="0" w:color="auto"/>
                    <w:left w:val="none" w:sz="0" w:space="0" w:color="auto"/>
                    <w:bottom w:val="none" w:sz="0" w:space="0" w:color="auto"/>
                    <w:right w:val="none" w:sz="0" w:space="0" w:color="auto"/>
                  </w:divBdr>
                  <w:divsChild>
                    <w:div w:id="156850815">
                      <w:marLeft w:val="0"/>
                      <w:marRight w:val="0"/>
                      <w:marTop w:val="120"/>
                      <w:marBottom w:val="0"/>
                      <w:divBdr>
                        <w:top w:val="none" w:sz="0" w:space="0" w:color="auto"/>
                        <w:left w:val="none" w:sz="0" w:space="0" w:color="auto"/>
                        <w:bottom w:val="none" w:sz="0" w:space="0" w:color="auto"/>
                        <w:right w:val="none" w:sz="0" w:space="0" w:color="auto"/>
                      </w:divBdr>
                    </w:div>
                    <w:div w:id="1650014511">
                      <w:marLeft w:val="0"/>
                      <w:marRight w:val="0"/>
                      <w:marTop w:val="0"/>
                      <w:marBottom w:val="0"/>
                      <w:divBdr>
                        <w:top w:val="none" w:sz="0" w:space="0" w:color="auto"/>
                        <w:left w:val="none" w:sz="0" w:space="0" w:color="auto"/>
                        <w:bottom w:val="none" w:sz="0" w:space="0" w:color="auto"/>
                        <w:right w:val="none" w:sz="0" w:space="0" w:color="auto"/>
                      </w:divBdr>
                    </w:div>
                  </w:divsChild>
                </w:div>
                <w:div w:id="1830754842">
                  <w:marLeft w:val="0"/>
                  <w:marRight w:val="0"/>
                  <w:marTop w:val="0"/>
                  <w:marBottom w:val="0"/>
                  <w:divBdr>
                    <w:top w:val="none" w:sz="0" w:space="0" w:color="auto"/>
                    <w:left w:val="none" w:sz="0" w:space="0" w:color="auto"/>
                    <w:bottom w:val="none" w:sz="0" w:space="0" w:color="auto"/>
                    <w:right w:val="none" w:sz="0" w:space="0" w:color="auto"/>
                  </w:divBdr>
                  <w:divsChild>
                    <w:div w:id="1004019590">
                      <w:marLeft w:val="0"/>
                      <w:marRight w:val="0"/>
                      <w:marTop w:val="120"/>
                      <w:marBottom w:val="0"/>
                      <w:divBdr>
                        <w:top w:val="none" w:sz="0" w:space="0" w:color="auto"/>
                        <w:left w:val="none" w:sz="0" w:space="0" w:color="auto"/>
                        <w:bottom w:val="none" w:sz="0" w:space="0" w:color="auto"/>
                        <w:right w:val="none" w:sz="0" w:space="0" w:color="auto"/>
                      </w:divBdr>
                    </w:div>
                    <w:div w:id="15497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031428">
      <w:bodyDiv w:val="1"/>
      <w:marLeft w:val="0"/>
      <w:marRight w:val="0"/>
      <w:marTop w:val="0"/>
      <w:marBottom w:val="0"/>
      <w:divBdr>
        <w:top w:val="none" w:sz="0" w:space="0" w:color="auto"/>
        <w:left w:val="none" w:sz="0" w:space="0" w:color="auto"/>
        <w:bottom w:val="none" w:sz="0" w:space="0" w:color="auto"/>
        <w:right w:val="none" w:sz="0" w:space="0" w:color="auto"/>
      </w:divBdr>
      <w:divsChild>
        <w:div w:id="1465805900">
          <w:marLeft w:val="0"/>
          <w:marRight w:val="0"/>
          <w:marTop w:val="0"/>
          <w:marBottom w:val="0"/>
          <w:divBdr>
            <w:top w:val="none" w:sz="0" w:space="0" w:color="auto"/>
            <w:left w:val="none" w:sz="0" w:space="0" w:color="auto"/>
            <w:bottom w:val="none" w:sz="0" w:space="0" w:color="auto"/>
            <w:right w:val="none" w:sz="0" w:space="0" w:color="auto"/>
          </w:divBdr>
          <w:divsChild>
            <w:div w:id="1971090219">
              <w:marLeft w:val="0"/>
              <w:marRight w:val="0"/>
              <w:marTop w:val="0"/>
              <w:marBottom w:val="0"/>
              <w:divBdr>
                <w:top w:val="none" w:sz="0" w:space="0" w:color="auto"/>
                <w:left w:val="none" w:sz="0" w:space="0" w:color="auto"/>
                <w:bottom w:val="none" w:sz="0" w:space="0" w:color="auto"/>
                <w:right w:val="none" w:sz="0" w:space="0" w:color="auto"/>
              </w:divBdr>
            </w:div>
          </w:divsChild>
        </w:div>
        <w:div w:id="1888108311">
          <w:marLeft w:val="0"/>
          <w:marRight w:val="0"/>
          <w:marTop w:val="0"/>
          <w:marBottom w:val="0"/>
          <w:divBdr>
            <w:top w:val="none" w:sz="0" w:space="0" w:color="auto"/>
            <w:left w:val="none" w:sz="0" w:space="0" w:color="auto"/>
            <w:bottom w:val="none" w:sz="0" w:space="0" w:color="auto"/>
            <w:right w:val="none" w:sz="0" w:space="0" w:color="auto"/>
          </w:divBdr>
          <w:divsChild>
            <w:div w:id="10757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5630">
      <w:bodyDiv w:val="1"/>
      <w:marLeft w:val="0"/>
      <w:marRight w:val="0"/>
      <w:marTop w:val="0"/>
      <w:marBottom w:val="0"/>
      <w:divBdr>
        <w:top w:val="none" w:sz="0" w:space="0" w:color="auto"/>
        <w:left w:val="none" w:sz="0" w:space="0" w:color="auto"/>
        <w:bottom w:val="none" w:sz="0" w:space="0" w:color="auto"/>
        <w:right w:val="none" w:sz="0" w:space="0" w:color="auto"/>
      </w:divBdr>
      <w:divsChild>
        <w:div w:id="692609753">
          <w:marLeft w:val="0"/>
          <w:marRight w:val="0"/>
          <w:marTop w:val="0"/>
          <w:marBottom w:val="0"/>
          <w:divBdr>
            <w:top w:val="none" w:sz="0" w:space="0" w:color="auto"/>
            <w:left w:val="none" w:sz="0" w:space="0" w:color="auto"/>
            <w:bottom w:val="none" w:sz="0" w:space="0" w:color="auto"/>
            <w:right w:val="none" w:sz="0" w:space="0" w:color="auto"/>
          </w:divBdr>
          <w:divsChild>
            <w:div w:id="627971770">
              <w:marLeft w:val="0"/>
              <w:marRight w:val="0"/>
              <w:marTop w:val="0"/>
              <w:marBottom w:val="0"/>
              <w:divBdr>
                <w:top w:val="none" w:sz="0" w:space="0" w:color="auto"/>
                <w:left w:val="none" w:sz="0" w:space="0" w:color="auto"/>
                <w:bottom w:val="none" w:sz="0" w:space="0" w:color="auto"/>
                <w:right w:val="none" w:sz="0" w:space="0" w:color="auto"/>
              </w:divBdr>
              <w:divsChild>
                <w:div w:id="1195728304">
                  <w:marLeft w:val="0"/>
                  <w:marRight w:val="0"/>
                  <w:marTop w:val="120"/>
                  <w:marBottom w:val="0"/>
                  <w:divBdr>
                    <w:top w:val="none" w:sz="0" w:space="0" w:color="auto"/>
                    <w:left w:val="none" w:sz="0" w:space="0" w:color="auto"/>
                    <w:bottom w:val="none" w:sz="0" w:space="0" w:color="auto"/>
                    <w:right w:val="none" w:sz="0" w:space="0" w:color="auto"/>
                  </w:divBdr>
                </w:div>
                <w:div w:id="1543202948">
                  <w:marLeft w:val="0"/>
                  <w:marRight w:val="0"/>
                  <w:marTop w:val="0"/>
                  <w:marBottom w:val="0"/>
                  <w:divBdr>
                    <w:top w:val="none" w:sz="0" w:space="0" w:color="auto"/>
                    <w:left w:val="none" w:sz="0" w:space="0" w:color="auto"/>
                    <w:bottom w:val="none" w:sz="0" w:space="0" w:color="auto"/>
                    <w:right w:val="none" w:sz="0" w:space="0" w:color="auto"/>
                  </w:divBdr>
                </w:div>
              </w:divsChild>
            </w:div>
            <w:div w:id="1692337864">
              <w:marLeft w:val="0"/>
              <w:marRight w:val="0"/>
              <w:marTop w:val="0"/>
              <w:marBottom w:val="0"/>
              <w:divBdr>
                <w:top w:val="none" w:sz="0" w:space="0" w:color="auto"/>
                <w:left w:val="none" w:sz="0" w:space="0" w:color="auto"/>
                <w:bottom w:val="none" w:sz="0" w:space="0" w:color="auto"/>
                <w:right w:val="none" w:sz="0" w:space="0" w:color="auto"/>
              </w:divBdr>
              <w:divsChild>
                <w:div w:id="1052920606">
                  <w:marLeft w:val="0"/>
                  <w:marRight w:val="0"/>
                  <w:marTop w:val="0"/>
                  <w:marBottom w:val="0"/>
                  <w:divBdr>
                    <w:top w:val="none" w:sz="0" w:space="0" w:color="auto"/>
                    <w:left w:val="none" w:sz="0" w:space="0" w:color="auto"/>
                    <w:bottom w:val="none" w:sz="0" w:space="0" w:color="auto"/>
                    <w:right w:val="none" w:sz="0" w:space="0" w:color="auto"/>
                  </w:divBdr>
                </w:div>
                <w:div w:id="17476499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38176981">
      <w:bodyDiv w:val="1"/>
      <w:marLeft w:val="0"/>
      <w:marRight w:val="0"/>
      <w:marTop w:val="0"/>
      <w:marBottom w:val="0"/>
      <w:divBdr>
        <w:top w:val="none" w:sz="0" w:space="0" w:color="auto"/>
        <w:left w:val="none" w:sz="0" w:space="0" w:color="auto"/>
        <w:bottom w:val="none" w:sz="0" w:space="0" w:color="auto"/>
        <w:right w:val="none" w:sz="0" w:space="0" w:color="auto"/>
      </w:divBdr>
      <w:divsChild>
        <w:div w:id="88892588">
          <w:marLeft w:val="0"/>
          <w:marRight w:val="0"/>
          <w:marTop w:val="0"/>
          <w:marBottom w:val="0"/>
          <w:divBdr>
            <w:top w:val="none" w:sz="0" w:space="0" w:color="auto"/>
            <w:left w:val="none" w:sz="0" w:space="0" w:color="auto"/>
            <w:bottom w:val="none" w:sz="0" w:space="0" w:color="auto"/>
            <w:right w:val="none" w:sz="0" w:space="0" w:color="auto"/>
          </w:divBdr>
          <w:divsChild>
            <w:div w:id="16194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32008">
      <w:bodyDiv w:val="1"/>
      <w:marLeft w:val="0"/>
      <w:marRight w:val="0"/>
      <w:marTop w:val="0"/>
      <w:marBottom w:val="0"/>
      <w:divBdr>
        <w:top w:val="none" w:sz="0" w:space="0" w:color="auto"/>
        <w:left w:val="none" w:sz="0" w:space="0" w:color="auto"/>
        <w:bottom w:val="none" w:sz="0" w:space="0" w:color="auto"/>
        <w:right w:val="none" w:sz="0" w:space="0" w:color="auto"/>
      </w:divBdr>
      <w:divsChild>
        <w:div w:id="567770226">
          <w:marLeft w:val="0"/>
          <w:marRight w:val="0"/>
          <w:marTop w:val="0"/>
          <w:marBottom w:val="0"/>
          <w:divBdr>
            <w:top w:val="none" w:sz="0" w:space="0" w:color="auto"/>
            <w:left w:val="none" w:sz="0" w:space="0" w:color="auto"/>
            <w:bottom w:val="none" w:sz="0" w:space="0" w:color="auto"/>
            <w:right w:val="none" w:sz="0" w:space="0" w:color="auto"/>
          </w:divBdr>
          <w:divsChild>
            <w:div w:id="1497190603">
              <w:marLeft w:val="0"/>
              <w:marRight w:val="0"/>
              <w:marTop w:val="0"/>
              <w:marBottom w:val="0"/>
              <w:divBdr>
                <w:top w:val="none" w:sz="0" w:space="0" w:color="auto"/>
                <w:left w:val="none" w:sz="0" w:space="0" w:color="auto"/>
                <w:bottom w:val="none" w:sz="0" w:space="0" w:color="auto"/>
                <w:right w:val="none" w:sz="0" w:space="0" w:color="auto"/>
              </w:divBdr>
            </w:div>
          </w:divsChild>
        </w:div>
        <w:div w:id="1001156231">
          <w:marLeft w:val="0"/>
          <w:marRight w:val="0"/>
          <w:marTop w:val="0"/>
          <w:marBottom w:val="0"/>
          <w:divBdr>
            <w:top w:val="none" w:sz="0" w:space="0" w:color="auto"/>
            <w:left w:val="none" w:sz="0" w:space="0" w:color="auto"/>
            <w:bottom w:val="none" w:sz="0" w:space="0" w:color="auto"/>
            <w:right w:val="none" w:sz="0" w:space="0" w:color="auto"/>
          </w:divBdr>
        </w:div>
      </w:divsChild>
    </w:div>
    <w:div w:id="1244528656">
      <w:bodyDiv w:val="1"/>
      <w:marLeft w:val="0"/>
      <w:marRight w:val="0"/>
      <w:marTop w:val="0"/>
      <w:marBottom w:val="0"/>
      <w:divBdr>
        <w:top w:val="none" w:sz="0" w:space="0" w:color="auto"/>
        <w:left w:val="none" w:sz="0" w:space="0" w:color="auto"/>
        <w:bottom w:val="none" w:sz="0" w:space="0" w:color="auto"/>
        <w:right w:val="none" w:sz="0" w:space="0" w:color="auto"/>
      </w:divBdr>
      <w:divsChild>
        <w:div w:id="718018160">
          <w:marLeft w:val="0"/>
          <w:marRight w:val="0"/>
          <w:marTop w:val="0"/>
          <w:marBottom w:val="0"/>
          <w:divBdr>
            <w:top w:val="none" w:sz="0" w:space="0" w:color="auto"/>
            <w:left w:val="none" w:sz="0" w:space="0" w:color="auto"/>
            <w:bottom w:val="none" w:sz="0" w:space="0" w:color="auto"/>
            <w:right w:val="none" w:sz="0" w:space="0" w:color="auto"/>
          </w:divBdr>
        </w:div>
      </w:divsChild>
    </w:div>
    <w:div w:id="1246259049">
      <w:bodyDiv w:val="1"/>
      <w:marLeft w:val="0"/>
      <w:marRight w:val="0"/>
      <w:marTop w:val="0"/>
      <w:marBottom w:val="0"/>
      <w:divBdr>
        <w:top w:val="none" w:sz="0" w:space="0" w:color="auto"/>
        <w:left w:val="none" w:sz="0" w:space="0" w:color="auto"/>
        <w:bottom w:val="none" w:sz="0" w:space="0" w:color="auto"/>
        <w:right w:val="none" w:sz="0" w:space="0" w:color="auto"/>
      </w:divBdr>
      <w:divsChild>
        <w:div w:id="1029139339">
          <w:marLeft w:val="0"/>
          <w:marRight w:val="0"/>
          <w:marTop w:val="0"/>
          <w:marBottom w:val="0"/>
          <w:divBdr>
            <w:top w:val="none" w:sz="0" w:space="0" w:color="auto"/>
            <w:left w:val="none" w:sz="0" w:space="0" w:color="auto"/>
            <w:bottom w:val="none" w:sz="0" w:space="0" w:color="auto"/>
            <w:right w:val="none" w:sz="0" w:space="0" w:color="auto"/>
          </w:divBdr>
          <w:divsChild>
            <w:div w:id="164732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74252">
      <w:bodyDiv w:val="1"/>
      <w:marLeft w:val="0"/>
      <w:marRight w:val="0"/>
      <w:marTop w:val="0"/>
      <w:marBottom w:val="0"/>
      <w:divBdr>
        <w:top w:val="none" w:sz="0" w:space="0" w:color="auto"/>
        <w:left w:val="none" w:sz="0" w:space="0" w:color="auto"/>
        <w:bottom w:val="none" w:sz="0" w:space="0" w:color="auto"/>
        <w:right w:val="none" w:sz="0" w:space="0" w:color="auto"/>
      </w:divBdr>
      <w:divsChild>
        <w:div w:id="23869626">
          <w:marLeft w:val="0"/>
          <w:marRight w:val="0"/>
          <w:marTop w:val="0"/>
          <w:marBottom w:val="0"/>
          <w:divBdr>
            <w:top w:val="none" w:sz="0" w:space="0" w:color="auto"/>
            <w:left w:val="none" w:sz="0" w:space="0" w:color="auto"/>
            <w:bottom w:val="none" w:sz="0" w:space="0" w:color="auto"/>
            <w:right w:val="none" w:sz="0" w:space="0" w:color="auto"/>
          </w:divBdr>
          <w:divsChild>
            <w:div w:id="565262006">
              <w:marLeft w:val="0"/>
              <w:marRight w:val="0"/>
              <w:marTop w:val="0"/>
              <w:marBottom w:val="0"/>
              <w:divBdr>
                <w:top w:val="none" w:sz="0" w:space="0" w:color="auto"/>
                <w:left w:val="none" w:sz="0" w:space="0" w:color="auto"/>
                <w:bottom w:val="none" w:sz="0" w:space="0" w:color="auto"/>
                <w:right w:val="none" w:sz="0" w:space="0" w:color="auto"/>
              </w:divBdr>
            </w:div>
          </w:divsChild>
        </w:div>
        <w:div w:id="1361510521">
          <w:marLeft w:val="0"/>
          <w:marRight w:val="0"/>
          <w:marTop w:val="0"/>
          <w:marBottom w:val="0"/>
          <w:divBdr>
            <w:top w:val="none" w:sz="0" w:space="0" w:color="auto"/>
            <w:left w:val="none" w:sz="0" w:space="0" w:color="auto"/>
            <w:bottom w:val="none" w:sz="0" w:space="0" w:color="auto"/>
            <w:right w:val="none" w:sz="0" w:space="0" w:color="auto"/>
          </w:divBdr>
          <w:divsChild>
            <w:div w:id="335379056">
              <w:marLeft w:val="0"/>
              <w:marRight w:val="0"/>
              <w:marTop w:val="0"/>
              <w:marBottom w:val="0"/>
              <w:divBdr>
                <w:top w:val="none" w:sz="0" w:space="0" w:color="auto"/>
                <w:left w:val="none" w:sz="0" w:space="0" w:color="auto"/>
                <w:bottom w:val="none" w:sz="0" w:space="0" w:color="auto"/>
                <w:right w:val="none" w:sz="0" w:space="0" w:color="auto"/>
              </w:divBdr>
            </w:div>
          </w:divsChild>
        </w:div>
        <w:div w:id="1507163038">
          <w:marLeft w:val="0"/>
          <w:marRight w:val="0"/>
          <w:marTop w:val="0"/>
          <w:marBottom w:val="0"/>
          <w:divBdr>
            <w:top w:val="none" w:sz="0" w:space="0" w:color="auto"/>
            <w:left w:val="none" w:sz="0" w:space="0" w:color="auto"/>
            <w:bottom w:val="none" w:sz="0" w:space="0" w:color="auto"/>
            <w:right w:val="none" w:sz="0" w:space="0" w:color="auto"/>
          </w:divBdr>
          <w:divsChild>
            <w:div w:id="157118327">
              <w:marLeft w:val="0"/>
              <w:marRight w:val="0"/>
              <w:marTop w:val="0"/>
              <w:marBottom w:val="0"/>
              <w:divBdr>
                <w:top w:val="none" w:sz="0" w:space="0" w:color="auto"/>
                <w:left w:val="none" w:sz="0" w:space="0" w:color="auto"/>
                <w:bottom w:val="none" w:sz="0" w:space="0" w:color="auto"/>
                <w:right w:val="none" w:sz="0" w:space="0" w:color="auto"/>
              </w:divBdr>
            </w:div>
          </w:divsChild>
        </w:div>
        <w:div w:id="1531990169">
          <w:marLeft w:val="0"/>
          <w:marRight w:val="0"/>
          <w:marTop w:val="0"/>
          <w:marBottom w:val="0"/>
          <w:divBdr>
            <w:top w:val="none" w:sz="0" w:space="0" w:color="auto"/>
            <w:left w:val="none" w:sz="0" w:space="0" w:color="auto"/>
            <w:bottom w:val="none" w:sz="0" w:space="0" w:color="auto"/>
            <w:right w:val="none" w:sz="0" w:space="0" w:color="auto"/>
          </w:divBdr>
          <w:divsChild>
            <w:div w:id="8640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2242">
      <w:bodyDiv w:val="1"/>
      <w:marLeft w:val="0"/>
      <w:marRight w:val="0"/>
      <w:marTop w:val="0"/>
      <w:marBottom w:val="0"/>
      <w:divBdr>
        <w:top w:val="none" w:sz="0" w:space="0" w:color="auto"/>
        <w:left w:val="none" w:sz="0" w:space="0" w:color="auto"/>
        <w:bottom w:val="none" w:sz="0" w:space="0" w:color="auto"/>
        <w:right w:val="none" w:sz="0" w:space="0" w:color="auto"/>
      </w:divBdr>
      <w:divsChild>
        <w:div w:id="923075423">
          <w:marLeft w:val="0"/>
          <w:marRight w:val="0"/>
          <w:marTop w:val="0"/>
          <w:marBottom w:val="0"/>
          <w:divBdr>
            <w:top w:val="none" w:sz="0" w:space="0" w:color="auto"/>
            <w:left w:val="none" w:sz="0" w:space="0" w:color="auto"/>
            <w:bottom w:val="none" w:sz="0" w:space="0" w:color="auto"/>
            <w:right w:val="none" w:sz="0" w:space="0" w:color="auto"/>
          </w:divBdr>
        </w:div>
      </w:divsChild>
    </w:div>
    <w:div w:id="1266185450">
      <w:bodyDiv w:val="1"/>
      <w:marLeft w:val="0"/>
      <w:marRight w:val="0"/>
      <w:marTop w:val="0"/>
      <w:marBottom w:val="0"/>
      <w:divBdr>
        <w:top w:val="none" w:sz="0" w:space="0" w:color="auto"/>
        <w:left w:val="none" w:sz="0" w:space="0" w:color="auto"/>
        <w:bottom w:val="none" w:sz="0" w:space="0" w:color="auto"/>
        <w:right w:val="none" w:sz="0" w:space="0" w:color="auto"/>
      </w:divBdr>
      <w:divsChild>
        <w:div w:id="1169908878">
          <w:marLeft w:val="0"/>
          <w:marRight w:val="0"/>
          <w:marTop w:val="0"/>
          <w:marBottom w:val="0"/>
          <w:divBdr>
            <w:top w:val="none" w:sz="0" w:space="0" w:color="auto"/>
            <w:left w:val="none" w:sz="0" w:space="0" w:color="auto"/>
            <w:bottom w:val="none" w:sz="0" w:space="0" w:color="auto"/>
            <w:right w:val="none" w:sz="0" w:space="0" w:color="auto"/>
          </w:divBdr>
          <w:divsChild>
            <w:div w:id="111255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11761">
      <w:bodyDiv w:val="1"/>
      <w:marLeft w:val="0"/>
      <w:marRight w:val="0"/>
      <w:marTop w:val="0"/>
      <w:marBottom w:val="0"/>
      <w:divBdr>
        <w:top w:val="none" w:sz="0" w:space="0" w:color="auto"/>
        <w:left w:val="none" w:sz="0" w:space="0" w:color="auto"/>
        <w:bottom w:val="none" w:sz="0" w:space="0" w:color="auto"/>
        <w:right w:val="none" w:sz="0" w:space="0" w:color="auto"/>
      </w:divBdr>
      <w:divsChild>
        <w:div w:id="915477377">
          <w:marLeft w:val="0"/>
          <w:marRight w:val="0"/>
          <w:marTop w:val="0"/>
          <w:marBottom w:val="0"/>
          <w:divBdr>
            <w:top w:val="none" w:sz="0" w:space="0" w:color="auto"/>
            <w:left w:val="none" w:sz="0" w:space="0" w:color="auto"/>
            <w:bottom w:val="none" w:sz="0" w:space="0" w:color="auto"/>
            <w:right w:val="none" w:sz="0" w:space="0" w:color="auto"/>
          </w:divBdr>
          <w:divsChild>
            <w:div w:id="788553705">
              <w:marLeft w:val="0"/>
              <w:marRight w:val="0"/>
              <w:marTop w:val="0"/>
              <w:marBottom w:val="0"/>
              <w:divBdr>
                <w:top w:val="none" w:sz="0" w:space="0" w:color="auto"/>
                <w:left w:val="none" w:sz="0" w:space="0" w:color="auto"/>
                <w:bottom w:val="none" w:sz="0" w:space="0" w:color="auto"/>
                <w:right w:val="none" w:sz="0" w:space="0" w:color="auto"/>
              </w:divBdr>
              <w:divsChild>
                <w:div w:id="473565342">
                  <w:marLeft w:val="0"/>
                  <w:marRight w:val="0"/>
                  <w:marTop w:val="0"/>
                  <w:marBottom w:val="0"/>
                  <w:divBdr>
                    <w:top w:val="none" w:sz="0" w:space="0" w:color="auto"/>
                    <w:left w:val="none" w:sz="0" w:space="0" w:color="auto"/>
                    <w:bottom w:val="none" w:sz="0" w:space="0" w:color="auto"/>
                    <w:right w:val="none" w:sz="0" w:space="0" w:color="auto"/>
                  </w:divBdr>
                </w:div>
                <w:div w:id="756514025">
                  <w:marLeft w:val="0"/>
                  <w:marRight w:val="0"/>
                  <w:marTop w:val="120"/>
                  <w:marBottom w:val="0"/>
                  <w:divBdr>
                    <w:top w:val="none" w:sz="0" w:space="0" w:color="auto"/>
                    <w:left w:val="none" w:sz="0" w:space="0" w:color="auto"/>
                    <w:bottom w:val="none" w:sz="0" w:space="0" w:color="auto"/>
                    <w:right w:val="none" w:sz="0" w:space="0" w:color="auto"/>
                  </w:divBdr>
                </w:div>
              </w:divsChild>
            </w:div>
            <w:div w:id="1179663826">
              <w:marLeft w:val="0"/>
              <w:marRight w:val="0"/>
              <w:marTop w:val="0"/>
              <w:marBottom w:val="0"/>
              <w:divBdr>
                <w:top w:val="none" w:sz="0" w:space="0" w:color="auto"/>
                <w:left w:val="none" w:sz="0" w:space="0" w:color="auto"/>
                <w:bottom w:val="none" w:sz="0" w:space="0" w:color="auto"/>
                <w:right w:val="none" w:sz="0" w:space="0" w:color="auto"/>
              </w:divBdr>
              <w:divsChild>
                <w:div w:id="771171833">
                  <w:marLeft w:val="0"/>
                  <w:marRight w:val="0"/>
                  <w:marTop w:val="120"/>
                  <w:marBottom w:val="0"/>
                  <w:divBdr>
                    <w:top w:val="none" w:sz="0" w:space="0" w:color="auto"/>
                    <w:left w:val="none" w:sz="0" w:space="0" w:color="auto"/>
                    <w:bottom w:val="none" w:sz="0" w:space="0" w:color="auto"/>
                    <w:right w:val="none" w:sz="0" w:space="0" w:color="auto"/>
                  </w:divBdr>
                </w:div>
                <w:div w:id="1118061995">
                  <w:marLeft w:val="0"/>
                  <w:marRight w:val="0"/>
                  <w:marTop w:val="0"/>
                  <w:marBottom w:val="0"/>
                  <w:divBdr>
                    <w:top w:val="none" w:sz="0" w:space="0" w:color="auto"/>
                    <w:left w:val="none" w:sz="0" w:space="0" w:color="auto"/>
                    <w:bottom w:val="none" w:sz="0" w:space="0" w:color="auto"/>
                    <w:right w:val="none" w:sz="0" w:space="0" w:color="auto"/>
                  </w:divBdr>
                </w:div>
              </w:divsChild>
            </w:div>
            <w:div w:id="1238589955">
              <w:marLeft w:val="0"/>
              <w:marRight w:val="0"/>
              <w:marTop w:val="0"/>
              <w:marBottom w:val="0"/>
              <w:divBdr>
                <w:top w:val="none" w:sz="0" w:space="0" w:color="auto"/>
                <w:left w:val="none" w:sz="0" w:space="0" w:color="auto"/>
                <w:bottom w:val="none" w:sz="0" w:space="0" w:color="auto"/>
                <w:right w:val="none" w:sz="0" w:space="0" w:color="auto"/>
              </w:divBdr>
              <w:divsChild>
                <w:div w:id="42217879">
                  <w:marLeft w:val="0"/>
                  <w:marRight w:val="0"/>
                  <w:marTop w:val="120"/>
                  <w:marBottom w:val="0"/>
                  <w:divBdr>
                    <w:top w:val="none" w:sz="0" w:space="0" w:color="auto"/>
                    <w:left w:val="none" w:sz="0" w:space="0" w:color="auto"/>
                    <w:bottom w:val="none" w:sz="0" w:space="0" w:color="auto"/>
                    <w:right w:val="none" w:sz="0" w:space="0" w:color="auto"/>
                  </w:divBdr>
                </w:div>
                <w:div w:id="2049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88712">
      <w:bodyDiv w:val="1"/>
      <w:marLeft w:val="0"/>
      <w:marRight w:val="0"/>
      <w:marTop w:val="0"/>
      <w:marBottom w:val="0"/>
      <w:divBdr>
        <w:top w:val="none" w:sz="0" w:space="0" w:color="auto"/>
        <w:left w:val="none" w:sz="0" w:space="0" w:color="auto"/>
        <w:bottom w:val="none" w:sz="0" w:space="0" w:color="auto"/>
        <w:right w:val="none" w:sz="0" w:space="0" w:color="auto"/>
      </w:divBdr>
      <w:divsChild>
        <w:div w:id="1298952619">
          <w:marLeft w:val="0"/>
          <w:marRight w:val="0"/>
          <w:marTop w:val="0"/>
          <w:marBottom w:val="0"/>
          <w:divBdr>
            <w:top w:val="none" w:sz="0" w:space="0" w:color="auto"/>
            <w:left w:val="none" w:sz="0" w:space="0" w:color="auto"/>
            <w:bottom w:val="none" w:sz="0" w:space="0" w:color="auto"/>
            <w:right w:val="none" w:sz="0" w:space="0" w:color="auto"/>
          </w:divBdr>
        </w:div>
      </w:divsChild>
    </w:div>
    <w:div w:id="1284187523">
      <w:bodyDiv w:val="1"/>
      <w:marLeft w:val="0"/>
      <w:marRight w:val="0"/>
      <w:marTop w:val="0"/>
      <w:marBottom w:val="0"/>
      <w:divBdr>
        <w:top w:val="none" w:sz="0" w:space="0" w:color="auto"/>
        <w:left w:val="none" w:sz="0" w:space="0" w:color="auto"/>
        <w:bottom w:val="none" w:sz="0" w:space="0" w:color="auto"/>
        <w:right w:val="none" w:sz="0" w:space="0" w:color="auto"/>
      </w:divBdr>
      <w:divsChild>
        <w:div w:id="1118909459">
          <w:marLeft w:val="0"/>
          <w:marRight w:val="0"/>
          <w:marTop w:val="0"/>
          <w:marBottom w:val="0"/>
          <w:divBdr>
            <w:top w:val="none" w:sz="0" w:space="0" w:color="auto"/>
            <w:left w:val="none" w:sz="0" w:space="0" w:color="auto"/>
            <w:bottom w:val="none" w:sz="0" w:space="0" w:color="auto"/>
            <w:right w:val="none" w:sz="0" w:space="0" w:color="auto"/>
          </w:divBdr>
        </w:div>
      </w:divsChild>
    </w:div>
    <w:div w:id="1292126720">
      <w:bodyDiv w:val="1"/>
      <w:marLeft w:val="0"/>
      <w:marRight w:val="0"/>
      <w:marTop w:val="0"/>
      <w:marBottom w:val="0"/>
      <w:divBdr>
        <w:top w:val="none" w:sz="0" w:space="0" w:color="auto"/>
        <w:left w:val="none" w:sz="0" w:space="0" w:color="auto"/>
        <w:bottom w:val="none" w:sz="0" w:space="0" w:color="auto"/>
        <w:right w:val="none" w:sz="0" w:space="0" w:color="auto"/>
      </w:divBdr>
      <w:divsChild>
        <w:div w:id="1987316622">
          <w:marLeft w:val="0"/>
          <w:marRight w:val="0"/>
          <w:marTop w:val="0"/>
          <w:marBottom w:val="0"/>
          <w:divBdr>
            <w:top w:val="none" w:sz="0" w:space="0" w:color="auto"/>
            <w:left w:val="none" w:sz="0" w:space="0" w:color="auto"/>
            <w:bottom w:val="none" w:sz="0" w:space="0" w:color="auto"/>
            <w:right w:val="none" w:sz="0" w:space="0" w:color="auto"/>
          </w:divBdr>
        </w:div>
      </w:divsChild>
    </w:div>
    <w:div w:id="1304500550">
      <w:bodyDiv w:val="1"/>
      <w:marLeft w:val="0"/>
      <w:marRight w:val="0"/>
      <w:marTop w:val="0"/>
      <w:marBottom w:val="0"/>
      <w:divBdr>
        <w:top w:val="none" w:sz="0" w:space="0" w:color="auto"/>
        <w:left w:val="none" w:sz="0" w:space="0" w:color="auto"/>
        <w:bottom w:val="none" w:sz="0" w:space="0" w:color="auto"/>
        <w:right w:val="none" w:sz="0" w:space="0" w:color="auto"/>
      </w:divBdr>
      <w:divsChild>
        <w:div w:id="1730030347">
          <w:marLeft w:val="0"/>
          <w:marRight w:val="0"/>
          <w:marTop w:val="0"/>
          <w:marBottom w:val="0"/>
          <w:divBdr>
            <w:top w:val="none" w:sz="0" w:space="0" w:color="auto"/>
            <w:left w:val="none" w:sz="0" w:space="0" w:color="auto"/>
            <w:bottom w:val="none" w:sz="0" w:space="0" w:color="auto"/>
            <w:right w:val="none" w:sz="0" w:space="0" w:color="auto"/>
          </w:divBdr>
        </w:div>
      </w:divsChild>
    </w:div>
    <w:div w:id="1305089621">
      <w:bodyDiv w:val="1"/>
      <w:marLeft w:val="0"/>
      <w:marRight w:val="0"/>
      <w:marTop w:val="0"/>
      <w:marBottom w:val="0"/>
      <w:divBdr>
        <w:top w:val="none" w:sz="0" w:space="0" w:color="auto"/>
        <w:left w:val="none" w:sz="0" w:space="0" w:color="auto"/>
        <w:bottom w:val="none" w:sz="0" w:space="0" w:color="auto"/>
        <w:right w:val="none" w:sz="0" w:space="0" w:color="auto"/>
      </w:divBdr>
      <w:divsChild>
        <w:div w:id="1183011056">
          <w:marLeft w:val="0"/>
          <w:marRight w:val="0"/>
          <w:marTop w:val="0"/>
          <w:marBottom w:val="0"/>
          <w:divBdr>
            <w:top w:val="none" w:sz="0" w:space="0" w:color="auto"/>
            <w:left w:val="none" w:sz="0" w:space="0" w:color="auto"/>
            <w:bottom w:val="none" w:sz="0" w:space="0" w:color="auto"/>
            <w:right w:val="none" w:sz="0" w:space="0" w:color="auto"/>
          </w:divBdr>
          <w:divsChild>
            <w:div w:id="1898196797">
              <w:marLeft w:val="0"/>
              <w:marRight w:val="0"/>
              <w:marTop w:val="0"/>
              <w:marBottom w:val="0"/>
              <w:divBdr>
                <w:top w:val="none" w:sz="0" w:space="0" w:color="auto"/>
                <w:left w:val="none" w:sz="0" w:space="0" w:color="auto"/>
                <w:bottom w:val="none" w:sz="0" w:space="0" w:color="auto"/>
                <w:right w:val="none" w:sz="0" w:space="0" w:color="auto"/>
              </w:divBdr>
              <w:divsChild>
                <w:div w:id="1117873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35396829">
          <w:marLeft w:val="0"/>
          <w:marRight w:val="0"/>
          <w:marTop w:val="0"/>
          <w:marBottom w:val="0"/>
          <w:divBdr>
            <w:top w:val="none" w:sz="0" w:space="0" w:color="auto"/>
            <w:left w:val="none" w:sz="0" w:space="0" w:color="auto"/>
            <w:bottom w:val="none" w:sz="0" w:space="0" w:color="auto"/>
            <w:right w:val="none" w:sz="0" w:space="0" w:color="auto"/>
          </w:divBdr>
          <w:divsChild>
            <w:div w:id="1765225227">
              <w:marLeft w:val="0"/>
              <w:marRight w:val="0"/>
              <w:marTop w:val="0"/>
              <w:marBottom w:val="0"/>
              <w:divBdr>
                <w:top w:val="none" w:sz="0" w:space="0" w:color="auto"/>
                <w:left w:val="none" w:sz="0" w:space="0" w:color="auto"/>
                <w:bottom w:val="none" w:sz="0" w:space="0" w:color="auto"/>
                <w:right w:val="none" w:sz="0" w:space="0" w:color="auto"/>
              </w:divBdr>
              <w:divsChild>
                <w:div w:id="571736383">
                  <w:marLeft w:val="0"/>
                  <w:marRight w:val="0"/>
                  <w:marTop w:val="120"/>
                  <w:marBottom w:val="0"/>
                  <w:divBdr>
                    <w:top w:val="none" w:sz="0" w:space="0" w:color="auto"/>
                    <w:left w:val="none" w:sz="0" w:space="0" w:color="auto"/>
                    <w:bottom w:val="none" w:sz="0" w:space="0" w:color="auto"/>
                    <w:right w:val="none" w:sz="0" w:space="0" w:color="auto"/>
                  </w:divBdr>
                </w:div>
                <w:div w:id="1308123372">
                  <w:marLeft w:val="0"/>
                  <w:marRight w:val="0"/>
                  <w:marTop w:val="120"/>
                  <w:marBottom w:val="0"/>
                  <w:divBdr>
                    <w:top w:val="none" w:sz="0" w:space="0" w:color="auto"/>
                    <w:left w:val="none" w:sz="0" w:space="0" w:color="auto"/>
                    <w:bottom w:val="none" w:sz="0" w:space="0" w:color="auto"/>
                    <w:right w:val="none" w:sz="0" w:space="0" w:color="auto"/>
                  </w:divBdr>
                </w:div>
                <w:div w:id="16309335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8537250">
      <w:bodyDiv w:val="1"/>
      <w:marLeft w:val="0"/>
      <w:marRight w:val="0"/>
      <w:marTop w:val="0"/>
      <w:marBottom w:val="0"/>
      <w:divBdr>
        <w:top w:val="none" w:sz="0" w:space="0" w:color="auto"/>
        <w:left w:val="none" w:sz="0" w:space="0" w:color="auto"/>
        <w:bottom w:val="none" w:sz="0" w:space="0" w:color="auto"/>
        <w:right w:val="none" w:sz="0" w:space="0" w:color="auto"/>
      </w:divBdr>
      <w:divsChild>
        <w:div w:id="1630747521">
          <w:marLeft w:val="0"/>
          <w:marRight w:val="0"/>
          <w:marTop w:val="0"/>
          <w:marBottom w:val="0"/>
          <w:divBdr>
            <w:top w:val="none" w:sz="0" w:space="0" w:color="auto"/>
            <w:left w:val="none" w:sz="0" w:space="0" w:color="auto"/>
            <w:bottom w:val="none" w:sz="0" w:space="0" w:color="auto"/>
            <w:right w:val="none" w:sz="0" w:space="0" w:color="auto"/>
          </w:divBdr>
          <w:divsChild>
            <w:div w:id="15121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48128">
      <w:bodyDiv w:val="1"/>
      <w:marLeft w:val="0"/>
      <w:marRight w:val="0"/>
      <w:marTop w:val="0"/>
      <w:marBottom w:val="0"/>
      <w:divBdr>
        <w:top w:val="none" w:sz="0" w:space="0" w:color="auto"/>
        <w:left w:val="none" w:sz="0" w:space="0" w:color="auto"/>
        <w:bottom w:val="none" w:sz="0" w:space="0" w:color="auto"/>
        <w:right w:val="none" w:sz="0" w:space="0" w:color="auto"/>
      </w:divBdr>
      <w:divsChild>
        <w:div w:id="769349206">
          <w:marLeft w:val="0"/>
          <w:marRight w:val="0"/>
          <w:marTop w:val="0"/>
          <w:marBottom w:val="0"/>
          <w:divBdr>
            <w:top w:val="none" w:sz="0" w:space="0" w:color="auto"/>
            <w:left w:val="none" w:sz="0" w:space="0" w:color="auto"/>
            <w:bottom w:val="none" w:sz="0" w:space="0" w:color="auto"/>
            <w:right w:val="none" w:sz="0" w:space="0" w:color="auto"/>
          </w:divBdr>
          <w:divsChild>
            <w:div w:id="209415632">
              <w:marLeft w:val="0"/>
              <w:marRight w:val="0"/>
              <w:marTop w:val="120"/>
              <w:marBottom w:val="0"/>
              <w:divBdr>
                <w:top w:val="none" w:sz="0" w:space="0" w:color="auto"/>
                <w:left w:val="none" w:sz="0" w:space="0" w:color="auto"/>
                <w:bottom w:val="none" w:sz="0" w:space="0" w:color="auto"/>
                <w:right w:val="none" w:sz="0" w:space="0" w:color="auto"/>
              </w:divBdr>
            </w:div>
            <w:div w:id="1893423648">
              <w:marLeft w:val="0"/>
              <w:marRight w:val="0"/>
              <w:marTop w:val="0"/>
              <w:marBottom w:val="0"/>
              <w:divBdr>
                <w:top w:val="none" w:sz="0" w:space="0" w:color="auto"/>
                <w:left w:val="none" w:sz="0" w:space="0" w:color="auto"/>
                <w:bottom w:val="none" w:sz="0" w:space="0" w:color="auto"/>
                <w:right w:val="none" w:sz="0" w:space="0" w:color="auto"/>
              </w:divBdr>
            </w:div>
          </w:divsChild>
        </w:div>
        <w:div w:id="2022124899">
          <w:marLeft w:val="0"/>
          <w:marRight w:val="0"/>
          <w:marTop w:val="0"/>
          <w:marBottom w:val="0"/>
          <w:divBdr>
            <w:top w:val="none" w:sz="0" w:space="0" w:color="auto"/>
            <w:left w:val="none" w:sz="0" w:space="0" w:color="auto"/>
            <w:bottom w:val="none" w:sz="0" w:space="0" w:color="auto"/>
            <w:right w:val="none" w:sz="0" w:space="0" w:color="auto"/>
          </w:divBdr>
          <w:divsChild>
            <w:div w:id="859439240">
              <w:marLeft w:val="0"/>
              <w:marRight w:val="0"/>
              <w:marTop w:val="120"/>
              <w:marBottom w:val="0"/>
              <w:divBdr>
                <w:top w:val="none" w:sz="0" w:space="0" w:color="auto"/>
                <w:left w:val="none" w:sz="0" w:space="0" w:color="auto"/>
                <w:bottom w:val="none" w:sz="0" w:space="0" w:color="auto"/>
                <w:right w:val="none" w:sz="0" w:space="0" w:color="auto"/>
              </w:divBdr>
            </w:div>
            <w:div w:id="18337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50845">
      <w:bodyDiv w:val="1"/>
      <w:marLeft w:val="0"/>
      <w:marRight w:val="0"/>
      <w:marTop w:val="0"/>
      <w:marBottom w:val="0"/>
      <w:divBdr>
        <w:top w:val="none" w:sz="0" w:space="0" w:color="auto"/>
        <w:left w:val="none" w:sz="0" w:space="0" w:color="auto"/>
        <w:bottom w:val="none" w:sz="0" w:space="0" w:color="auto"/>
        <w:right w:val="none" w:sz="0" w:space="0" w:color="auto"/>
      </w:divBdr>
    </w:div>
    <w:div w:id="1363288810">
      <w:bodyDiv w:val="1"/>
      <w:marLeft w:val="0"/>
      <w:marRight w:val="0"/>
      <w:marTop w:val="0"/>
      <w:marBottom w:val="0"/>
      <w:divBdr>
        <w:top w:val="none" w:sz="0" w:space="0" w:color="auto"/>
        <w:left w:val="none" w:sz="0" w:space="0" w:color="auto"/>
        <w:bottom w:val="none" w:sz="0" w:space="0" w:color="auto"/>
        <w:right w:val="none" w:sz="0" w:space="0" w:color="auto"/>
      </w:divBdr>
      <w:divsChild>
        <w:div w:id="562104459">
          <w:marLeft w:val="0"/>
          <w:marRight w:val="0"/>
          <w:marTop w:val="0"/>
          <w:marBottom w:val="0"/>
          <w:divBdr>
            <w:top w:val="none" w:sz="0" w:space="0" w:color="auto"/>
            <w:left w:val="none" w:sz="0" w:space="0" w:color="auto"/>
            <w:bottom w:val="none" w:sz="0" w:space="0" w:color="auto"/>
            <w:right w:val="none" w:sz="0" w:space="0" w:color="auto"/>
          </w:divBdr>
        </w:div>
      </w:divsChild>
    </w:div>
    <w:div w:id="1365718445">
      <w:bodyDiv w:val="1"/>
      <w:marLeft w:val="0"/>
      <w:marRight w:val="0"/>
      <w:marTop w:val="0"/>
      <w:marBottom w:val="0"/>
      <w:divBdr>
        <w:top w:val="none" w:sz="0" w:space="0" w:color="auto"/>
        <w:left w:val="none" w:sz="0" w:space="0" w:color="auto"/>
        <w:bottom w:val="none" w:sz="0" w:space="0" w:color="auto"/>
        <w:right w:val="none" w:sz="0" w:space="0" w:color="auto"/>
      </w:divBdr>
      <w:divsChild>
        <w:div w:id="1185293106">
          <w:marLeft w:val="0"/>
          <w:marRight w:val="0"/>
          <w:marTop w:val="0"/>
          <w:marBottom w:val="0"/>
          <w:divBdr>
            <w:top w:val="none" w:sz="0" w:space="0" w:color="auto"/>
            <w:left w:val="none" w:sz="0" w:space="0" w:color="auto"/>
            <w:bottom w:val="none" w:sz="0" w:space="0" w:color="auto"/>
            <w:right w:val="none" w:sz="0" w:space="0" w:color="auto"/>
          </w:divBdr>
          <w:divsChild>
            <w:div w:id="1090076511">
              <w:marLeft w:val="0"/>
              <w:marRight w:val="0"/>
              <w:marTop w:val="0"/>
              <w:marBottom w:val="0"/>
              <w:divBdr>
                <w:top w:val="none" w:sz="0" w:space="0" w:color="auto"/>
                <w:left w:val="none" w:sz="0" w:space="0" w:color="auto"/>
                <w:bottom w:val="none" w:sz="0" w:space="0" w:color="auto"/>
                <w:right w:val="none" w:sz="0" w:space="0" w:color="auto"/>
              </w:divBdr>
              <w:divsChild>
                <w:div w:id="1113135658">
                  <w:marLeft w:val="0"/>
                  <w:marRight w:val="0"/>
                  <w:marTop w:val="0"/>
                  <w:marBottom w:val="0"/>
                  <w:divBdr>
                    <w:top w:val="none" w:sz="0" w:space="0" w:color="auto"/>
                    <w:left w:val="none" w:sz="0" w:space="0" w:color="auto"/>
                    <w:bottom w:val="none" w:sz="0" w:space="0" w:color="auto"/>
                    <w:right w:val="none" w:sz="0" w:space="0" w:color="auto"/>
                  </w:divBdr>
                  <w:divsChild>
                    <w:div w:id="74083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04225">
      <w:bodyDiv w:val="1"/>
      <w:marLeft w:val="0"/>
      <w:marRight w:val="0"/>
      <w:marTop w:val="0"/>
      <w:marBottom w:val="0"/>
      <w:divBdr>
        <w:top w:val="none" w:sz="0" w:space="0" w:color="auto"/>
        <w:left w:val="none" w:sz="0" w:space="0" w:color="auto"/>
        <w:bottom w:val="none" w:sz="0" w:space="0" w:color="auto"/>
        <w:right w:val="none" w:sz="0" w:space="0" w:color="auto"/>
      </w:divBdr>
      <w:divsChild>
        <w:div w:id="1320186293">
          <w:marLeft w:val="0"/>
          <w:marRight w:val="0"/>
          <w:marTop w:val="0"/>
          <w:marBottom w:val="0"/>
          <w:divBdr>
            <w:top w:val="none" w:sz="0" w:space="0" w:color="auto"/>
            <w:left w:val="none" w:sz="0" w:space="0" w:color="auto"/>
            <w:bottom w:val="none" w:sz="0" w:space="0" w:color="auto"/>
            <w:right w:val="none" w:sz="0" w:space="0" w:color="auto"/>
          </w:divBdr>
          <w:divsChild>
            <w:div w:id="5872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77077">
      <w:bodyDiv w:val="1"/>
      <w:marLeft w:val="0"/>
      <w:marRight w:val="0"/>
      <w:marTop w:val="0"/>
      <w:marBottom w:val="0"/>
      <w:divBdr>
        <w:top w:val="none" w:sz="0" w:space="0" w:color="auto"/>
        <w:left w:val="none" w:sz="0" w:space="0" w:color="auto"/>
        <w:bottom w:val="none" w:sz="0" w:space="0" w:color="auto"/>
        <w:right w:val="none" w:sz="0" w:space="0" w:color="auto"/>
      </w:divBdr>
      <w:divsChild>
        <w:div w:id="1061640380">
          <w:marLeft w:val="0"/>
          <w:marRight w:val="0"/>
          <w:marTop w:val="0"/>
          <w:marBottom w:val="0"/>
          <w:divBdr>
            <w:top w:val="none" w:sz="0" w:space="0" w:color="auto"/>
            <w:left w:val="none" w:sz="0" w:space="0" w:color="auto"/>
            <w:bottom w:val="none" w:sz="0" w:space="0" w:color="auto"/>
            <w:right w:val="none" w:sz="0" w:space="0" w:color="auto"/>
          </w:divBdr>
          <w:divsChild>
            <w:div w:id="1809784379">
              <w:marLeft w:val="0"/>
              <w:marRight w:val="0"/>
              <w:marTop w:val="0"/>
              <w:marBottom w:val="0"/>
              <w:divBdr>
                <w:top w:val="none" w:sz="0" w:space="0" w:color="auto"/>
                <w:left w:val="none" w:sz="0" w:space="0" w:color="auto"/>
                <w:bottom w:val="none" w:sz="0" w:space="0" w:color="auto"/>
                <w:right w:val="none" w:sz="0" w:space="0" w:color="auto"/>
              </w:divBdr>
              <w:divsChild>
                <w:div w:id="332342616">
                  <w:marLeft w:val="0"/>
                  <w:marRight w:val="0"/>
                  <w:marTop w:val="0"/>
                  <w:marBottom w:val="0"/>
                  <w:divBdr>
                    <w:top w:val="none" w:sz="0" w:space="0" w:color="auto"/>
                    <w:left w:val="none" w:sz="0" w:space="0" w:color="auto"/>
                    <w:bottom w:val="none" w:sz="0" w:space="0" w:color="auto"/>
                    <w:right w:val="none" w:sz="0" w:space="0" w:color="auto"/>
                  </w:divBdr>
                  <w:divsChild>
                    <w:div w:id="1068575025">
                      <w:marLeft w:val="0"/>
                      <w:marRight w:val="0"/>
                      <w:marTop w:val="120"/>
                      <w:marBottom w:val="0"/>
                      <w:divBdr>
                        <w:top w:val="none" w:sz="0" w:space="0" w:color="auto"/>
                        <w:left w:val="none" w:sz="0" w:space="0" w:color="auto"/>
                        <w:bottom w:val="none" w:sz="0" w:space="0" w:color="auto"/>
                        <w:right w:val="none" w:sz="0" w:space="0" w:color="auto"/>
                      </w:divBdr>
                    </w:div>
                    <w:div w:id="1282225046">
                      <w:marLeft w:val="0"/>
                      <w:marRight w:val="0"/>
                      <w:marTop w:val="0"/>
                      <w:marBottom w:val="0"/>
                      <w:divBdr>
                        <w:top w:val="none" w:sz="0" w:space="0" w:color="auto"/>
                        <w:left w:val="none" w:sz="0" w:space="0" w:color="auto"/>
                        <w:bottom w:val="none" w:sz="0" w:space="0" w:color="auto"/>
                        <w:right w:val="none" w:sz="0" w:space="0" w:color="auto"/>
                      </w:divBdr>
                    </w:div>
                  </w:divsChild>
                </w:div>
                <w:div w:id="1909463989">
                  <w:marLeft w:val="0"/>
                  <w:marRight w:val="0"/>
                  <w:marTop w:val="0"/>
                  <w:marBottom w:val="0"/>
                  <w:divBdr>
                    <w:top w:val="none" w:sz="0" w:space="0" w:color="auto"/>
                    <w:left w:val="none" w:sz="0" w:space="0" w:color="auto"/>
                    <w:bottom w:val="none" w:sz="0" w:space="0" w:color="auto"/>
                    <w:right w:val="none" w:sz="0" w:space="0" w:color="auto"/>
                  </w:divBdr>
                  <w:divsChild>
                    <w:div w:id="819931083">
                      <w:marLeft w:val="0"/>
                      <w:marRight w:val="0"/>
                      <w:marTop w:val="120"/>
                      <w:marBottom w:val="0"/>
                      <w:divBdr>
                        <w:top w:val="none" w:sz="0" w:space="0" w:color="auto"/>
                        <w:left w:val="none" w:sz="0" w:space="0" w:color="auto"/>
                        <w:bottom w:val="none" w:sz="0" w:space="0" w:color="auto"/>
                        <w:right w:val="none" w:sz="0" w:space="0" w:color="auto"/>
                      </w:divBdr>
                    </w:div>
                    <w:div w:id="9905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176356">
      <w:bodyDiv w:val="1"/>
      <w:marLeft w:val="0"/>
      <w:marRight w:val="0"/>
      <w:marTop w:val="0"/>
      <w:marBottom w:val="0"/>
      <w:divBdr>
        <w:top w:val="none" w:sz="0" w:space="0" w:color="auto"/>
        <w:left w:val="none" w:sz="0" w:space="0" w:color="auto"/>
        <w:bottom w:val="none" w:sz="0" w:space="0" w:color="auto"/>
        <w:right w:val="none" w:sz="0" w:space="0" w:color="auto"/>
      </w:divBdr>
      <w:divsChild>
        <w:div w:id="864320556">
          <w:marLeft w:val="0"/>
          <w:marRight w:val="0"/>
          <w:marTop w:val="0"/>
          <w:marBottom w:val="0"/>
          <w:divBdr>
            <w:top w:val="none" w:sz="0" w:space="0" w:color="auto"/>
            <w:left w:val="none" w:sz="0" w:space="0" w:color="auto"/>
            <w:bottom w:val="none" w:sz="0" w:space="0" w:color="auto"/>
            <w:right w:val="none" w:sz="0" w:space="0" w:color="auto"/>
          </w:divBdr>
          <w:divsChild>
            <w:div w:id="364867133">
              <w:marLeft w:val="0"/>
              <w:marRight w:val="0"/>
              <w:marTop w:val="0"/>
              <w:marBottom w:val="0"/>
              <w:divBdr>
                <w:top w:val="none" w:sz="0" w:space="0" w:color="auto"/>
                <w:left w:val="none" w:sz="0" w:space="0" w:color="auto"/>
                <w:bottom w:val="none" w:sz="0" w:space="0" w:color="auto"/>
                <w:right w:val="none" w:sz="0" w:space="0" w:color="auto"/>
              </w:divBdr>
              <w:divsChild>
                <w:div w:id="260723580">
                  <w:marLeft w:val="0"/>
                  <w:marRight w:val="0"/>
                  <w:marTop w:val="120"/>
                  <w:marBottom w:val="0"/>
                  <w:divBdr>
                    <w:top w:val="none" w:sz="0" w:space="0" w:color="auto"/>
                    <w:left w:val="none" w:sz="0" w:space="0" w:color="auto"/>
                    <w:bottom w:val="none" w:sz="0" w:space="0" w:color="auto"/>
                    <w:right w:val="none" w:sz="0" w:space="0" w:color="auto"/>
                  </w:divBdr>
                </w:div>
                <w:div w:id="1759868767">
                  <w:marLeft w:val="0"/>
                  <w:marRight w:val="0"/>
                  <w:marTop w:val="0"/>
                  <w:marBottom w:val="0"/>
                  <w:divBdr>
                    <w:top w:val="none" w:sz="0" w:space="0" w:color="auto"/>
                    <w:left w:val="none" w:sz="0" w:space="0" w:color="auto"/>
                    <w:bottom w:val="none" w:sz="0" w:space="0" w:color="auto"/>
                    <w:right w:val="none" w:sz="0" w:space="0" w:color="auto"/>
                  </w:divBdr>
                </w:div>
              </w:divsChild>
            </w:div>
            <w:div w:id="1080178365">
              <w:marLeft w:val="0"/>
              <w:marRight w:val="0"/>
              <w:marTop w:val="0"/>
              <w:marBottom w:val="0"/>
              <w:divBdr>
                <w:top w:val="none" w:sz="0" w:space="0" w:color="auto"/>
                <w:left w:val="none" w:sz="0" w:space="0" w:color="auto"/>
                <w:bottom w:val="none" w:sz="0" w:space="0" w:color="auto"/>
                <w:right w:val="none" w:sz="0" w:space="0" w:color="auto"/>
              </w:divBdr>
              <w:divsChild>
                <w:div w:id="382338086">
                  <w:marLeft w:val="0"/>
                  <w:marRight w:val="0"/>
                  <w:marTop w:val="0"/>
                  <w:marBottom w:val="0"/>
                  <w:divBdr>
                    <w:top w:val="none" w:sz="0" w:space="0" w:color="auto"/>
                    <w:left w:val="none" w:sz="0" w:space="0" w:color="auto"/>
                    <w:bottom w:val="none" w:sz="0" w:space="0" w:color="auto"/>
                    <w:right w:val="none" w:sz="0" w:space="0" w:color="auto"/>
                  </w:divBdr>
                </w:div>
                <w:div w:id="1745639384">
                  <w:marLeft w:val="0"/>
                  <w:marRight w:val="0"/>
                  <w:marTop w:val="120"/>
                  <w:marBottom w:val="0"/>
                  <w:divBdr>
                    <w:top w:val="none" w:sz="0" w:space="0" w:color="auto"/>
                    <w:left w:val="none" w:sz="0" w:space="0" w:color="auto"/>
                    <w:bottom w:val="none" w:sz="0" w:space="0" w:color="auto"/>
                    <w:right w:val="none" w:sz="0" w:space="0" w:color="auto"/>
                  </w:divBdr>
                </w:div>
              </w:divsChild>
            </w:div>
            <w:div w:id="1399673441">
              <w:marLeft w:val="0"/>
              <w:marRight w:val="0"/>
              <w:marTop w:val="0"/>
              <w:marBottom w:val="0"/>
              <w:divBdr>
                <w:top w:val="none" w:sz="0" w:space="0" w:color="auto"/>
                <w:left w:val="none" w:sz="0" w:space="0" w:color="auto"/>
                <w:bottom w:val="none" w:sz="0" w:space="0" w:color="auto"/>
                <w:right w:val="none" w:sz="0" w:space="0" w:color="auto"/>
              </w:divBdr>
              <w:divsChild>
                <w:div w:id="63721565">
                  <w:marLeft w:val="0"/>
                  <w:marRight w:val="0"/>
                  <w:marTop w:val="120"/>
                  <w:marBottom w:val="0"/>
                  <w:divBdr>
                    <w:top w:val="none" w:sz="0" w:space="0" w:color="auto"/>
                    <w:left w:val="none" w:sz="0" w:space="0" w:color="auto"/>
                    <w:bottom w:val="none" w:sz="0" w:space="0" w:color="auto"/>
                    <w:right w:val="none" w:sz="0" w:space="0" w:color="auto"/>
                  </w:divBdr>
                </w:div>
                <w:div w:id="644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8756">
      <w:bodyDiv w:val="1"/>
      <w:marLeft w:val="0"/>
      <w:marRight w:val="0"/>
      <w:marTop w:val="0"/>
      <w:marBottom w:val="0"/>
      <w:divBdr>
        <w:top w:val="none" w:sz="0" w:space="0" w:color="auto"/>
        <w:left w:val="none" w:sz="0" w:space="0" w:color="auto"/>
        <w:bottom w:val="none" w:sz="0" w:space="0" w:color="auto"/>
        <w:right w:val="none" w:sz="0" w:space="0" w:color="auto"/>
      </w:divBdr>
      <w:divsChild>
        <w:div w:id="1153910204">
          <w:marLeft w:val="0"/>
          <w:marRight w:val="0"/>
          <w:marTop w:val="0"/>
          <w:marBottom w:val="0"/>
          <w:divBdr>
            <w:top w:val="none" w:sz="0" w:space="0" w:color="auto"/>
            <w:left w:val="none" w:sz="0" w:space="0" w:color="auto"/>
            <w:bottom w:val="none" w:sz="0" w:space="0" w:color="auto"/>
            <w:right w:val="none" w:sz="0" w:space="0" w:color="auto"/>
          </w:divBdr>
        </w:div>
      </w:divsChild>
    </w:div>
    <w:div w:id="1385905295">
      <w:bodyDiv w:val="1"/>
      <w:marLeft w:val="0"/>
      <w:marRight w:val="0"/>
      <w:marTop w:val="0"/>
      <w:marBottom w:val="0"/>
      <w:divBdr>
        <w:top w:val="none" w:sz="0" w:space="0" w:color="auto"/>
        <w:left w:val="none" w:sz="0" w:space="0" w:color="auto"/>
        <w:bottom w:val="none" w:sz="0" w:space="0" w:color="auto"/>
        <w:right w:val="none" w:sz="0" w:space="0" w:color="auto"/>
      </w:divBdr>
      <w:divsChild>
        <w:div w:id="1293487510">
          <w:marLeft w:val="0"/>
          <w:marRight w:val="0"/>
          <w:marTop w:val="0"/>
          <w:marBottom w:val="0"/>
          <w:divBdr>
            <w:top w:val="none" w:sz="0" w:space="0" w:color="auto"/>
            <w:left w:val="none" w:sz="0" w:space="0" w:color="auto"/>
            <w:bottom w:val="none" w:sz="0" w:space="0" w:color="auto"/>
            <w:right w:val="none" w:sz="0" w:space="0" w:color="auto"/>
          </w:divBdr>
        </w:div>
      </w:divsChild>
    </w:div>
    <w:div w:id="1391726872">
      <w:bodyDiv w:val="1"/>
      <w:marLeft w:val="0"/>
      <w:marRight w:val="0"/>
      <w:marTop w:val="0"/>
      <w:marBottom w:val="0"/>
      <w:divBdr>
        <w:top w:val="none" w:sz="0" w:space="0" w:color="auto"/>
        <w:left w:val="none" w:sz="0" w:space="0" w:color="auto"/>
        <w:bottom w:val="none" w:sz="0" w:space="0" w:color="auto"/>
        <w:right w:val="none" w:sz="0" w:space="0" w:color="auto"/>
      </w:divBdr>
      <w:divsChild>
        <w:div w:id="989796683">
          <w:marLeft w:val="0"/>
          <w:marRight w:val="0"/>
          <w:marTop w:val="0"/>
          <w:marBottom w:val="0"/>
          <w:divBdr>
            <w:top w:val="none" w:sz="0" w:space="0" w:color="auto"/>
            <w:left w:val="none" w:sz="0" w:space="0" w:color="auto"/>
            <w:bottom w:val="none" w:sz="0" w:space="0" w:color="auto"/>
            <w:right w:val="none" w:sz="0" w:space="0" w:color="auto"/>
          </w:divBdr>
        </w:div>
      </w:divsChild>
    </w:div>
    <w:div w:id="1395546771">
      <w:bodyDiv w:val="1"/>
      <w:marLeft w:val="0"/>
      <w:marRight w:val="0"/>
      <w:marTop w:val="0"/>
      <w:marBottom w:val="0"/>
      <w:divBdr>
        <w:top w:val="none" w:sz="0" w:space="0" w:color="auto"/>
        <w:left w:val="none" w:sz="0" w:space="0" w:color="auto"/>
        <w:bottom w:val="none" w:sz="0" w:space="0" w:color="auto"/>
        <w:right w:val="none" w:sz="0" w:space="0" w:color="auto"/>
      </w:divBdr>
      <w:divsChild>
        <w:div w:id="766269515">
          <w:marLeft w:val="0"/>
          <w:marRight w:val="0"/>
          <w:marTop w:val="0"/>
          <w:marBottom w:val="0"/>
          <w:divBdr>
            <w:top w:val="none" w:sz="0" w:space="0" w:color="auto"/>
            <w:left w:val="none" w:sz="0" w:space="0" w:color="auto"/>
            <w:bottom w:val="none" w:sz="0" w:space="0" w:color="auto"/>
            <w:right w:val="none" w:sz="0" w:space="0" w:color="auto"/>
          </w:divBdr>
        </w:div>
      </w:divsChild>
    </w:div>
    <w:div w:id="1397702291">
      <w:bodyDiv w:val="1"/>
      <w:marLeft w:val="0"/>
      <w:marRight w:val="0"/>
      <w:marTop w:val="0"/>
      <w:marBottom w:val="0"/>
      <w:divBdr>
        <w:top w:val="none" w:sz="0" w:space="0" w:color="auto"/>
        <w:left w:val="none" w:sz="0" w:space="0" w:color="auto"/>
        <w:bottom w:val="none" w:sz="0" w:space="0" w:color="auto"/>
        <w:right w:val="none" w:sz="0" w:space="0" w:color="auto"/>
      </w:divBdr>
      <w:divsChild>
        <w:div w:id="1074158480">
          <w:marLeft w:val="0"/>
          <w:marRight w:val="0"/>
          <w:marTop w:val="0"/>
          <w:marBottom w:val="0"/>
          <w:divBdr>
            <w:top w:val="none" w:sz="0" w:space="0" w:color="auto"/>
            <w:left w:val="none" w:sz="0" w:space="0" w:color="auto"/>
            <w:bottom w:val="none" w:sz="0" w:space="0" w:color="auto"/>
            <w:right w:val="none" w:sz="0" w:space="0" w:color="auto"/>
          </w:divBdr>
          <w:divsChild>
            <w:div w:id="11950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139">
      <w:bodyDiv w:val="1"/>
      <w:marLeft w:val="0"/>
      <w:marRight w:val="0"/>
      <w:marTop w:val="0"/>
      <w:marBottom w:val="0"/>
      <w:divBdr>
        <w:top w:val="none" w:sz="0" w:space="0" w:color="auto"/>
        <w:left w:val="none" w:sz="0" w:space="0" w:color="auto"/>
        <w:bottom w:val="none" w:sz="0" w:space="0" w:color="auto"/>
        <w:right w:val="none" w:sz="0" w:space="0" w:color="auto"/>
      </w:divBdr>
      <w:divsChild>
        <w:div w:id="559289644">
          <w:marLeft w:val="0"/>
          <w:marRight w:val="0"/>
          <w:marTop w:val="0"/>
          <w:marBottom w:val="0"/>
          <w:divBdr>
            <w:top w:val="none" w:sz="0" w:space="0" w:color="auto"/>
            <w:left w:val="none" w:sz="0" w:space="0" w:color="auto"/>
            <w:bottom w:val="none" w:sz="0" w:space="0" w:color="auto"/>
            <w:right w:val="none" w:sz="0" w:space="0" w:color="auto"/>
          </w:divBdr>
          <w:divsChild>
            <w:div w:id="16571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550">
      <w:bodyDiv w:val="1"/>
      <w:marLeft w:val="0"/>
      <w:marRight w:val="0"/>
      <w:marTop w:val="0"/>
      <w:marBottom w:val="0"/>
      <w:divBdr>
        <w:top w:val="none" w:sz="0" w:space="0" w:color="auto"/>
        <w:left w:val="none" w:sz="0" w:space="0" w:color="auto"/>
        <w:bottom w:val="none" w:sz="0" w:space="0" w:color="auto"/>
        <w:right w:val="none" w:sz="0" w:space="0" w:color="auto"/>
      </w:divBdr>
      <w:divsChild>
        <w:div w:id="833448669">
          <w:marLeft w:val="0"/>
          <w:marRight w:val="0"/>
          <w:marTop w:val="0"/>
          <w:marBottom w:val="0"/>
          <w:divBdr>
            <w:top w:val="none" w:sz="0" w:space="0" w:color="auto"/>
            <w:left w:val="none" w:sz="0" w:space="0" w:color="auto"/>
            <w:bottom w:val="none" w:sz="0" w:space="0" w:color="auto"/>
            <w:right w:val="none" w:sz="0" w:space="0" w:color="auto"/>
          </w:divBdr>
          <w:divsChild>
            <w:div w:id="502013815">
              <w:marLeft w:val="0"/>
              <w:marRight w:val="0"/>
              <w:marTop w:val="0"/>
              <w:marBottom w:val="0"/>
              <w:divBdr>
                <w:top w:val="none" w:sz="0" w:space="0" w:color="auto"/>
                <w:left w:val="none" w:sz="0" w:space="0" w:color="auto"/>
                <w:bottom w:val="none" w:sz="0" w:space="0" w:color="auto"/>
                <w:right w:val="none" w:sz="0" w:space="0" w:color="auto"/>
              </w:divBdr>
              <w:divsChild>
                <w:div w:id="652367355">
                  <w:marLeft w:val="0"/>
                  <w:marRight w:val="0"/>
                  <w:marTop w:val="0"/>
                  <w:marBottom w:val="0"/>
                  <w:divBdr>
                    <w:top w:val="none" w:sz="0" w:space="0" w:color="auto"/>
                    <w:left w:val="none" w:sz="0" w:space="0" w:color="auto"/>
                    <w:bottom w:val="none" w:sz="0" w:space="0" w:color="auto"/>
                    <w:right w:val="none" w:sz="0" w:space="0" w:color="auto"/>
                  </w:divBdr>
                </w:div>
                <w:div w:id="980040122">
                  <w:marLeft w:val="0"/>
                  <w:marRight w:val="0"/>
                  <w:marTop w:val="120"/>
                  <w:marBottom w:val="0"/>
                  <w:divBdr>
                    <w:top w:val="none" w:sz="0" w:space="0" w:color="auto"/>
                    <w:left w:val="none" w:sz="0" w:space="0" w:color="auto"/>
                    <w:bottom w:val="none" w:sz="0" w:space="0" w:color="auto"/>
                    <w:right w:val="none" w:sz="0" w:space="0" w:color="auto"/>
                  </w:divBdr>
                </w:div>
              </w:divsChild>
            </w:div>
            <w:div w:id="1475297006">
              <w:marLeft w:val="0"/>
              <w:marRight w:val="0"/>
              <w:marTop w:val="0"/>
              <w:marBottom w:val="0"/>
              <w:divBdr>
                <w:top w:val="none" w:sz="0" w:space="0" w:color="auto"/>
                <w:left w:val="none" w:sz="0" w:space="0" w:color="auto"/>
                <w:bottom w:val="none" w:sz="0" w:space="0" w:color="auto"/>
                <w:right w:val="none" w:sz="0" w:space="0" w:color="auto"/>
              </w:divBdr>
              <w:divsChild>
                <w:div w:id="1131483500">
                  <w:marLeft w:val="0"/>
                  <w:marRight w:val="0"/>
                  <w:marTop w:val="0"/>
                  <w:marBottom w:val="0"/>
                  <w:divBdr>
                    <w:top w:val="none" w:sz="0" w:space="0" w:color="auto"/>
                    <w:left w:val="none" w:sz="0" w:space="0" w:color="auto"/>
                    <w:bottom w:val="none" w:sz="0" w:space="0" w:color="auto"/>
                    <w:right w:val="none" w:sz="0" w:space="0" w:color="auto"/>
                  </w:divBdr>
                </w:div>
                <w:div w:id="11763373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06611532">
      <w:bodyDiv w:val="1"/>
      <w:marLeft w:val="0"/>
      <w:marRight w:val="0"/>
      <w:marTop w:val="0"/>
      <w:marBottom w:val="0"/>
      <w:divBdr>
        <w:top w:val="none" w:sz="0" w:space="0" w:color="auto"/>
        <w:left w:val="none" w:sz="0" w:space="0" w:color="auto"/>
        <w:bottom w:val="none" w:sz="0" w:space="0" w:color="auto"/>
        <w:right w:val="none" w:sz="0" w:space="0" w:color="auto"/>
      </w:divBdr>
      <w:divsChild>
        <w:div w:id="399209379">
          <w:marLeft w:val="0"/>
          <w:marRight w:val="0"/>
          <w:marTop w:val="0"/>
          <w:marBottom w:val="0"/>
          <w:divBdr>
            <w:top w:val="none" w:sz="0" w:space="0" w:color="auto"/>
            <w:left w:val="none" w:sz="0" w:space="0" w:color="auto"/>
            <w:bottom w:val="none" w:sz="0" w:space="0" w:color="auto"/>
            <w:right w:val="none" w:sz="0" w:space="0" w:color="auto"/>
          </w:divBdr>
          <w:divsChild>
            <w:div w:id="221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83089">
      <w:bodyDiv w:val="1"/>
      <w:marLeft w:val="0"/>
      <w:marRight w:val="0"/>
      <w:marTop w:val="0"/>
      <w:marBottom w:val="0"/>
      <w:divBdr>
        <w:top w:val="none" w:sz="0" w:space="0" w:color="auto"/>
        <w:left w:val="none" w:sz="0" w:space="0" w:color="auto"/>
        <w:bottom w:val="none" w:sz="0" w:space="0" w:color="auto"/>
        <w:right w:val="none" w:sz="0" w:space="0" w:color="auto"/>
      </w:divBdr>
      <w:divsChild>
        <w:div w:id="1748190125">
          <w:marLeft w:val="0"/>
          <w:marRight w:val="0"/>
          <w:marTop w:val="0"/>
          <w:marBottom w:val="0"/>
          <w:divBdr>
            <w:top w:val="none" w:sz="0" w:space="0" w:color="auto"/>
            <w:left w:val="none" w:sz="0" w:space="0" w:color="auto"/>
            <w:bottom w:val="none" w:sz="0" w:space="0" w:color="auto"/>
            <w:right w:val="none" w:sz="0" w:space="0" w:color="auto"/>
          </w:divBdr>
        </w:div>
      </w:divsChild>
    </w:div>
    <w:div w:id="1435590435">
      <w:bodyDiv w:val="1"/>
      <w:marLeft w:val="0"/>
      <w:marRight w:val="0"/>
      <w:marTop w:val="0"/>
      <w:marBottom w:val="0"/>
      <w:divBdr>
        <w:top w:val="none" w:sz="0" w:space="0" w:color="auto"/>
        <w:left w:val="none" w:sz="0" w:space="0" w:color="auto"/>
        <w:bottom w:val="none" w:sz="0" w:space="0" w:color="auto"/>
        <w:right w:val="none" w:sz="0" w:space="0" w:color="auto"/>
      </w:divBdr>
      <w:divsChild>
        <w:div w:id="639964910">
          <w:marLeft w:val="0"/>
          <w:marRight w:val="0"/>
          <w:marTop w:val="0"/>
          <w:marBottom w:val="0"/>
          <w:divBdr>
            <w:top w:val="none" w:sz="0" w:space="0" w:color="auto"/>
            <w:left w:val="none" w:sz="0" w:space="0" w:color="auto"/>
            <w:bottom w:val="none" w:sz="0" w:space="0" w:color="auto"/>
            <w:right w:val="none" w:sz="0" w:space="0" w:color="auto"/>
          </w:divBdr>
          <w:divsChild>
            <w:div w:id="1581408087">
              <w:marLeft w:val="0"/>
              <w:marRight w:val="0"/>
              <w:marTop w:val="0"/>
              <w:marBottom w:val="0"/>
              <w:divBdr>
                <w:top w:val="none" w:sz="0" w:space="0" w:color="auto"/>
                <w:left w:val="none" w:sz="0" w:space="0" w:color="auto"/>
                <w:bottom w:val="none" w:sz="0" w:space="0" w:color="auto"/>
                <w:right w:val="none" w:sz="0" w:space="0" w:color="auto"/>
              </w:divBdr>
            </w:div>
          </w:divsChild>
        </w:div>
        <w:div w:id="1060446156">
          <w:marLeft w:val="0"/>
          <w:marRight w:val="0"/>
          <w:marTop w:val="0"/>
          <w:marBottom w:val="0"/>
          <w:divBdr>
            <w:top w:val="none" w:sz="0" w:space="0" w:color="auto"/>
            <w:left w:val="none" w:sz="0" w:space="0" w:color="auto"/>
            <w:bottom w:val="none" w:sz="0" w:space="0" w:color="auto"/>
            <w:right w:val="none" w:sz="0" w:space="0" w:color="auto"/>
          </w:divBdr>
          <w:divsChild>
            <w:div w:id="1056122324">
              <w:marLeft w:val="0"/>
              <w:marRight w:val="0"/>
              <w:marTop w:val="0"/>
              <w:marBottom w:val="0"/>
              <w:divBdr>
                <w:top w:val="none" w:sz="0" w:space="0" w:color="auto"/>
                <w:left w:val="none" w:sz="0" w:space="0" w:color="auto"/>
                <w:bottom w:val="none" w:sz="0" w:space="0" w:color="auto"/>
                <w:right w:val="none" w:sz="0" w:space="0" w:color="auto"/>
              </w:divBdr>
              <w:divsChild>
                <w:div w:id="1147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29131">
      <w:bodyDiv w:val="1"/>
      <w:marLeft w:val="0"/>
      <w:marRight w:val="0"/>
      <w:marTop w:val="0"/>
      <w:marBottom w:val="0"/>
      <w:divBdr>
        <w:top w:val="none" w:sz="0" w:space="0" w:color="auto"/>
        <w:left w:val="none" w:sz="0" w:space="0" w:color="auto"/>
        <w:bottom w:val="none" w:sz="0" w:space="0" w:color="auto"/>
        <w:right w:val="none" w:sz="0" w:space="0" w:color="auto"/>
      </w:divBdr>
      <w:divsChild>
        <w:div w:id="2120175727">
          <w:marLeft w:val="0"/>
          <w:marRight w:val="0"/>
          <w:marTop w:val="0"/>
          <w:marBottom w:val="0"/>
          <w:divBdr>
            <w:top w:val="none" w:sz="0" w:space="0" w:color="auto"/>
            <w:left w:val="none" w:sz="0" w:space="0" w:color="auto"/>
            <w:bottom w:val="none" w:sz="0" w:space="0" w:color="auto"/>
            <w:right w:val="none" w:sz="0" w:space="0" w:color="auto"/>
          </w:divBdr>
          <w:divsChild>
            <w:div w:id="8949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10825">
      <w:bodyDiv w:val="1"/>
      <w:marLeft w:val="0"/>
      <w:marRight w:val="0"/>
      <w:marTop w:val="0"/>
      <w:marBottom w:val="0"/>
      <w:divBdr>
        <w:top w:val="none" w:sz="0" w:space="0" w:color="auto"/>
        <w:left w:val="none" w:sz="0" w:space="0" w:color="auto"/>
        <w:bottom w:val="none" w:sz="0" w:space="0" w:color="auto"/>
        <w:right w:val="none" w:sz="0" w:space="0" w:color="auto"/>
      </w:divBdr>
      <w:divsChild>
        <w:div w:id="58288107">
          <w:marLeft w:val="0"/>
          <w:marRight w:val="0"/>
          <w:marTop w:val="0"/>
          <w:marBottom w:val="0"/>
          <w:divBdr>
            <w:top w:val="none" w:sz="0" w:space="0" w:color="auto"/>
            <w:left w:val="none" w:sz="0" w:space="0" w:color="auto"/>
            <w:bottom w:val="none" w:sz="0" w:space="0" w:color="auto"/>
            <w:right w:val="none" w:sz="0" w:space="0" w:color="auto"/>
          </w:divBdr>
          <w:divsChild>
            <w:div w:id="1036854623">
              <w:marLeft w:val="0"/>
              <w:marRight w:val="0"/>
              <w:marTop w:val="120"/>
              <w:marBottom w:val="0"/>
              <w:divBdr>
                <w:top w:val="none" w:sz="0" w:space="0" w:color="auto"/>
                <w:left w:val="none" w:sz="0" w:space="0" w:color="auto"/>
                <w:bottom w:val="none" w:sz="0" w:space="0" w:color="auto"/>
                <w:right w:val="none" w:sz="0" w:space="0" w:color="auto"/>
              </w:divBdr>
            </w:div>
            <w:div w:id="20282886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37480965">
      <w:bodyDiv w:val="1"/>
      <w:marLeft w:val="0"/>
      <w:marRight w:val="0"/>
      <w:marTop w:val="0"/>
      <w:marBottom w:val="0"/>
      <w:divBdr>
        <w:top w:val="none" w:sz="0" w:space="0" w:color="auto"/>
        <w:left w:val="none" w:sz="0" w:space="0" w:color="auto"/>
        <w:bottom w:val="none" w:sz="0" w:space="0" w:color="auto"/>
        <w:right w:val="none" w:sz="0" w:space="0" w:color="auto"/>
      </w:divBdr>
      <w:divsChild>
        <w:div w:id="528571013">
          <w:marLeft w:val="0"/>
          <w:marRight w:val="0"/>
          <w:marTop w:val="0"/>
          <w:marBottom w:val="0"/>
          <w:divBdr>
            <w:top w:val="none" w:sz="0" w:space="0" w:color="auto"/>
            <w:left w:val="none" w:sz="0" w:space="0" w:color="auto"/>
            <w:bottom w:val="none" w:sz="0" w:space="0" w:color="auto"/>
            <w:right w:val="none" w:sz="0" w:space="0" w:color="auto"/>
          </w:divBdr>
        </w:div>
      </w:divsChild>
    </w:div>
    <w:div w:id="1440417288">
      <w:bodyDiv w:val="1"/>
      <w:marLeft w:val="0"/>
      <w:marRight w:val="0"/>
      <w:marTop w:val="0"/>
      <w:marBottom w:val="0"/>
      <w:divBdr>
        <w:top w:val="none" w:sz="0" w:space="0" w:color="auto"/>
        <w:left w:val="none" w:sz="0" w:space="0" w:color="auto"/>
        <w:bottom w:val="none" w:sz="0" w:space="0" w:color="auto"/>
        <w:right w:val="none" w:sz="0" w:space="0" w:color="auto"/>
      </w:divBdr>
      <w:divsChild>
        <w:div w:id="2106342056">
          <w:marLeft w:val="0"/>
          <w:marRight w:val="0"/>
          <w:marTop w:val="0"/>
          <w:marBottom w:val="0"/>
          <w:divBdr>
            <w:top w:val="none" w:sz="0" w:space="0" w:color="auto"/>
            <w:left w:val="none" w:sz="0" w:space="0" w:color="auto"/>
            <w:bottom w:val="none" w:sz="0" w:space="0" w:color="auto"/>
            <w:right w:val="none" w:sz="0" w:space="0" w:color="auto"/>
          </w:divBdr>
          <w:divsChild>
            <w:div w:id="560411091">
              <w:marLeft w:val="0"/>
              <w:marRight w:val="0"/>
              <w:marTop w:val="0"/>
              <w:marBottom w:val="0"/>
              <w:divBdr>
                <w:top w:val="none" w:sz="0" w:space="0" w:color="auto"/>
                <w:left w:val="none" w:sz="0" w:space="0" w:color="auto"/>
                <w:bottom w:val="none" w:sz="0" w:space="0" w:color="auto"/>
                <w:right w:val="none" w:sz="0" w:space="0" w:color="auto"/>
              </w:divBdr>
              <w:divsChild>
                <w:div w:id="299306509">
                  <w:marLeft w:val="0"/>
                  <w:marRight w:val="0"/>
                  <w:marTop w:val="0"/>
                  <w:marBottom w:val="0"/>
                  <w:divBdr>
                    <w:top w:val="none" w:sz="0" w:space="0" w:color="auto"/>
                    <w:left w:val="none" w:sz="0" w:space="0" w:color="auto"/>
                    <w:bottom w:val="none" w:sz="0" w:space="0" w:color="auto"/>
                    <w:right w:val="none" w:sz="0" w:space="0" w:color="auto"/>
                  </w:divBdr>
                  <w:divsChild>
                    <w:div w:id="658577370">
                      <w:marLeft w:val="0"/>
                      <w:marRight w:val="0"/>
                      <w:marTop w:val="0"/>
                      <w:marBottom w:val="0"/>
                      <w:divBdr>
                        <w:top w:val="none" w:sz="0" w:space="0" w:color="auto"/>
                        <w:left w:val="none" w:sz="0" w:space="0" w:color="auto"/>
                        <w:bottom w:val="none" w:sz="0" w:space="0" w:color="auto"/>
                        <w:right w:val="none" w:sz="0" w:space="0" w:color="auto"/>
                      </w:divBdr>
                      <w:divsChild>
                        <w:div w:id="1594894890">
                          <w:marLeft w:val="0"/>
                          <w:marRight w:val="0"/>
                          <w:marTop w:val="0"/>
                          <w:marBottom w:val="0"/>
                          <w:divBdr>
                            <w:top w:val="none" w:sz="0" w:space="0" w:color="auto"/>
                            <w:left w:val="none" w:sz="0" w:space="0" w:color="auto"/>
                            <w:bottom w:val="none" w:sz="0" w:space="0" w:color="auto"/>
                            <w:right w:val="none" w:sz="0" w:space="0" w:color="auto"/>
                          </w:divBdr>
                          <w:divsChild>
                            <w:div w:id="190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796602">
      <w:bodyDiv w:val="1"/>
      <w:marLeft w:val="0"/>
      <w:marRight w:val="0"/>
      <w:marTop w:val="0"/>
      <w:marBottom w:val="0"/>
      <w:divBdr>
        <w:top w:val="none" w:sz="0" w:space="0" w:color="auto"/>
        <w:left w:val="none" w:sz="0" w:space="0" w:color="auto"/>
        <w:bottom w:val="none" w:sz="0" w:space="0" w:color="auto"/>
        <w:right w:val="none" w:sz="0" w:space="0" w:color="auto"/>
      </w:divBdr>
      <w:divsChild>
        <w:div w:id="476412985">
          <w:marLeft w:val="0"/>
          <w:marRight w:val="0"/>
          <w:marTop w:val="0"/>
          <w:marBottom w:val="0"/>
          <w:divBdr>
            <w:top w:val="none" w:sz="0" w:space="0" w:color="auto"/>
            <w:left w:val="none" w:sz="0" w:space="0" w:color="auto"/>
            <w:bottom w:val="none" w:sz="0" w:space="0" w:color="auto"/>
            <w:right w:val="none" w:sz="0" w:space="0" w:color="auto"/>
          </w:divBdr>
          <w:divsChild>
            <w:div w:id="598831208">
              <w:marLeft w:val="0"/>
              <w:marRight w:val="0"/>
              <w:marTop w:val="0"/>
              <w:marBottom w:val="0"/>
              <w:divBdr>
                <w:top w:val="none" w:sz="0" w:space="0" w:color="auto"/>
                <w:left w:val="none" w:sz="0" w:space="0" w:color="auto"/>
                <w:bottom w:val="none" w:sz="0" w:space="0" w:color="auto"/>
                <w:right w:val="none" w:sz="0" w:space="0" w:color="auto"/>
              </w:divBdr>
              <w:divsChild>
                <w:div w:id="1122765043">
                  <w:marLeft w:val="0"/>
                  <w:marRight w:val="0"/>
                  <w:marTop w:val="120"/>
                  <w:marBottom w:val="0"/>
                  <w:divBdr>
                    <w:top w:val="none" w:sz="0" w:space="0" w:color="auto"/>
                    <w:left w:val="none" w:sz="0" w:space="0" w:color="auto"/>
                    <w:bottom w:val="none" w:sz="0" w:space="0" w:color="auto"/>
                    <w:right w:val="none" w:sz="0" w:space="0" w:color="auto"/>
                  </w:divBdr>
                </w:div>
                <w:div w:id="1746030879">
                  <w:marLeft w:val="0"/>
                  <w:marRight w:val="0"/>
                  <w:marTop w:val="0"/>
                  <w:marBottom w:val="0"/>
                  <w:divBdr>
                    <w:top w:val="none" w:sz="0" w:space="0" w:color="auto"/>
                    <w:left w:val="none" w:sz="0" w:space="0" w:color="auto"/>
                    <w:bottom w:val="none" w:sz="0" w:space="0" w:color="auto"/>
                    <w:right w:val="none" w:sz="0" w:space="0" w:color="auto"/>
                  </w:divBdr>
                </w:div>
              </w:divsChild>
            </w:div>
            <w:div w:id="1087071063">
              <w:marLeft w:val="0"/>
              <w:marRight w:val="0"/>
              <w:marTop w:val="0"/>
              <w:marBottom w:val="0"/>
              <w:divBdr>
                <w:top w:val="none" w:sz="0" w:space="0" w:color="auto"/>
                <w:left w:val="none" w:sz="0" w:space="0" w:color="auto"/>
                <w:bottom w:val="none" w:sz="0" w:space="0" w:color="auto"/>
                <w:right w:val="none" w:sz="0" w:space="0" w:color="auto"/>
              </w:divBdr>
              <w:divsChild>
                <w:div w:id="1645160801">
                  <w:marLeft w:val="0"/>
                  <w:marRight w:val="0"/>
                  <w:marTop w:val="120"/>
                  <w:marBottom w:val="0"/>
                  <w:divBdr>
                    <w:top w:val="none" w:sz="0" w:space="0" w:color="auto"/>
                    <w:left w:val="none" w:sz="0" w:space="0" w:color="auto"/>
                    <w:bottom w:val="none" w:sz="0" w:space="0" w:color="auto"/>
                    <w:right w:val="none" w:sz="0" w:space="0" w:color="auto"/>
                  </w:divBdr>
                </w:div>
                <w:div w:id="1915125253">
                  <w:marLeft w:val="0"/>
                  <w:marRight w:val="0"/>
                  <w:marTop w:val="0"/>
                  <w:marBottom w:val="0"/>
                  <w:divBdr>
                    <w:top w:val="none" w:sz="0" w:space="0" w:color="auto"/>
                    <w:left w:val="none" w:sz="0" w:space="0" w:color="auto"/>
                    <w:bottom w:val="none" w:sz="0" w:space="0" w:color="auto"/>
                    <w:right w:val="none" w:sz="0" w:space="0" w:color="auto"/>
                  </w:divBdr>
                </w:div>
              </w:divsChild>
            </w:div>
            <w:div w:id="1501311418">
              <w:marLeft w:val="0"/>
              <w:marRight w:val="0"/>
              <w:marTop w:val="0"/>
              <w:marBottom w:val="0"/>
              <w:divBdr>
                <w:top w:val="none" w:sz="0" w:space="0" w:color="auto"/>
                <w:left w:val="none" w:sz="0" w:space="0" w:color="auto"/>
                <w:bottom w:val="none" w:sz="0" w:space="0" w:color="auto"/>
                <w:right w:val="none" w:sz="0" w:space="0" w:color="auto"/>
              </w:divBdr>
              <w:divsChild>
                <w:div w:id="225990895">
                  <w:marLeft w:val="0"/>
                  <w:marRight w:val="0"/>
                  <w:marTop w:val="0"/>
                  <w:marBottom w:val="0"/>
                  <w:divBdr>
                    <w:top w:val="none" w:sz="0" w:space="0" w:color="auto"/>
                    <w:left w:val="none" w:sz="0" w:space="0" w:color="auto"/>
                    <w:bottom w:val="none" w:sz="0" w:space="0" w:color="auto"/>
                    <w:right w:val="none" w:sz="0" w:space="0" w:color="auto"/>
                  </w:divBdr>
                </w:div>
                <w:div w:id="7267611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45467475">
      <w:bodyDiv w:val="1"/>
      <w:marLeft w:val="0"/>
      <w:marRight w:val="0"/>
      <w:marTop w:val="0"/>
      <w:marBottom w:val="0"/>
      <w:divBdr>
        <w:top w:val="none" w:sz="0" w:space="0" w:color="auto"/>
        <w:left w:val="none" w:sz="0" w:space="0" w:color="auto"/>
        <w:bottom w:val="none" w:sz="0" w:space="0" w:color="auto"/>
        <w:right w:val="none" w:sz="0" w:space="0" w:color="auto"/>
      </w:divBdr>
      <w:divsChild>
        <w:div w:id="19479558">
          <w:marLeft w:val="0"/>
          <w:marRight w:val="0"/>
          <w:marTop w:val="0"/>
          <w:marBottom w:val="0"/>
          <w:divBdr>
            <w:top w:val="none" w:sz="0" w:space="0" w:color="auto"/>
            <w:left w:val="none" w:sz="0" w:space="0" w:color="auto"/>
            <w:bottom w:val="none" w:sz="0" w:space="0" w:color="auto"/>
            <w:right w:val="none" w:sz="0" w:space="0" w:color="auto"/>
          </w:divBdr>
          <w:divsChild>
            <w:div w:id="597762717">
              <w:marLeft w:val="0"/>
              <w:marRight w:val="0"/>
              <w:marTop w:val="0"/>
              <w:marBottom w:val="0"/>
              <w:divBdr>
                <w:top w:val="none" w:sz="0" w:space="0" w:color="auto"/>
                <w:left w:val="none" w:sz="0" w:space="0" w:color="auto"/>
                <w:bottom w:val="none" w:sz="0" w:space="0" w:color="auto"/>
                <w:right w:val="none" w:sz="0" w:space="0" w:color="auto"/>
              </w:divBdr>
            </w:div>
          </w:divsChild>
        </w:div>
        <w:div w:id="273825149">
          <w:marLeft w:val="0"/>
          <w:marRight w:val="0"/>
          <w:marTop w:val="0"/>
          <w:marBottom w:val="0"/>
          <w:divBdr>
            <w:top w:val="none" w:sz="0" w:space="0" w:color="auto"/>
            <w:left w:val="none" w:sz="0" w:space="0" w:color="auto"/>
            <w:bottom w:val="none" w:sz="0" w:space="0" w:color="auto"/>
            <w:right w:val="none" w:sz="0" w:space="0" w:color="auto"/>
          </w:divBdr>
          <w:divsChild>
            <w:div w:id="1782259748">
              <w:marLeft w:val="0"/>
              <w:marRight w:val="0"/>
              <w:marTop w:val="0"/>
              <w:marBottom w:val="0"/>
              <w:divBdr>
                <w:top w:val="none" w:sz="0" w:space="0" w:color="auto"/>
                <w:left w:val="none" w:sz="0" w:space="0" w:color="auto"/>
                <w:bottom w:val="none" w:sz="0" w:space="0" w:color="auto"/>
                <w:right w:val="none" w:sz="0" w:space="0" w:color="auto"/>
              </w:divBdr>
            </w:div>
          </w:divsChild>
        </w:div>
        <w:div w:id="793672639">
          <w:marLeft w:val="0"/>
          <w:marRight w:val="0"/>
          <w:marTop w:val="0"/>
          <w:marBottom w:val="0"/>
          <w:divBdr>
            <w:top w:val="none" w:sz="0" w:space="0" w:color="auto"/>
            <w:left w:val="none" w:sz="0" w:space="0" w:color="auto"/>
            <w:bottom w:val="none" w:sz="0" w:space="0" w:color="auto"/>
            <w:right w:val="none" w:sz="0" w:space="0" w:color="auto"/>
          </w:divBdr>
          <w:divsChild>
            <w:div w:id="1309633591">
              <w:marLeft w:val="0"/>
              <w:marRight w:val="0"/>
              <w:marTop w:val="0"/>
              <w:marBottom w:val="0"/>
              <w:divBdr>
                <w:top w:val="none" w:sz="0" w:space="0" w:color="auto"/>
                <w:left w:val="none" w:sz="0" w:space="0" w:color="auto"/>
                <w:bottom w:val="none" w:sz="0" w:space="0" w:color="auto"/>
                <w:right w:val="none" w:sz="0" w:space="0" w:color="auto"/>
              </w:divBdr>
            </w:div>
          </w:divsChild>
        </w:div>
        <w:div w:id="1362898723">
          <w:marLeft w:val="0"/>
          <w:marRight w:val="0"/>
          <w:marTop w:val="0"/>
          <w:marBottom w:val="0"/>
          <w:divBdr>
            <w:top w:val="none" w:sz="0" w:space="0" w:color="auto"/>
            <w:left w:val="none" w:sz="0" w:space="0" w:color="auto"/>
            <w:bottom w:val="none" w:sz="0" w:space="0" w:color="auto"/>
            <w:right w:val="none" w:sz="0" w:space="0" w:color="auto"/>
          </w:divBdr>
          <w:divsChild>
            <w:div w:id="1767458743">
              <w:marLeft w:val="0"/>
              <w:marRight w:val="0"/>
              <w:marTop w:val="0"/>
              <w:marBottom w:val="0"/>
              <w:divBdr>
                <w:top w:val="none" w:sz="0" w:space="0" w:color="auto"/>
                <w:left w:val="none" w:sz="0" w:space="0" w:color="auto"/>
                <w:bottom w:val="none" w:sz="0" w:space="0" w:color="auto"/>
                <w:right w:val="none" w:sz="0" w:space="0" w:color="auto"/>
              </w:divBdr>
            </w:div>
          </w:divsChild>
        </w:div>
        <w:div w:id="1517111789">
          <w:marLeft w:val="0"/>
          <w:marRight w:val="0"/>
          <w:marTop w:val="0"/>
          <w:marBottom w:val="0"/>
          <w:divBdr>
            <w:top w:val="none" w:sz="0" w:space="0" w:color="auto"/>
            <w:left w:val="none" w:sz="0" w:space="0" w:color="auto"/>
            <w:bottom w:val="none" w:sz="0" w:space="0" w:color="auto"/>
            <w:right w:val="none" w:sz="0" w:space="0" w:color="auto"/>
          </w:divBdr>
          <w:divsChild>
            <w:div w:id="40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sChild>
        <w:div w:id="1333530150">
          <w:marLeft w:val="0"/>
          <w:marRight w:val="0"/>
          <w:marTop w:val="0"/>
          <w:marBottom w:val="0"/>
          <w:divBdr>
            <w:top w:val="none" w:sz="0" w:space="0" w:color="auto"/>
            <w:left w:val="none" w:sz="0" w:space="0" w:color="auto"/>
            <w:bottom w:val="none" w:sz="0" w:space="0" w:color="auto"/>
            <w:right w:val="none" w:sz="0" w:space="0" w:color="auto"/>
          </w:divBdr>
          <w:divsChild>
            <w:div w:id="209604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1678">
      <w:bodyDiv w:val="1"/>
      <w:marLeft w:val="0"/>
      <w:marRight w:val="0"/>
      <w:marTop w:val="0"/>
      <w:marBottom w:val="0"/>
      <w:divBdr>
        <w:top w:val="none" w:sz="0" w:space="0" w:color="auto"/>
        <w:left w:val="none" w:sz="0" w:space="0" w:color="auto"/>
        <w:bottom w:val="none" w:sz="0" w:space="0" w:color="auto"/>
        <w:right w:val="none" w:sz="0" w:space="0" w:color="auto"/>
      </w:divBdr>
      <w:divsChild>
        <w:div w:id="89813029">
          <w:marLeft w:val="0"/>
          <w:marRight w:val="0"/>
          <w:marTop w:val="0"/>
          <w:marBottom w:val="0"/>
          <w:divBdr>
            <w:top w:val="none" w:sz="0" w:space="0" w:color="auto"/>
            <w:left w:val="none" w:sz="0" w:space="0" w:color="auto"/>
            <w:bottom w:val="none" w:sz="0" w:space="0" w:color="auto"/>
            <w:right w:val="none" w:sz="0" w:space="0" w:color="auto"/>
          </w:divBdr>
          <w:divsChild>
            <w:div w:id="80757491">
              <w:marLeft w:val="0"/>
              <w:marRight w:val="0"/>
              <w:marTop w:val="0"/>
              <w:marBottom w:val="0"/>
              <w:divBdr>
                <w:top w:val="none" w:sz="0" w:space="0" w:color="auto"/>
                <w:left w:val="none" w:sz="0" w:space="0" w:color="auto"/>
                <w:bottom w:val="none" w:sz="0" w:space="0" w:color="auto"/>
                <w:right w:val="none" w:sz="0" w:space="0" w:color="auto"/>
              </w:divBdr>
            </w:div>
          </w:divsChild>
        </w:div>
        <w:div w:id="1601569591">
          <w:marLeft w:val="0"/>
          <w:marRight w:val="0"/>
          <w:marTop w:val="0"/>
          <w:marBottom w:val="0"/>
          <w:divBdr>
            <w:top w:val="none" w:sz="0" w:space="0" w:color="auto"/>
            <w:left w:val="none" w:sz="0" w:space="0" w:color="auto"/>
            <w:bottom w:val="none" w:sz="0" w:space="0" w:color="auto"/>
            <w:right w:val="none" w:sz="0" w:space="0" w:color="auto"/>
          </w:divBdr>
          <w:divsChild>
            <w:div w:id="2135975632">
              <w:marLeft w:val="0"/>
              <w:marRight w:val="0"/>
              <w:marTop w:val="0"/>
              <w:marBottom w:val="0"/>
              <w:divBdr>
                <w:top w:val="none" w:sz="0" w:space="0" w:color="auto"/>
                <w:left w:val="none" w:sz="0" w:space="0" w:color="auto"/>
                <w:bottom w:val="none" w:sz="0" w:space="0" w:color="auto"/>
                <w:right w:val="none" w:sz="0" w:space="0" w:color="auto"/>
              </w:divBdr>
              <w:divsChild>
                <w:div w:id="827288854">
                  <w:marLeft w:val="0"/>
                  <w:marRight w:val="0"/>
                  <w:marTop w:val="0"/>
                  <w:marBottom w:val="0"/>
                  <w:divBdr>
                    <w:top w:val="none" w:sz="0" w:space="0" w:color="auto"/>
                    <w:left w:val="none" w:sz="0" w:space="0" w:color="auto"/>
                    <w:bottom w:val="none" w:sz="0" w:space="0" w:color="auto"/>
                    <w:right w:val="none" w:sz="0" w:space="0" w:color="auto"/>
                  </w:divBdr>
                  <w:divsChild>
                    <w:div w:id="614869450">
                      <w:marLeft w:val="0"/>
                      <w:marRight w:val="0"/>
                      <w:marTop w:val="0"/>
                      <w:marBottom w:val="0"/>
                      <w:divBdr>
                        <w:top w:val="none" w:sz="0" w:space="0" w:color="auto"/>
                        <w:left w:val="none" w:sz="0" w:space="0" w:color="auto"/>
                        <w:bottom w:val="none" w:sz="0" w:space="0" w:color="auto"/>
                        <w:right w:val="none" w:sz="0" w:space="0" w:color="auto"/>
                      </w:divBdr>
                    </w:div>
                    <w:div w:id="1319652808">
                      <w:marLeft w:val="0"/>
                      <w:marRight w:val="0"/>
                      <w:marTop w:val="120"/>
                      <w:marBottom w:val="0"/>
                      <w:divBdr>
                        <w:top w:val="none" w:sz="0" w:space="0" w:color="auto"/>
                        <w:left w:val="none" w:sz="0" w:space="0" w:color="auto"/>
                        <w:bottom w:val="none" w:sz="0" w:space="0" w:color="auto"/>
                        <w:right w:val="none" w:sz="0" w:space="0" w:color="auto"/>
                      </w:divBdr>
                    </w:div>
                  </w:divsChild>
                </w:div>
                <w:div w:id="1450274018">
                  <w:marLeft w:val="0"/>
                  <w:marRight w:val="0"/>
                  <w:marTop w:val="0"/>
                  <w:marBottom w:val="0"/>
                  <w:divBdr>
                    <w:top w:val="none" w:sz="0" w:space="0" w:color="auto"/>
                    <w:left w:val="none" w:sz="0" w:space="0" w:color="auto"/>
                    <w:bottom w:val="none" w:sz="0" w:space="0" w:color="auto"/>
                    <w:right w:val="none" w:sz="0" w:space="0" w:color="auto"/>
                  </w:divBdr>
                  <w:divsChild>
                    <w:div w:id="1024985681">
                      <w:marLeft w:val="0"/>
                      <w:marRight w:val="0"/>
                      <w:marTop w:val="0"/>
                      <w:marBottom w:val="0"/>
                      <w:divBdr>
                        <w:top w:val="none" w:sz="0" w:space="0" w:color="auto"/>
                        <w:left w:val="none" w:sz="0" w:space="0" w:color="auto"/>
                        <w:bottom w:val="none" w:sz="0" w:space="0" w:color="auto"/>
                        <w:right w:val="none" w:sz="0" w:space="0" w:color="auto"/>
                      </w:divBdr>
                    </w:div>
                    <w:div w:id="13641384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82456536">
      <w:bodyDiv w:val="1"/>
      <w:marLeft w:val="0"/>
      <w:marRight w:val="0"/>
      <w:marTop w:val="0"/>
      <w:marBottom w:val="0"/>
      <w:divBdr>
        <w:top w:val="none" w:sz="0" w:space="0" w:color="auto"/>
        <w:left w:val="none" w:sz="0" w:space="0" w:color="auto"/>
        <w:bottom w:val="none" w:sz="0" w:space="0" w:color="auto"/>
        <w:right w:val="none" w:sz="0" w:space="0" w:color="auto"/>
      </w:divBdr>
      <w:divsChild>
        <w:div w:id="717632831">
          <w:marLeft w:val="0"/>
          <w:marRight w:val="0"/>
          <w:marTop w:val="0"/>
          <w:marBottom w:val="0"/>
          <w:divBdr>
            <w:top w:val="none" w:sz="0" w:space="0" w:color="auto"/>
            <w:left w:val="none" w:sz="0" w:space="0" w:color="auto"/>
            <w:bottom w:val="none" w:sz="0" w:space="0" w:color="auto"/>
            <w:right w:val="none" w:sz="0" w:space="0" w:color="auto"/>
          </w:divBdr>
          <w:divsChild>
            <w:div w:id="1416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56923">
      <w:bodyDiv w:val="1"/>
      <w:marLeft w:val="0"/>
      <w:marRight w:val="0"/>
      <w:marTop w:val="0"/>
      <w:marBottom w:val="0"/>
      <w:divBdr>
        <w:top w:val="none" w:sz="0" w:space="0" w:color="auto"/>
        <w:left w:val="none" w:sz="0" w:space="0" w:color="auto"/>
        <w:bottom w:val="none" w:sz="0" w:space="0" w:color="auto"/>
        <w:right w:val="none" w:sz="0" w:space="0" w:color="auto"/>
      </w:divBdr>
      <w:divsChild>
        <w:div w:id="1848665414">
          <w:marLeft w:val="0"/>
          <w:marRight w:val="0"/>
          <w:marTop w:val="0"/>
          <w:marBottom w:val="0"/>
          <w:divBdr>
            <w:top w:val="none" w:sz="0" w:space="0" w:color="auto"/>
            <w:left w:val="none" w:sz="0" w:space="0" w:color="auto"/>
            <w:bottom w:val="none" w:sz="0" w:space="0" w:color="auto"/>
            <w:right w:val="none" w:sz="0" w:space="0" w:color="auto"/>
          </w:divBdr>
          <w:divsChild>
            <w:div w:id="6669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2341">
      <w:bodyDiv w:val="1"/>
      <w:marLeft w:val="0"/>
      <w:marRight w:val="0"/>
      <w:marTop w:val="0"/>
      <w:marBottom w:val="0"/>
      <w:divBdr>
        <w:top w:val="none" w:sz="0" w:space="0" w:color="auto"/>
        <w:left w:val="none" w:sz="0" w:space="0" w:color="auto"/>
        <w:bottom w:val="none" w:sz="0" w:space="0" w:color="auto"/>
        <w:right w:val="none" w:sz="0" w:space="0" w:color="auto"/>
      </w:divBdr>
      <w:divsChild>
        <w:div w:id="1398935422">
          <w:marLeft w:val="0"/>
          <w:marRight w:val="0"/>
          <w:marTop w:val="0"/>
          <w:marBottom w:val="0"/>
          <w:divBdr>
            <w:top w:val="none" w:sz="0" w:space="0" w:color="auto"/>
            <w:left w:val="none" w:sz="0" w:space="0" w:color="auto"/>
            <w:bottom w:val="none" w:sz="0" w:space="0" w:color="auto"/>
            <w:right w:val="none" w:sz="0" w:space="0" w:color="auto"/>
          </w:divBdr>
        </w:div>
      </w:divsChild>
    </w:div>
    <w:div w:id="1489399705">
      <w:bodyDiv w:val="1"/>
      <w:marLeft w:val="0"/>
      <w:marRight w:val="0"/>
      <w:marTop w:val="0"/>
      <w:marBottom w:val="0"/>
      <w:divBdr>
        <w:top w:val="none" w:sz="0" w:space="0" w:color="auto"/>
        <w:left w:val="none" w:sz="0" w:space="0" w:color="auto"/>
        <w:bottom w:val="none" w:sz="0" w:space="0" w:color="auto"/>
        <w:right w:val="none" w:sz="0" w:space="0" w:color="auto"/>
      </w:divBdr>
      <w:divsChild>
        <w:div w:id="503593777">
          <w:marLeft w:val="0"/>
          <w:marRight w:val="0"/>
          <w:marTop w:val="0"/>
          <w:marBottom w:val="0"/>
          <w:divBdr>
            <w:top w:val="none" w:sz="0" w:space="0" w:color="auto"/>
            <w:left w:val="none" w:sz="0" w:space="0" w:color="auto"/>
            <w:bottom w:val="none" w:sz="0" w:space="0" w:color="auto"/>
            <w:right w:val="none" w:sz="0" w:space="0" w:color="auto"/>
          </w:divBdr>
        </w:div>
      </w:divsChild>
    </w:div>
    <w:div w:id="1493374740">
      <w:bodyDiv w:val="1"/>
      <w:marLeft w:val="0"/>
      <w:marRight w:val="0"/>
      <w:marTop w:val="0"/>
      <w:marBottom w:val="0"/>
      <w:divBdr>
        <w:top w:val="none" w:sz="0" w:space="0" w:color="auto"/>
        <w:left w:val="none" w:sz="0" w:space="0" w:color="auto"/>
        <w:bottom w:val="none" w:sz="0" w:space="0" w:color="auto"/>
        <w:right w:val="none" w:sz="0" w:space="0" w:color="auto"/>
      </w:divBdr>
    </w:div>
    <w:div w:id="1494952115">
      <w:bodyDiv w:val="1"/>
      <w:marLeft w:val="0"/>
      <w:marRight w:val="0"/>
      <w:marTop w:val="0"/>
      <w:marBottom w:val="0"/>
      <w:divBdr>
        <w:top w:val="none" w:sz="0" w:space="0" w:color="auto"/>
        <w:left w:val="none" w:sz="0" w:space="0" w:color="auto"/>
        <w:bottom w:val="none" w:sz="0" w:space="0" w:color="auto"/>
        <w:right w:val="none" w:sz="0" w:space="0" w:color="auto"/>
      </w:divBdr>
      <w:divsChild>
        <w:div w:id="1400402017">
          <w:marLeft w:val="0"/>
          <w:marRight w:val="0"/>
          <w:marTop w:val="0"/>
          <w:marBottom w:val="0"/>
          <w:divBdr>
            <w:top w:val="none" w:sz="0" w:space="0" w:color="auto"/>
            <w:left w:val="none" w:sz="0" w:space="0" w:color="auto"/>
            <w:bottom w:val="none" w:sz="0" w:space="0" w:color="auto"/>
            <w:right w:val="none" w:sz="0" w:space="0" w:color="auto"/>
          </w:divBdr>
          <w:divsChild>
            <w:div w:id="114173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90416">
      <w:bodyDiv w:val="1"/>
      <w:marLeft w:val="0"/>
      <w:marRight w:val="0"/>
      <w:marTop w:val="0"/>
      <w:marBottom w:val="0"/>
      <w:divBdr>
        <w:top w:val="none" w:sz="0" w:space="0" w:color="auto"/>
        <w:left w:val="none" w:sz="0" w:space="0" w:color="auto"/>
        <w:bottom w:val="none" w:sz="0" w:space="0" w:color="auto"/>
        <w:right w:val="none" w:sz="0" w:space="0" w:color="auto"/>
      </w:divBdr>
      <w:divsChild>
        <w:div w:id="670526280">
          <w:marLeft w:val="0"/>
          <w:marRight w:val="0"/>
          <w:marTop w:val="0"/>
          <w:marBottom w:val="0"/>
          <w:divBdr>
            <w:top w:val="none" w:sz="0" w:space="0" w:color="auto"/>
            <w:left w:val="none" w:sz="0" w:space="0" w:color="auto"/>
            <w:bottom w:val="none" w:sz="0" w:space="0" w:color="auto"/>
            <w:right w:val="none" w:sz="0" w:space="0" w:color="auto"/>
          </w:divBdr>
          <w:divsChild>
            <w:div w:id="10021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52158">
      <w:bodyDiv w:val="1"/>
      <w:marLeft w:val="0"/>
      <w:marRight w:val="0"/>
      <w:marTop w:val="0"/>
      <w:marBottom w:val="0"/>
      <w:divBdr>
        <w:top w:val="none" w:sz="0" w:space="0" w:color="auto"/>
        <w:left w:val="none" w:sz="0" w:space="0" w:color="auto"/>
        <w:bottom w:val="none" w:sz="0" w:space="0" w:color="auto"/>
        <w:right w:val="none" w:sz="0" w:space="0" w:color="auto"/>
      </w:divBdr>
      <w:divsChild>
        <w:div w:id="141000225">
          <w:marLeft w:val="0"/>
          <w:marRight w:val="0"/>
          <w:marTop w:val="0"/>
          <w:marBottom w:val="0"/>
          <w:divBdr>
            <w:top w:val="none" w:sz="0" w:space="0" w:color="auto"/>
            <w:left w:val="none" w:sz="0" w:space="0" w:color="auto"/>
            <w:bottom w:val="none" w:sz="0" w:space="0" w:color="auto"/>
            <w:right w:val="none" w:sz="0" w:space="0" w:color="auto"/>
          </w:divBdr>
          <w:divsChild>
            <w:div w:id="10884604">
              <w:marLeft w:val="0"/>
              <w:marRight w:val="0"/>
              <w:marTop w:val="0"/>
              <w:marBottom w:val="0"/>
              <w:divBdr>
                <w:top w:val="none" w:sz="0" w:space="0" w:color="auto"/>
                <w:left w:val="none" w:sz="0" w:space="0" w:color="auto"/>
                <w:bottom w:val="none" w:sz="0" w:space="0" w:color="auto"/>
                <w:right w:val="none" w:sz="0" w:space="0" w:color="auto"/>
              </w:divBdr>
              <w:divsChild>
                <w:div w:id="472140995">
                  <w:marLeft w:val="0"/>
                  <w:marRight w:val="0"/>
                  <w:marTop w:val="120"/>
                  <w:marBottom w:val="0"/>
                  <w:divBdr>
                    <w:top w:val="none" w:sz="0" w:space="0" w:color="auto"/>
                    <w:left w:val="none" w:sz="0" w:space="0" w:color="auto"/>
                    <w:bottom w:val="none" w:sz="0" w:space="0" w:color="auto"/>
                    <w:right w:val="none" w:sz="0" w:space="0" w:color="auto"/>
                  </w:divBdr>
                </w:div>
                <w:div w:id="2097945211">
                  <w:marLeft w:val="0"/>
                  <w:marRight w:val="0"/>
                  <w:marTop w:val="0"/>
                  <w:marBottom w:val="0"/>
                  <w:divBdr>
                    <w:top w:val="none" w:sz="0" w:space="0" w:color="auto"/>
                    <w:left w:val="none" w:sz="0" w:space="0" w:color="auto"/>
                    <w:bottom w:val="none" w:sz="0" w:space="0" w:color="auto"/>
                    <w:right w:val="none" w:sz="0" w:space="0" w:color="auto"/>
                  </w:divBdr>
                </w:div>
              </w:divsChild>
            </w:div>
            <w:div w:id="590622076">
              <w:marLeft w:val="0"/>
              <w:marRight w:val="0"/>
              <w:marTop w:val="0"/>
              <w:marBottom w:val="0"/>
              <w:divBdr>
                <w:top w:val="none" w:sz="0" w:space="0" w:color="auto"/>
                <w:left w:val="none" w:sz="0" w:space="0" w:color="auto"/>
                <w:bottom w:val="none" w:sz="0" w:space="0" w:color="auto"/>
                <w:right w:val="none" w:sz="0" w:space="0" w:color="auto"/>
              </w:divBdr>
              <w:divsChild>
                <w:div w:id="1122189854">
                  <w:marLeft w:val="0"/>
                  <w:marRight w:val="0"/>
                  <w:marTop w:val="0"/>
                  <w:marBottom w:val="0"/>
                  <w:divBdr>
                    <w:top w:val="none" w:sz="0" w:space="0" w:color="auto"/>
                    <w:left w:val="none" w:sz="0" w:space="0" w:color="auto"/>
                    <w:bottom w:val="none" w:sz="0" w:space="0" w:color="auto"/>
                    <w:right w:val="none" w:sz="0" w:space="0" w:color="auto"/>
                  </w:divBdr>
                </w:div>
                <w:div w:id="1538813611">
                  <w:marLeft w:val="0"/>
                  <w:marRight w:val="0"/>
                  <w:marTop w:val="120"/>
                  <w:marBottom w:val="0"/>
                  <w:divBdr>
                    <w:top w:val="none" w:sz="0" w:space="0" w:color="auto"/>
                    <w:left w:val="none" w:sz="0" w:space="0" w:color="auto"/>
                    <w:bottom w:val="none" w:sz="0" w:space="0" w:color="auto"/>
                    <w:right w:val="none" w:sz="0" w:space="0" w:color="auto"/>
                  </w:divBdr>
                </w:div>
              </w:divsChild>
            </w:div>
            <w:div w:id="885221342">
              <w:marLeft w:val="0"/>
              <w:marRight w:val="0"/>
              <w:marTop w:val="0"/>
              <w:marBottom w:val="0"/>
              <w:divBdr>
                <w:top w:val="none" w:sz="0" w:space="0" w:color="auto"/>
                <w:left w:val="none" w:sz="0" w:space="0" w:color="auto"/>
                <w:bottom w:val="none" w:sz="0" w:space="0" w:color="auto"/>
                <w:right w:val="none" w:sz="0" w:space="0" w:color="auto"/>
              </w:divBdr>
              <w:divsChild>
                <w:div w:id="1095708933">
                  <w:marLeft w:val="0"/>
                  <w:marRight w:val="0"/>
                  <w:marTop w:val="0"/>
                  <w:marBottom w:val="0"/>
                  <w:divBdr>
                    <w:top w:val="none" w:sz="0" w:space="0" w:color="auto"/>
                    <w:left w:val="none" w:sz="0" w:space="0" w:color="auto"/>
                    <w:bottom w:val="none" w:sz="0" w:space="0" w:color="auto"/>
                    <w:right w:val="none" w:sz="0" w:space="0" w:color="auto"/>
                  </w:divBdr>
                </w:div>
                <w:div w:id="1357539380">
                  <w:marLeft w:val="0"/>
                  <w:marRight w:val="0"/>
                  <w:marTop w:val="120"/>
                  <w:marBottom w:val="0"/>
                  <w:divBdr>
                    <w:top w:val="none" w:sz="0" w:space="0" w:color="auto"/>
                    <w:left w:val="none" w:sz="0" w:space="0" w:color="auto"/>
                    <w:bottom w:val="none" w:sz="0" w:space="0" w:color="auto"/>
                    <w:right w:val="none" w:sz="0" w:space="0" w:color="auto"/>
                  </w:divBdr>
                </w:div>
              </w:divsChild>
            </w:div>
            <w:div w:id="1766805360">
              <w:marLeft w:val="0"/>
              <w:marRight w:val="0"/>
              <w:marTop w:val="0"/>
              <w:marBottom w:val="0"/>
              <w:divBdr>
                <w:top w:val="none" w:sz="0" w:space="0" w:color="auto"/>
                <w:left w:val="none" w:sz="0" w:space="0" w:color="auto"/>
                <w:bottom w:val="none" w:sz="0" w:space="0" w:color="auto"/>
                <w:right w:val="none" w:sz="0" w:space="0" w:color="auto"/>
              </w:divBdr>
              <w:divsChild>
                <w:div w:id="1870992015">
                  <w:marLeft w:val="0"/>
                  <w:marRight w:val="0"/>
                  <w:marTop w:val="120"/>
                  <w:marBottom w:val="0"/>
                  <w:divBdr>
                    <w:top w:val="none" w:sz="0" w:space="0" w:color="auto"/>
                    <w:left w:val="none" w:sz="0" w:space="0" w:color="auto"/>
                    <w:bottom w:val="none" w:sz="0" w:space="0" w:color="auto"/>
                    <w:right w:val="none" w:sz="0" w:space="0" w:color="auto"/>
                  </w:divBdr>
                </w:div>
                <w:div w:id="2115592488">
                  <w:marLeft w:val="0"/>
                  <w:marRight w:val="0"/>
                  <w:marTop w:val="0"/>
                  <w:marBottom w:val="0"/>
                  <w:divBdr>
                    <w:top w:val="none" w:sz="0" w:space="0" w:color="auto"/>
                    <w:left w:val="none" w:sz="0" w:space="0" w:color="auto"/>
                    <w:bottom w:val="none" w:sz="0" w:space="0" w:color="auto"/>
                    <w:right w:val="none" w:sz="0" w:space="0" w:color="auto"/>
                  </w:divBdr>
                </w:div>
              </w:divsChild>
            </w:div>
            <w:div w:id="1873762382">
              <w:marLeft w:val="0"/>
              <w:marRight w:val="0"/>
              <w:marTop w:val="0"/>
              <w:marBottom w:val="0"/>
              <w:divBdr>
                <w:top w:val="none" w:sz="0" w:space="0" w:color="auto"/>
                <w:left w:val="none" w:sz="0" w:space="0" w:color="auto"/>
                <w:bottom w:val="none" w:sz="0" w:space="0" w:color="auto"/>
                <w:right w:val="none" w:sz="0" w:space="0" w:color="auto"/>
              </w:divBdr>
              <w:divsChild>
                <w:div w:id="1891454831">
                  <w:marLeft w:val="0"/>
                  <w:marRight w:val="0"/>
                  <w:marTop w:val="120"/>
                  <w:marBottom w:val="0"/>
                  <w:divBdr>
                    <w:top w:val="none" w:sz="0" w:space="0" w:color="auto"/>
                    <w:left w:val="none" w:sz="0" w:space="0" w:color="auto"/>
                    <w:bottom w:val="none" w:sz="0" w:space="0" w:color="auto"/>
                    <w:right w:val="none" w:sz="0" w:space="0" w:color="auto"/>
                  </w:divBdr>
                </w:div>
                <w:div w:id="21150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80302">
      <w:bodyDiv w:val="1"/>
      <w:marLeft w:val="0"/>
      <w:marRight w:val="0"/>
      <w:marTop w:val="0"/>
      <w:marBottom w:val="0"/>
      <w:divBdr>
        <w:top w:val="none" w:sz="0" w:space="0" w:color="auto"/>
        <w:left w:val="none" w:sz="0" w:space="0" w:color="auto"/>
        <w:bottom w:val="none" w:sz="0" w:space="0" w:color="auto"/>
        <w:right w:val="none" w:sz="0" w:space="0" w:color="auto"/>
      </w:divBdr>
      <w:divsChild>
        <w:div w:id="1878157278">
          <w:marLeft w:val="0"/>
          <w:marRight w:val="0"/>
          <w:marTop w:val="0"/>
          <w:marBottom w:val="0"/>
          <w:divBdr>
            <w:top w:val="none" w:sz="0" w:space="0" w:color="auto"/>
            <w:left w:val="none" w:sz="0" w:space="0" w:color="auto"/>
            <w:bottom w:val="none" w:sz="0" w:space="0" w:color="auto"/>
            <w:right w:val="none" w:sz="0" w:space="0" w:color="auto"/>
          </w:divBdr>
        </w:div>
      </w:divsChild>
    </w:div>
    <w:div w:id="1516503204">
      <w:bodyDiv w:val="1"/>
      <w:marLeft w:val="0"/>
      <w:marRight w:val="0"/>
      <w:marTop w:val="0"/>
      <w:marBottom w:val="0"/>
      <w:divBdr>
        <w:top w:val="none" w:sz="0" w:space="0" w:color="auto"/>
        <w:left w:val="none" w:sz="0" w:space="0" w:color="auto"/>
        <w:bottom w:val="none" w:sz="0" w:space="0" w:color="auto"/>
        <w:right w:val="none" w:sz="0" w:space="0" w:color="auto"/>
      </w:divBdr>
      <w:divsChild>
        <w:div w:id="825780017">
          <w:marLeft w:val="0"/>
          <w:marRight w:val="0"/>
          <w:marTop w:val="0"/>
          <w:marBottom w:val="0"/>
          <w:divBdr>
            <w:top w:val="none" w:sz="0" w:space="0" w:color="auto"/>
            <w:left w:val="none" w:sz="0" w:space="0" w:color="auto"/>
            <w:bottom w:val="none" w:sz="0" w:space="0" w:color="auto"/>
            <w:right w:val="none" w:sz="0" w:space="0" w:color="auto"/>
          </w:divBdr>
          <w:divsChild>
            <w:div w:id="15873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8776">
      <w:bodyDiv w:val="1"/>
      <w:marLeft w:val="0"/>
      <w:marRight w:val="0"/>
      <w:marTop w:val="0"/>
      <w:marBottom w:val="0"/>
      <w:divBdr>
        <w:top w:val="none" w:sz="0" w:space="0" w:color="auto"/>
        <w:left w:val="none" w:sz="0" w:space="0" w:color="auto"/>
        <w:bottom w:val="none" w:sz="0" w:space="0" w:color="auto"/>
        <w:right w:val="none" w:sz="0" w:space="0" w:color="auto"/>
      </w:divBdr>
      <w:divsChild>
        <w:div w:id="484277342">
          <w:marLeft w:val="0"/>
          <w:marRight w:val="0"/>
          <w:marTop w:val="0"/>
          <w:marBottom w:val="0"/>
          <w:divBdr>
            <w:top w:val="none" w:sz="0" w:space="0" w:color="auto"/>
            <w:left w:val="none" w:sz="0" w:space="0" w:color="auto"/>
            <w:bottom w:val="none" w:sz="0" w:space="0" w:color="auto"/>
            <w:right w:val="none" w:sz="0" w:space="0" w:color="auto"/>
          </w:divBdr>
          <w:divsChild>
            <w:div w:id="21326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53121">
      <w:bodyDiv w:val="1"/>
      <w:marLeft w:val="0"/>
      <w:marRight w:val="0"/>
      <w:marTop w:val="0"/>
      <w:marBottom w:val="0"/>
      <w:divBdr>
        <w:top w:val="none" w:sz="0" w:space="0" w:color="auto"/>
        <w:left w:val="none" w:sz="0" w:space="0" w:color="auto"/>
        <w:bottom w:val="none" w:sz="0" w:space="0" w:color="auto"/>
        <w:right w:val="none" w:sz="0" w:space="0" w:color="auto"/>
      </w:divBdr>
      <w:divsChild>
        <w:div w:id="2108386100">
          <w:marLeft w:val="0"/>
          <w:marRight w:val="0"/>
          <w:marTop w:val="0"/>
          <w:marBottom w:val="0"/>
          <w:divBdr>
            <w:top w:val="none" w:sz="0" w:space="0" w:color="auto"/>
            <w:left w:val="none" w:sz="0" w:space="0" w:color="auto"/>
            <w:bottom w:val="none" w:sz="0" w:space="0" w:color="auto"/>
            <w:right w:val="none" w:sz="0" w:space="0" w:color="auto"/>
          </w:divBdr>
          <w:divsChild>
            <w:div w:id="63579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8155">
      <w:bodyDiv w:val="1"/>
      <w:marLeft w:val="0"/>
      <w:marRight w:val="0"/>
      <w:marTop w:val="0"/>
      <w:marBottom w:val="0"/>
      <w:divBdr>
        <w:top w:val="none" w:sz="0" w:space="0" w:color="auto"/>
        <w:left w:val="none" w:sz="0" w:space="0" w:color="auto"/>
        <w:bottom w:val="none" w:sz="0" w:space="0" w:color="auto"/>
        <w:right w:val="none" w:sz="0" w:space="0" w:color="auto"/>
      </w:divBdr>
      <w:divsChild>
        <w:div w:id="1473936352">
          <w:marLeft w:val="0"/>
          <w:marRight w:val="0"/>
          <w:marTop w:val="0"/>
          <w:marBottom w:val="0"/>
          <w:divBdr>
            <w:top w:val="none" w:sz="0" w:space="0" w:color="auto"/>
            <w:left w:val="none" w:sz="0" w:space="0" w:color="auto"/>
            <w:bottom w:val="none" w:sz="0" w:space="0" w:color="auto"/>
            <w:right w:val="none" w:sz="0" w:space="0" w:color="auto"/>
          </w:divBdr>
          <w:divsChild>
            <w:div w:id="1786197808">
              <w:marLeft w:val="0"/>
              <w:marRight w:val="0"/>
              <w:marTop w:val="0"/>
              <w:marBottom w:val="0"/>
              <w:divBdr>
                <w:top w:val="none" w:sz="0" w:space="0" w:color="auto"/>
                <w:left w:val="none" w:sz="0" w:space="0" w:color="auto"/>
                <w:bottom w:val="none" w:sz="0" w:space="0" w:color="auto"/>
                <w:right w:val="none" w:sz="0" w:space="0" w:color="auto"/>
              </w:divBdr>
            </w:div>
          </w:divsChild>
        </w:div>
        <w:div w:id="1506746493">
          <w:marLeft w:val="0"/>
          <w:marRight w:val="0"/>
          <w:marTop w:val="0"/>
          <w:marBottom w:val="0"/>
          <w:divBdr>
            <w:top w:val="none" w:sz="0" w:space="0" w:color="auto"/>
            <w:left w:val="none" w:sz="0" w:space="0" w:color="auto"/>
            <w:bottom w:val="none" w:sz="0" w:space="0" w:color="auto"/>
            <w:right w:val="none" w:sz="0" w:space="0" w:color="auto"/>
          </w:divBdr>
          <w:divsChild>
            <w:div w:id="19974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34670">
      <w:bodyDiv w:val="1"/>
      <w:marLeft w:val="0"/>
      <w:marRight w:val="0"/>
      <w:marTop w:val="0"/>
      <w:marBottom w:val="0"/>
      <w:divBdr>
        <w:top w:val="none" w:sz="0" w:space="0" w:color="auto"/>
        <w:left w:val="none" w:sz="0" w:space="0" w:color="auto"/>
        <w:bottom w:val="none" w:sz="0" w:space="0" w:color="auto"/>
        <w:right w:val="none" w:sz="0" w:space="0" w:color="auto"/>
      </w:divBdr>
      <w:divsChild>
        <w:div w:id="1198470218">
          <w:marLeft w:val="0"/>
          <w:marRight w:val="0"/>
          <w:marTop w:val="0"/>
          <w:marBottom w:val="0"/>
          <w:divBdr>
            <w:top w:val="none" w:sz="0" w:space="0" w:color="auto"/>
            <w:left w:val="none" w:sz="0" w:space="0" w:color="auto"/>
            <w:bottom w:val="none" w:sz="0" w:space="0" w:color="auto"/>
            <w:right w:val="none" w:sz="0" w:space="0" w:color="auto"/>
          </w:divBdr>
          <w:divsChild>
            <w:div w:id="1144199522">
              <w:marLeft w:val="0"/>
              <w:marRight w:val="0"/>
              <w:marTop w:val="0"/>
              <w:marBottom w:val="0"/>
              <w:divBdr>
                <w:top w:val="none" w:sz="0" w:space="0" w:color="auto"/>
                <w:left w:val="none" w:sz="0" w:space="0" w:color="auto"/>
                <w:bottom w:val="none" w:sz="0" w:space="0" w:color="auto"/>
                <w:right w:val="none" w:sz="0" w:space="0" w:color="auto"/>
              </w:divBdr>
            </w:div>
          </w:divsChild>
        </w:div>
        <w:div w:id="1368018732">
          <w:marLeft w:val="0"/>
          <w:marRight w:val="0"/>
          <w:marTop w:val="0"/>
          <w:marBottom w:val="0"/>
          <w:divBdr>
            <w:top w:val="none" w:sz="0" w:space="0" w:color="auto"/>
            <w:left w:val="none" w:sz="0" w:space="0" w:color="auto"/>
            <w:bottom w:val="none" w:sz="0" w:space="0" w:color="auto"/>
            <w:right w:val="none" w:sz="0" w:space="0" w:color="auto"/>
          </w:divBdr>
          <w:divsChild>
            <w:div w:id="83646172">
              <w:marLeft w:val="0"/>
              <w:marRight w:val="0"/>
              <w:marTop w:val="0"/>
              <w:marBottom w:val="0"/>
              <w:divBdr>
                <w:top w:val="none" w:sz="0" w:space="0" w:color="auto"/>
                <w:left w:val="none" w:sz="0" w:space="0" w:color="auto"/>
                <w:bottom w:val="none" w:sz="0" w:space="0" w:color="auto"/>
                <w:right w:val="none" w:sz="0" w:space="0" w:color="auto"/>
              </w:divBdr>
            </w:div>
          </w:divsChild>
        </w:div>
        <w:div w:id="1819568478">
          <w:marLeft w:val="0"/>
          <w:marRight w:val="0"/>
          <w:marTop w:val="0"/>
          <w:marBottom w:val="0"/>
          <w:divBdr>
            <w:top w:val="none" w:sz="0" w:space="0" w:color="auto"/>
            <w:left w:val="none" w:sz="0" w:space="0" w:color="auto"/>
            <w:bottom w:val="none" w:sz="0" w:space="0" w:color="auto"/>
            <w:right w:val="none" w:sz="0" w:space="0" w:color="auto"/>
          </w:divBdr>
          <w:divsChild>
            <w:div w:id="277105452">
              <w:marLeft w:val="0"/>
              <w:marRight w:val="0"/>
              <w:marTop w:val="0"/>
              <w:marBottom w:val="0"/>
              <w:divBdr>
                <w:top w:val="none" w:sz="0" w:space="0" w:color="auto"/>
                <w:left w:val="none" w:sz="0" w:space="0" w:color="auto"/>
                <w:bottom w:val="none" w:sz="0" w:space="0" w:color="auto"/>
                <w:right w:val="none" w:sz="0" w:space="0" w:color="auto"/>
              </w:divBdr>
              <w:divsChild>
                <w:div w:id="1990089283">
                  <w:marLeft w:val="0"/>
                  <w:marRight w:val="0"/>
                  <w:marTop w:val="0"/>
                  <w:marBottom w:val="0"/>
                  <w:divBdr>
                    <w:top w:val="none" w:sz="0" w:space="0" w:color="auto"/>
                    <w:left w:val="none" w:sz="0" w:space="0" w:color="auto"/>
                    <w:bottom w:val="none" w:sz="0" w:space="0" w:color="auto"/>
                    <w:right w:val="none" w:sz="0" w:space="0" w:color="auto"/>
                  </w:divBdr>
                  <w:divsChild>
                    <w:div w:id="105470745">
                      <w:marLeft w:val="0"/>
                      <w:marRight w:val="0"/>
                      <w:marTop w:val="120"/>
                      <w:marBottom w:val="0"/>
                      <w:divBdr>
                        <w:top w:val="none" w:sz="0" w:space="0" w:color="auto"/>
                        <w:left w:val="none" w:sz="0" w:space="0" w:color="auto"/>
                        <w:bottom w:val="none" w:sz="0" w:space="0" w:color="auto"/>
                        <w:right w:val="none" w:sz="0" w:space="0" w:color="auto"/>
                      </w:divBdr>
                    </w:div>
                    <w:div w:id="1868834885">
                      <w:marLeft w:val="0"/>
                      <w:marRight w:val="0"/>
                      <w:marTop w:val="0"/>
                      <w:marBottom w:val="0"/>
                      <w:divBdr>
                        <w:top w:val="none" w:sz="0" w:space="0" w:color="auto"/>
                        <w:left w:val="none" w:sz="0" w:space="0" w:color="auto"/>
                        <w:bottom w:val="none" w:sz="0" w:space="0" w:color="auto"/>
                        <w:right w:val="none" w:sz="0" w:space="0" w:color="auto"/>
                      </w:divBdr>
                    </w:div>
                  </w:divsChild>
                </w:div>
                <w:div w:id="2055079033">
                  <w:marLeft w:val="0"/>
                  <w:marRight w:val="0"/>
                  <w:marTop w:val="0"/>
                  <w:marBottom w:val="0"/>
                  <w:divBdr>
                    <w:top w:val="none" w:sz="0" w:space="0" w:color="auto"/>
                    <w:left w:val="none" w:sz="0" w:space="0" w:color="auto"/>
                    <w:bottom w:val="none" w:sz="0" w:space="0" w:color="auto"/>
                    <w:right w:val="none" w:sz="0" w:space="0" w:color="auto"/>
                  </w:divBdr>
                  <w:divsChild>
                    <w:div w:id="379717966">
                      <w:marLeft w:val="0"/>
                      <w:marRight w:val="0"/>
                      <w:marTop w:val="0"/>
                      <w:marBottom w:val="0"/>
                      <w:divBdr>
                        <w:top w:val="none" w:sz="0" w:space="0" w:color="auto"/>
                        <w:left w:val="none" w:sz="0" w:space="0" w:color="auto"/>
                        <w:bottom w:val="none" w:sz="0" w:space="0" w:color="auto"/>
                        <w:right w:val="none" w:sz="0" w:space="0" w:color="auto"/>
                      </w:divBdr>
                    </w:div>
                    <w:div w:id="18030383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3596386">
          <w:marLeft w:val="0"/>
          <w:marRight w:val="0"/>
          <w:marTop w:val="0"/>
          <w:marBottom w:val="0"/>
          <w:divBdr>
            <w:top w:val="none" w:sz="0" w:space="0" w:color="auto"/>
            <w:left w:val="none" w:sz="0" w:space="0" w:color="auto"/>
            <w:bottom w:val="none" w:sz="0" w:space="0" w:color="auto"/>
            <w:right w:val="none" w:sz="0" w:space="0" w:color="auto"/>
          </w:divBdr>
          <w:divsChild>
            <w:div w:id="20137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7221">
      <w:bodyDiv w:val="1"/>
      <w:marLeft w:val="0"/>
      <w:marRight w:val="0"/>
      <w:marTop w:val="0"/>
      <w:marBottom w:val="0"/>
      <w:divBdr>
        <w:top w:val="none" w:sz="0" w:space="0" w:color="auto"/>
        <w:left w:val="none" w:sz="0" w:space="0" w:color="auto"/>
        <w:bottom w:val="none" w:sz="0" w:space="0" w:color="auto"/>
        <w:right w:val="none" w:sz="0" w:space="0" w:color="auto"/>
      </w:divBdr>
      <w:divsChild>
        <w:div w:id="273245677">
          <w:marLeft w:val="0"/>
          <w:marRight w:val="0"/>
          <w:marTop w:val="0"/>
          <w:marBottom w:val="0"/>
          <w:divBdr>
            <w:top w:val="none" w:sz="0" w:space="0" w:color="auto"/>
            <w:left w:val="none" w:sz="0" w:space="0" w:color="auto"/>
            <w:bottom w:val="none" w:sz="0" w:space="0" w:color="auto"/>
            <w:right w:val="none" w:sz="0" w:space="0" w:color="auto"/>
          </w:divBdr>
        </w:div>
      </w:divsChild>
    </w:div>
    <w:div w:id="1552889297">
      <w:bodyDiv w:val="1"/>
      <w:marLeft w:val="0"/>
      <w:marRight w:val="0"/>
      <w:marTop w:val="0"/>
      <w:marBottom w:val="0"/>
      <w:divBdr>
        <w:top w:val="none" w:sz="0" w:space="0" w:color="auto"/>
        <w:left w:val="none" w:sz="0" w:space="0" w:color="auto"/>
        <w:bottom w:val="none" w:sz="0" w:space="0" w:color="auto"/>
        <w:right w:val="none" w:sz="0" w:space="0" w:color="auto"/>
      </w:divBdr>
      <w:divsChild>
        <w:div w:id="1531917988">
          <w:marLeft w:val="0"/>
          <w:marRight w:val="0"/>
          <w:marTop w:val="0"/>
          <w:marBottom w:val="0"/>
          <w:divBdr>
            <w:top w:val="none" w:sz="0" w:space="0" w:color="auto"/>
            <w:left w:val="none" w:sz="0" w:space="0" w:color="auto"/>
            <w:bottom w:val="none" w:sz="0" w:space="0" w:color="auto"/>
            <w:right w:val="none" w:sz="0" w:space="0" w:color="auto"/>
          </w:divBdr>
        </w:div>
      </w:divsChild>
    </w:div>
    <w:div w:id="1557352338">
      <w:bodyDiv w:val="1"/>
      <w:marLeft w:val="0"/>
      <w:marRight w:val="0"/>
      <w:marTop w:val="0"/>
      <w:marBottom w:val="0"/>
      <w:divBdr>
        <w:top w:val="none" w:sz="0" w:space="0" w:color="auto"/>
        <w:left w:val="none" w:sz="0" w:space="0" w:color="auto"/>
        <w:bottom w:val="none" w:sz="0" w:space="0" w:color="auto"/>
        <w:right w:val="none" w:sz="0" w:space="0" w:color="auto"/>
      </w:divBdr>
      <w:divsChild>
        <w:div w:id="608590540">
          <w:marLeft w:val="0"/>
          <w:marRight w:val="0"/>
          <w:marTop w:val="0"/>
          <w:marBottom w:val="0"/>
          <w:divBdr>
            <w:top w:val="none" w:sz="0" w:space="0" w:color="auto"/>
            <w:left w:val="none" w:sz="0" w:space="0" w:color="auto"/>
            <w:bottom w:val="none" w:sz="0" w:space="0" w:color="auto"/>
            <w:right w:val="none" w:sz="0" w:space="0" w:color="auto"/>
          </w:divBdr>
        </w:div>
      </w:divsChild>
    </w:div>
    <w:div w:id="1562406042">
      <w:bodyDiv w:val="1"/>
      <w:marLeft w:val="0"/>
      <w:marRight w:val="0"/>
      <w:marTop w:val="0"/>
      <w:marBottom w:val="0"/>
      <w:divBdr>
        <w:top w:val="none" w:sz="0" w:space="0" w:color="auto"/>
        <w:left w:val="none" w:sz="0" w:space="0" w:color="auto"/>
        <w:bottom w:val="none" w:sz="0" w:space="0" w:color="auto"/>
        <w:right w:val="none" w:sz="0" w:space="0" w:color="auto"/>
      </w:divBdr>
      <w:divsChild>
        <w:div w:id="585771383">
          <w:marLeft w:val="0"/>
          <w:marRight w:val="0"/>
          <w:marTop w:val="0"/>
          <w:marBottom w:val="0"/>
          <w:divBdr>
            <w:top w:val="none" w:sz="0" w:space="0" w:color="auto"/>
            <w:left w:val="none" w:sz="0" w:space="0" w:color="auto"/>
            <w:bottom w:val="none" w:sz="0" w:space="0" w:color="auto"/>
            <w:right w:val="none" w:sz="0" w:space="0" w:color="auto"/>
          </w:divBdr>
        </w:div>
      </w:divsChild>
    </w:div>
    <w:div w:id="1563953721">
      <w:bodyDiv w:val="1"/>
      <w:marLeft w:val="0"/>
      <w:marRight w:val="0"/>
      <w:marTop w:val="0"/>
      <w:marBottom w:val="0"/>
      <w:divBdr>
        <w:top w:val="none" w:sz="0" w:space="0" w:color="auto"/>
        <w:left w:val="none" w:sz="0" w:space="0" w:color="auto"/>
        <w:bottom w:val="none" w:sz="0" w:space="0" w:color="auto"/>
        <w:right w:val="none" w:sz="0" w:space="0" w:color="auto"/>
      </w:divBdr>
      <w:divsChild>
        <w:div w:id="1285964747">
          <w:marLeft w:val="0"/>
          <w:marRight w:val="0"/>
          <w:marTop w:val="0"/>
          <w:marBottom w:val="0"/>
          <w:divBdr>
            <w:top w:val="none" w:sz="0" w:space="0" w:color="auto"/>
            <w:left w:val="none" w:sz="0" w:space="0" w:color="auto"/>
            <w:bottom w:val="none" w:sz="0" w:space="0" w:color="auto"/>
            <w:right w:val="none" w:sz="0" w:space="0" w:color="auto"/>
          </w:divBdr>
        </w:div>
      </w:divsChild>
    </w:div>
    <w:div w:id="1570581665">
      <w:bodyDiv w:val="1"/>
      <w:marLeft w:val="0"/>
      <w:marRight w:val="0"/>
      <w:marTop w:val="0"/>
      <w:marBottom w:val="0"/>
      <w:divBdr>
        <w:top w:val="none" w:sz="0" w:space="0" w:color="auto"/>
        <w:left w:val="none" w:sz="0" w:space="0" w:color="auto"/>
        <w:bottom w:val="none" w:sz="0" w:space="0" w:color="auto"/>
        <w:right w:val="none" w:sz="0" w:space="0" w:color="auto"/>
      </w:divBdr>
      <w:divsChild>
        <w:div w:id="1615942894">
          <w:marLeft w:val="0"/>
          <w:marRight w:val="0"/>
          <w:marTop w:val="0"/>
          <w:marBottom w:val="0"/>
          <w:divBdr>
            <w:top w:val="none" w:sz="0" w:space="0" w:color="auto"/>
            <w:left w:val="none" w:sz="0" w:space="0" w:color="auto"/>
            <w:bottom w:val="none" w:sz="0" w:space="0" w:color="auto"/>
            <w:right w:val="none" w:sz="0" w:space="0" w:color="auto"/>
          </w:divBdr>
          <w:divsChild>
            <w:div w:id="101465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3612">
      <w:bodyDiv w:val="1"/>
      <w:marLeft w:val="0"/>
      <w:marRight w:val="0"/>
      <w:marTop w:val="0"/>
      <w:marBottom w:val="0"/>
      <w:divBdr>
        <w:top w:val="none" w:sz="0" w:space="0" w:color="auto"/>
        <w:left w:val="none" w:sz="0" w:space="0" w:color="auto"/>
        <w:bottom w:val="none" w:sz="0" w:space="0" w:color="auto"/>
        <w:right w:val="none" w:sz="0" w:space="0" w:color="auto"/>
      </w:divBdr>
      <w:divsChild>
        <w:div w:id="1438450073">
          <w:marLeft w:val="0"/>
          <w:marRight w:val="0"/>
          <w:marTop w:val="0"/>
          <w:marBottom w:val="0"/>
          <w:divBdr>
            <w:top w:val="none" w:sz="0" w:space="0" w:color="auto"/>
            <w:left w:val="none" w:sz="0" w:space="0" w:color="auto"/>
            <w:bottom w:val="none" w:sz="0" w:space="0" w:color="auto"/>
            <w:right w:val="none" w:sz="0" w:space="0" w:color="auto"/>
          </w:divBdr>
        </w:div>
      </w:divsChild>
    </w:div>
    <w:div w:id="1576433937">
      <w:bodyDiv w:val="1"/>
      <w:marLeft w:val="0"/>
      <w:marRight w:val="0"/>
      <w:marTop w:val="0"/>
      <w:marBottom w:val="0"/>
      <w:divBdr>
        <w:top w:val="none" w:sz="0" w:space="0" w:color="auto"/>
        <w:left w:val="none" w:sz="0" w:space="0" w:color="auto"/>
        <w:bottom w:val="none" w:sz="0" w:space="0" w:color="auto"/>
        <w:right w:val="none" w:sz="0" w:space="0" w:color="auto"/>
      </w:divBdr>
      <w:divsChild>
        <w:div w:id="444350597">
          <w:marLeft w:val="0"/>
          <w:marRight w:val="0"/>
          <w:marTop w:val="0"/>
          <w:marBottom w:val="0"/>
          <w:divBdr>
            <w:top w:val="none" w:sz="0" w:space="0" w:color="auto"/>
            <w:left w:val="none" w:sz="0" w:space="0" w:color="auto"/>
            <w:bottom w:val="none" w:sz="0" w:space="0" w:color="auto"/>
            <w:right w:val="none" w:sz="0" w:space="0" w:color="auto"/>
          </w:divBdr>
        </w:div>
        <w:div w:id="1273049831">
          <w:marLeft w:val="0"/>
          <w:marRight w:val="0"/>
          <w:marTop w:val="0"/>
          <w:marBottom w:val="0"/>
          <w:divBdr>
            <w:top w:val="none" w:sz="0" w:space="0" w:color="auto"/>
            <w:left w:val="none" w:sz="0" w:space="0" w:color="auto"/>
            <w:bottom w:val="none" w:sz="0" w:space="0" w:color="auto"/>
            <w:right w:val="none" w:sz="0" w:space="0" w:color="auto"/>
          </w:divBdr>
          <w:divsChild>
            <w:div w:id="520245396">
              <w:marLeft w:val="0"/>
              <w:marRight w:val="0"/>
              <w:marTop w:val="0"/>
              <w:marBottom w:val="0"/>
              <w:divBdr>
                <w:top w:val="none" w:sz="0" w:space="0" w:color="auto"/>
                <w:left w:val="none" w:sz="0" w:space="0" w:color="auto"/>
                <w:bottom w:val="none" w:sz="0" w:space="0" w:color="auto"/>
                <w:right w:val="none" w:sz="0" w:space="0" w:color="auto"/>
              </w:divBdr>
              <w:divsChild>
                <w:div w:id="282273552">
                  <w:marLeft w:val="0"/>
                  <w:marRight w:val="0"/>
                  <w:marTop w:val="0"/>
                  <w:marBottom w:val="0"/>
                  <w:divBdr>
                    <w:top w:val="none" w:sz="0" w:space="0" w:color="auto"/>
                    <w:left w:val="none" w:sz="0" w:space="0" w:color="auto"/>
                    <w:bottom w:val="none" w:sz="0" w:space="0" w:color="auto"/>
                    <w:right w:val="none" w:sz="0" w:space="0" w:color="auto"/>
                  </w:divBdr>
                  <w:divsChild>
                    <w:div w:id="980766214">
                      <w:marLeft w:val="0"/>
                      <w:marRight w:val="0"/>
                      <w:marTop w:val="120"/>
                      <w:marBottom w:val="0"/>
                      <w:divBdr>
                        <w:top w:val="none" w:sz="0" w:space="0" w:color="auto"/>
                        <w:left w:val="none" w:sz="0" w:space="0" w:color="auto"/>
                        <w:bottom w:val="none" w:sz="0" w:space="0" w:color="auto"/>
                        <w:right w:val="none" w:sz="0" w:space="0" w:color="auto"/>
                      </w:divBdr>
                    </w:div>
                    <w:div w:id="1210648420">
                      <w:marLeft w:val="0"/>
                      <w:marRight w:val="0"/>
                      <w:marTop w:val="0"/>
                      <w:marBottom w:val="0"/>
                      <w:divBdr>
                        <w:top w:val="none" w:sz="0" w:space="0" w:color="auto"/>
                        <w:left w:val="none" w:sz="0" w:space="0" w:color="auto"/>
                        <w:bottom w:val="none" w:sz="0" w:space="0" w:color="auto"/>
                        <w:right w:val="none" w:sz="0" w:space="0" w:color="auto"/>
                      </w:divBdr>
                    </w:div>
                  </w:divsChild>
                </w:div>
                <w:div w:id="1319991782">
                  <w:marLeft w:val="0"/>
                  <w:marRight w:val="0"/>
                  <w:marTop w:val="0"/>
                  <w:marBottom w:val="0"/>
                  <w:divBdr>
                    <w:top w:val="none" w:sz="0" w:space="0" w:color="auto"/>
                    <w:left w:val="none" w:sz="0" w:space="0" w:color="auto"/>
                    <w:bottom w:val="none" w:sz="0" w:space="0" w:color="auto"/>
                    <w:right w:val="none" w:sz="0" w:space="0" w:color="auto"/>
                  </w:divBdr>
                  <w:divsChild>
                    <w:div w:id="200096077">
                      <w:marLeft w:val="0"/>
                      <w:marRight w:val="0"/>
                      <w:marTop w:val="0"/>
                      <w:marBottom w:val="0"/>
                      <w:divBdr>
                        <w:top w:val="none" w:sz="0" w:space="0" w:color="auto"/>
                        <w:left w:val="none" w:sz="0" w:space="0" w:color="auto"/>
                        <w:bottom w:val="none" w:sz="0" w:space="0" w:color="auto"/>
                        <w:right w:val="none" w:sz="0" w:space="0" w:color="auto"/>
                      </w:divBdr>
                    </w:div>
                    <w:div w:id="1392659765">
                      <w:marLeft w:val="0"/>
                      <w:marRight w:val="0"/>
                      <w:marTop w:val="120"/>
                      <w:marBottom w:val="0"/>
                      <w:divBdr>
                        <w:top w:val="none" w:sz="0" w:space="0" w:color="auto"/>
                        <w:left w:val="none" w:sz="0" w:space="0" w:color="auto"/>
                        <w:bottom w:val="none" w:sz="0" w:space="0" w:color="auto"/>
                        <w:right w:val="none" w:sz="0" w:space="0" w:color="auto"/>
                      </w:divBdr>
                    </w:div>
                  </w:divsChild>
                </w:div>
                <w:div w:id="1865248067">
                  <w:marLeft w:val="0"/>
                  <w:marRight w:val="0"/>
                  <w:marTop w:val="0"/>
                  <w:marBottom w:val="0"/>
                  <w:divBdr>
                    <w:top w:val="none" w:sz="0" w:space="0" w:color="auto"/>
                    <w:left w:val="none" w:sz="0" w:space="0" w:color="auto"/>
                    <w:bottom w:val="none" w:sz="0" w:space="0" w:color="auto"/>
                    <w:right w:val="none" w:sz="0" w:space="0" w:color="auto"/>
                  </w:divBdr>
                  <w:divsChild>
                    <w:div w:id="124082570">
                      <w:marLeft w:val="0"/>
                      <w:marRight w:val="0"/>
                      <w:marTop w:val="120"/>
                      <w:marBottom w:val="0"/>
                      <w:divBdr>
                        <w:top w:val="none" w:sz="0" w:space="0" w:color="auto"/>
                        <w:left w:val="none" w:sz="0" w:space="0" w:color="auto"/>
                        <w:bottom w:val="none" w:sz="0" w:space="0" w:color="auto"/>
                        <w:right w:val="none" w:sz="0" w:space="0" w:color="auto"/>
                      </w:divBdr>
                    </w:div>
                    <w:div w:id="78689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072660">
      <w:bodyDiv w:val="1"/>
      <w:marLeft w:val="0"/>
      <w:marRight w:val="0"/>
      <w:marTop w:val="0"/>
      <w:marBottom w:val="0"/>
      <w:divBdr>
        <w:top w:val="none" w:sz="0" w:space="0" w:color="auto"/>
        <w:left w:val="none" w:sz="0" w:space="0" w:color="auto"/>
        <w:bottom w:val="none" w:sz="0" w:space="0" w:color="auto"/>
        <w:right w:val="none" w:sz="0" w:space="0" w:color="auto"/>
      </w:divBdr>
      <w:divsChild>
        <w:div w:id="228348609">
          <w:marLeft w:val="0"/>
          <w:marRight w:val="0"/>
          <w:marTop w:val="0"/>
          <w:marBottom w:val="0"/>
          <w:divBdr>
            <w:top w:val="none" w:sz="0" w:space="0" w:color="auto"/>
            <w:left w:val="none" w:sz="0" w:space="0" w:color="auto"/>
            <w:bottom w:val="none" w:sz="0" w:space="0" w:color="auto"/>
            <w:right w:val="none" w:sz="0" w:space="0" w:color="auto"/>
          </w:divBdr>
          <w:divsChild>
            <w:div w:id="228000898">
              <w:marLeft w:val="0"/>
              <w:marRight w:val="0"/>
              <w:marTop w:val="120"/>
              <w:marBottom w:val="0"/>
              <w:divBdr>
                <w:top w:val="none" w:sz="0" w:space="0" w:color="auto"/>
                <w:left w:val="none" w:sz="0" w:space="0" w:color="auto"/>
                <w:bottom w:val="none" w:sz="0" w:space="0" w:color="auto"/>
                <w:right w:val="none" w:sz="0" w:space="0" w:color="auto"/>
              </w:divBdr>
            </w:div>
            <w:div w:id="2001809842">
              <w:marLeft w:val="0"/>
              <w:marRight w:val="0"/>
              <w:marTop w:val="0"/>
              <w:marBottom w:val="0"/>
              <w:divBdr>
                <w:top w:val="none" w:sz="0" w:space="0" w:color="auto"/>
                <w:left w:val="none" w:sz="0" w:space="0" w:color="auto"/>
                <w:bottom w:val="none" w:sz="0" w:space="0" w:color="auto"/>
                <w:right w:val="none" w:sz="0" w:space="0" w:color="auto"/>
              </w:divBdr>
            </w:div>
          </w:divsChild>
        </w:div>
        <w:div w:id="731513055">
          <w:marLeft w:val="0"/>
          <w:marRight w:val="0"/>
          <w:marTop w:val="0"/>
          <w:marBottom w:val="0"/>
          <w:divBdr>
            <w:top w:val="none" w:sz="0" w:space="0" w:color="auto"/>
            <w:left w:val="none" w:sz="0" w:space="0" w:color="auto"/>
            <w:bottom w:val="none" w:sz="0" w:space="0" w:color="auto"/>
            <w:right w:val="none" w:sz="0" w:space="0" w:color="auto"/>
          </w:divBdr>
          <w:divsChild>
            <w:div w:id="376979121">
              <w:marLeft w:val="0"/>
              <w:marRight w:val="0"/>
              <w:marTop w:val="120"/>
              <w:marBottom w:val="0"/>
              <w:divBdr>
                <w:top w:val="none" w:sz="0" w:space="0" w:color="auto"/>
                <w:left w:val="none" w:sz="0" w:space="0" w:color="auto"/>
                <w:bottom w:val="none" w:sz="0" w:space="0" w:color="auto"/>
                <w:right w:val="none" w:sz="0" w:space="0" w:color="auto"/>
              </w:divBdr>
            </w:div>
            <w:div w:id="693263971">
              <w:marLeft w:val="0"/>
              <w:marRight w:val="0"/>
              <w:marTop w:val="0"/>
              <w:marBottom w:val="0"/>
              <w:divBdr>
                <w:top w:val="none" w:sz="0" w:space="0" w:color="auto"/>
                <w:left w:val="none" w:sz="0" w:space="0" w:color="auto"/>
                <w:bottom w:val="none" w:sz="0" w:space="0" w:color="auto"/>
                <w:right w:val="none" w:sz="0" w:space="0" w:color="auto"/>
              </w:divBdr>
            </w:div>
          </w:divsChild>
        </w:div>
        <w:div w:id="966467403">
          <w:marLeft w:val="0"/>
          <w:marRight w:val="0"/>
          <w:marTop w:val="0"/>
          <w:marBottom w:val="0"/>
          <w:divBdr>
            <w:top w:val="none" w:sz="0" w:space="0" w:color="auto"/>
            <w:left w:val="none" w:sz="0" w:space="0" w:color="auto"/>
            <w:bottom w:val="none" w:sz="0" w:space="0" w:color="auto"/>
            <w:right w:val="none" w:sz="0" w:space="0" w:color="auto"/>
          </w:divBdr>
          <w:divsChild>
            <w:div w:id="334963209">
              <w:marLeft w:val="0"/>
              <w:marRight w:val="0"/>
              <w:marTop w:val="0"/>
              <w:marBottom w:val="0"/>
              <w:divBdr>
                <w:top w:val="none" w:sz="0" w:space="0" w:color="auto"/>
                <w:left w:val="none" w:sz="0" w:space="0" w:color="auto"/>
                <w:bottom w:val="none" w:sz="0" w:space="0" w:color="auto"/>
                <w:right w:val="none" w:sz="0" w:space="0" w:color="auto"/>
              </w:divBdr>
            </w:div>
            <w:div w:id="1330255550">
              <w:marLeft w:val="0"/>
              <w:marRight w:val="0"/>
              <w:marTop w:val="120"/>
              <w:marBottom w:val="0"/>
              <w:divBdr>
                <w:top w:val="none" w:sz="0" w:space="0" w:color="auto"/>
                <w:left w:val="none" w:sz="0" w:space="0" w:color="auto"/>
                <w:bottom w:val="none" w:sz="0" w:space="0" w:color="auto"/>
                <w:right w:val="none" w:sz="0" w:space="0" w:color="auto"/>
              </w:divBdr>
            </w:div>
          </w:divsChild>
        </w:div>
        <w:div w:id="2132238987">
          <w:marLeft w:val="0"/>
          <w:marRight w:val="0"/>
          <w:marTop w:val="0"/>
          <w:marBottom w:val="0"/>
          <w:divBdr>
            <w:top w:val="none" w:sz="0" w:space="0" w:color="auto"/>
            <w:left w:val="none" w:sz="0" w:space="0" w:color="auto"/>
            <w:bottom w:val="none" w:sz="0" w:space="0" w:color="auto"/>
            <w:right w:val="none" w:sz="0" w:space="0" w:color="auto"/>
          </w:divBdr>
          <w:divsChild>
            <w:div w:id="577789969">
              <w:marLeft w:val="0"/>
              <w:marRight w:val="0"/>
              <w:marTop w:val="0"/>
              <w:marBottom w:val="0"/>
              <w:divBdr>
                <w:top w:val="none" w:sz="0" w:space="0" w:color="auto"/>
                <w:left w:val="none" w:sz="0" w:space="0" w:color="auto"/>
                <w:bottom w:val="none" w:sz="0" w:space="0" w:color="auto"/>
                <w:right w:val="none" w:sz="0" w:space="0" w:color="auto"/>
              </w:divBdr>
            </w:div>
            <w:div w:id="21388378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494689">
      <w:bodyDiv w:val="1"/>
      <w:marLeft w:val="0"/>
      <w:marRight w:val="0"/>
      <w:marTop w:val="0"/>
      <w:marBottom w:val="0"/>
      <w:divBdr>
        <w:top w:val="none" w:sz="0" w:space="0" w:color="auto"/>
        <w:left w:val="none" w:sz="0" w:space="0" w:color="auto"/>
        <w:bottom w:val="none" w:sz="0" w:space="0" w:color="auto"/>
        <w:right w:val="none" w:sz="0" w:space="0" w:color="auto"/>
      </w:divBdr>
      <w:divsChild>
        <w:div w:id="806244114">
          <w:marLeft w:val="0"/>
          <w:marRight w:val="0"/>
          <w:marTop w:val="0"/>
          <w:marBottom w:val="0"/>
          <w:divBdr>
            <w:top w:val="none" w:sz="0" w:space="0" w:color="auto"/>
            <w:left w:val="none" w:sz="0" w:space="0" w:color="auto"/>
            <w:bottom w:val="none" w:sz="0" w:space="0" w:color="auto"/>
            <w:right w:val="none" w:sz="0" w:space="0" w:color="auto"/>
          </w:divBdr>
        </w:div>
        <w:div w:id="2048335486">
          <w:marLeft w:val="0"/>
          <w:marRight w:val="0"/>
          <w:marTop w:val="0"/>
          <w:marBottom w:val="0"/>
          <w:divBdr>
            <w:top w:val="none" w:sz="0" w:space="0" w:color="auto"/>
            <w:left w:val="none" w:sz="0" w:space="0" w:color="auto"/>
            <w:bottom w:val="none" w:sz="0" w:space="0" w:color="auto"/>
            <w:right w:val="none" w:sz="0" w:space="0" w:color="auto"/>
          </w:divBdr>
          <w:divsChild>
            <w:div w:id="20773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2731">
      <w:bodyDiv w:val="1"/>
      <w:marLeft w:val="0"/>
      <w:marRight w:val="0"/>
      <w:marTop w:val="0"/>
      <w:marBottom w:val="0"/>
      <w:divBdr>
        <w:top w:val="none" w:sz="0" w:space="0" w:color="auto"/>
        <w:left w:val="none" w:sz="0" w:space="0" w:color="auto"/>
        <w:bottom w:val="none" w:sz="0" w:space="0" w:color="auto"/>
        <w:right w:val="none" w:sz="0" w:space="0" w:color="auto"/>
      </w:divBdr>
      <w:divsChild>
        <w:div w:id="1769738213">
          <w:marLeft w:val="0"/>
          <w:marRight w:val="0"/>
          <w:marTop w:val="0"/>
          <w:marBottom w:val="0"/>
          <w:divBdr>
            <w:top w:val="none" w:sz="0" w:space="0" w:color="auto"/>
            <w:left w:val="none" w:sz="0" w:space="0" w:color="auto"/>
            <w:bottom w:val="none" w:sz="0" w:space="0" w:color="auto"/>
            <w:right w:val="none" w:sz="0" w:space="0" w:color="auto"/>
          </w:divBdr>
          <w:divsChild>
            <w:div w:id="175728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154726">
      <w:bodyDiv w:val="1"/>
      <w:marLeft w:val="0"/>
      <w:marRight w:val="0"/>
      <w:marTop w:val="0"/>
      <w:marBottom w:val="0"/>
      <w:divBdr>
        <w:top w:val="none" w:sz="0" w:space="0" w:color="auto"/>
        <w:left w:val="none" w:sz="0" w:space="0" w:color="auto"/>
        <w:bottom w:val="none" w:sz="0" w:space="0" w:color="auto"/>
        <w:right w:val="none" w:sz="0" w:space="0" w:color="auto"/>
      </w:divBdr>
      <w:divsChild>
        <w:div w:id="1538735815">
          <w:marLeft w:val="0"/>
          <w:marRight w:val="0"/>
          <w:marTop w:val="0"/>
          <w:marBottom w:val="0"/>
          <w:divBdr>
            <w:top w:val="none" w:sz="0" w:space="0" w:color="auto"/>
            <w:left w:val="none" w:sz="0" w:space="0" w:color="auto"/>
            <w:bottom w:val="none" w:sz="0" w:space="0" w:color="auto"/>
            <w:right w:val="none" w:sz="0" w:space="0" w:color="auto"/>
          </w:divBdr>
          <w:divsChild>
            <w:div w:id="8213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1667">
      <w:bodyDiv w:val="1"/>
      <w:marLeft w:val="0"/>
      <w:marRight w:val="0"/>
      <w:marTop w:val="0"/>
      <w:marBottom w:val="0"/>
      <w:divBdr>
        <w:top w:val="none" w:sz="0" w:space="0" w:color="auto"/>
        <w:left w:val="none" w:sz="0" w:space="0" w:color="auto"/>
        <w:bottom w:val="none" w:sz="0" w:space="0" w:color="auto"/>
        <w:right w:val="none" w:sz="0" w:space="0" w:color="auto"/>
      </w:divBdr>
      <w:divsChild>
        <w:div w:id="2110276295">
          <w:marLeft w:val="0"/>
          <w:marRight w:val="0"/>
          <w:marTop w:val="0"/>
          <w:marBottom w:val="0"/>
          <w:divBdr>
            <w:top w:val="none" w:sz="0" w:space="0" w:color="auto"/>
            <w:left w:val="none" w:sz="0" w:space="0" w:color="auto"/>
            <w:bottom w:val="none" w:sz="0" w:space="0" w:color="auto"/>
            <w:right w:val="none" w:sz="0" w:space="0" w:color="auto"/>
          </w:divBdr>
          <w:divsChild>
            <w:div w:id="1850021129">
              <w:marLeft w:val="0"/>
              <w:marRight w:val="0"/>
              <w:marTop w:val="0"/>
              <w:marBottom w:val="0"/>
              <w:divBdr>
                <w:top w:val="none" w:sz="0" w:space="0" w:color="auto"/>
                <w:left w:val="none" w:sz="0" w:space="0" w:color="auto"/>
                <w:bottom w:val="none" w:sz="0" w:space="0" w:color="auto"/>
                <w:right w:val="none" w:sz="0" w:space="0" w:color="auto"/>
              </w:divBdr>
              <w:divsChild>
                <w:div w:id="392432133">
                  <w:marLeft w:val="0"/>
                  <w:marRight w:val="0"/>
                  <w:marTop w:val="0"/>
                  <w:marBottom w:val="0"/>
                  <w:divBdr>
                    <w:top w:val="none" w:sz="0" w:space="0" w:color="auto"/>
                    <w:left w:val="none" w:sz="0" w:space="0" w:color="auto"/>
                    <w:bottom w:val="none" w:sz="0" w:space="0" w:color="auto"/>
                    <w:right w:val="none" w:sz="0" w:space="0" w:color="auto"/>
                  </w:divBdr>
                </w:div>
                <w:div w:id="1973367545">
                  <w:marLeft w:val="0"/>
                  <w:marRight w:val="0"/>
                  <w:marTop w:val="120"/>
                  <w:marBottom w:val="0"/>
                  <w:divBdr>
                    <w:top w:val="none" w:sz="0" w:space="0" w:color="auto"/>
                    <w:left w:val="none" w:sz="0" w:space="0" w:color="auto"/>
                    <w:bottom w:val="none" w:sz="0" w:space="0" w:color="auto"/>
                    <w:right w:val="none" w:sz="0" w:space="0" w:color="auto"/>
                  </w:divBdr>
                </w:div>
              </w:divsChild>
            </w:div>
            <w:div w:id="2072383879">
              <w:marLeft w:val="0"/>
              <w:marRight w:val="0"/>
              <w:marTop w:val="0"/>
              <w:marBottom w:val="0"/>
              <w:divBdr>
                <w:top w:val="none" w:sz="0" w:space="0" w:color="auto"/>
                <w:left w:val="none" w:sz="0" w:space="0" w:color="auto"/>
                <w:bottom w:val="none" w:sz="0" w:space="0" w:color="auto"/>
                <w:right w:val="none" w:sz="0" w:space="0" w:color="auto"/>
              </w:divBdr>
              <w:divsChild>
                <w:div w:id="341131685">
                  <w:marLeft w:val="0"/>
                  <w:marRight w:val="0"/>
                  <w:marTop w:val="0"/>
                  <w:marBottom w:val="0"/>
                  <w:divBdr>
                    <w:top w:val="none" w:sz="0" w:space="0" w:color="auto"/>
                    <w:left w:val="none" w:sz="0" w:space="0" w:color="auto"/>
                    <w:bottom w:val="none" w:sz="0" w:space="0" w:color="auto"/>
                    <w:right w:val="none" w:sz="0" w:space="0" w:color="auto"/>
                  </w:divBdr>
                </w:div>
                <w:div w:id="2129158104">
                  <w:marLeft w:val="0"/>
                  <w:marRight w:val="0"/>
                  <w:marTop w:val="120"/>
                  <w:marBottom w:val="0"/>
                  <w:divBdr>
                    <w:top w:val="none" w:sz="0" w:space="0" w:color="auto"/>
                    <w:left w:val="none" w:sz="0" w:space="0" w:color="auto"/>
                    <w:bottom w:val="none" w:sz="0" w:space="0" w:color="auto"/>
                    <w:right w:val="none" w:sz="0" w:space="0" w:color="auto"/>
                  </w:divBdr>
                </w:div>
              </w:divsChild>
            </w:div>
            <w:div w:id="2104451509">
              <w:marLeft w:val="0"/>
              <w:marRight w:val="0"/>
              <w:marTop w:val="0"/>
              <w:marBottom w:val="0"/>
              <w:divBdr>
                <w:top w:val="none" w:sz="0" w:space="0" w:color="auto"/>
                <w:left w:val="none" w:sz="0" w:space="0" w:color="auto"/>
                <w:bottom w:val="none" w:sz="0" w:space="0" w:color="auto"/>
                <w:right w:val="none" w:sz="0" w:space="0" w:color="auto"/>
              </w:divBdr>
              <w:divsChild>
                <w:div w:id="849024442">
                  <w:marLeft w:val="0"/>
                  <w:marRight w:val="0"/>
                  <w:marTop w:val="0"/>
                  <w:marBottom w:val="0"/>
                  <w:divBdr>
                    <w:top w:val="none" w:sz="0" w:space="0" w:color="auto"/>
                    <w:left w:val="none" w:sz="0" w:space="0" w:color="auto"/>
                    <w:bottom w:val="none" w:sz="0" w:space="0" w:color="auto"/>
                    <w:right w:val="none" w:sz="0" w:space="0" w:color="auto"/>
                  </w:divBdr>
                </w:div>
                <w:div w:id="10904718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17448696">
      <w:bodyDiv w:val="1"/>
      <w:marLeft w:val="0"/>
      <w:marRight w:val="0"/>
      <w:marTop w:val="0"/>
      <w:marBottom w:val="0"/>
      <w:divBdr>
        <w:top w:val="none" w:sz="0" w:space="0" w:color="auto"/>
        <w:left w:val="none" w:sz="0" w:space="0" w:color="auto"/>
        <w:bottom w:val="none" w:sz="0" w:space="0" w:color="auto"/>
        <w:right w:val="none" w:sz="0" w:space="0" w:color="auto"/>
      </w:divBdr>
      <w:divsChild>
        <w:div w:id="1321619124">
          <w:marLeft w:val="0"/>
          <w:marRight w:val="0"/>
          <w:marTop w:val="0"/>
          <w:marBottom w:val="0"/>
          <w:divBdr>
            <w:top w:val="none" w:sz="0" w:space="0" w:color="auto"/>
            <w:left w:val="none" w:sz="0" w:space="0" w:color="auto"/>
            <w:bottom w:val="none" w:sz="0" w:space="0" w:color="auto"/>
            <w:right w:val="none" w:sz="0" w:space="0" w:color="auto"/>
          </w:divBdr>
          <w:divsChild>
            <w:div w:id="48806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70576">
      <w:bodyDiv w:val="1"/>
      <w:marLeft w:val="0"/>
      <w:marRight w:val="0"/>
      <w:marTop w:val="0"/>
      <w:marBottom w:val="0"/>
      <w:divBdr>
        <w:top w:val="none" w:sz="0" w:space="0" w:color="auto"/>
        <w:left w:val="none" w:sz="0" w:space="0" w:color="auto"/>
        <w:bottom w:val="none" w:sz="0" w:space="0" w:color="auto"/>
        <w:right w:val="none" w:sz="0" w:space="0" w:color="auto"/>
      </w:divBdr>
      <w:divsChild>
        <w:div w:id="1991135807">
          <w:marLeft w:val="0"/>
          <w:marRight w:val="0"/>
          <w:marTop w:val="0"/>
          <w:marBottom w:val="0"/>
          <w:divBdr>
            <w:top w:val="none" w:sz="0" w:space="0" w:color="auto"/>
            <w:left w:val="none" w:sz="0" w:space="0" w:color="auto"/>
            <w:bottom w:val="none" w:sz="0" w:space="0" w:color="auto"/>
            <w:right w:val="none" w:sz="0" w:space="0" w:color="auto"/>
          </w:divBdr>
        </w:div>
      </w:divsChild>
    </w:div>
    <w:div w:id="1622220507">
      <w:bodyDiv w:val="1"/>
      <w:marLeft w:val="0"/>
      <w:marRight w:val="0"/>
      <w:marTop w:val="0"/>
      <w:marBottom w:val="0"/>
      <w:divBdr>
        <w:top w:val="none" w:sz="0" w:space="0" w:color="auto"/>
        <w:left w:val="none" w:sz="0" w:space="0" w:color="auto"/>
        <w:bottom w:val="none" w:sz="0" w:space="0" w:color="auto"/>
        <w:right w:val="none" w:sz="0" w:space="0" w:color="auto"/>
      </w:divBdr>
      <w:divsChild>
        <w:div w:id="621957705">
          <w:marLeft w:val="0"/>
          <w:marRight w:val="0"/>
          <w:marTop w:val="0"/>
          <w:marBottom w:val="0"/>
          <w:divBdr>
            <w:top w:val="none" w:sz="0" w:space="0" w:color="auto"/>
            <w:left w:val="none" w:sz="0" w:space="0" w:color="auto"/>
            <w:bottom w:val="none" w:sz="0" w:space="0" w:color="auto"/>
            <w:right w:val="none" w:sz="0" w:space="0" w:color="auto"/>
          </w:divBdr>
          <w:divsChild>
            <w:div w:id="184616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08343">
      <w:bodyDiv w:val="1"/>
      <w:marLeft w:val="0"/>
      <w:marRight w:val="0"/>
      <w:marTop w:val="0"/>
      <w:marBottom w:val="0"/>
      <w:divBdr>
        <w:top w:val="none" w:sz="0" w:space="0" w:color="auto"/>
        <w:left w:val="none" w:sz="0" w:space="0" w:color="auto"/>
        <w:bottom w:val="none" w:sz="0" w:space="0" w:color="auto"/>
        <w:right w:val="none" w:sz="0" w:space="0" w:color="auto"/>
      </w:divBdr>
      <w:divsChild>
        <w:div w:id="735856611">
          <w:marLeft w:val="0"/>
          <w:marRight w:val="0"/>
          <w:marTop w:val="0"/>
          <w:marBottom w:val="0"/>
          <w:divBdr>
            <w:top w:val="none" w:sz="0" w:space="0" w:color="auto"/>
            <w:left w:val="none" w:sz="0" w:space="0" w:color="auto"/>
            <w:bottom w:val="none" w:sz="0" w:space="0" w:color="auto"/>
            <w:right w:val="none" w:sz="0" w:space="0" w:color="auto"/>
          </w:divBdr>
          <w:divsChild>
            <w:div w:id="1457092851">
              <w:marLeft w:val="0"/>
              <w:marRight w:val="0"/>
              <w:marTop w:val="0"/>
              <w:marBottom w:val="0"/>
              <w:divBdr>
                <w:top w:val="none" w:sz="0" w:space="0" w:color="auto"/>
                <w:left w:val="none" w:sz="0" w:space="0" w:color="auto"/>
                <w:bottom w:val="none" w:sz="0" w:space="0" w:color="auto"/>
                <w:right w:val="none" w:sz="0" w:space="0" w:color="auto"/>
              </w:divBdr>
              <w:divsChild>
                <w:div w:id="235092484">
                  <w:marLeft w:val="0"/>
                  <w:marRight w:val="0"/>
                  <w:marTop w:val="120"/>
                  <w:marBottom w:val="0"/>
                  <w:divBdr>
                    <w:top w:val="none" w:sz="0" w:space="0" w:color="auto"/>
                    <w:left w:val="none" w:sz="0" w:space="0" w:color="auto"/>
                    <w:bottom w:val="none" w:sz="0" w:space="0" w:color="auto"/>
                    <w:right w:val="none" w:sz="0" w:space="0" w:color="auto"/>
                  </w:divBdr>
                </w:div>
                <w:div w:id="1144156023">
                  <w:marLeft w:val="0"/>
                  <w:marRight w:val="0"/>
                  <w:marTop w:val="0"/>
                  <w:marBottom w:val="0"/>
                  <w:divBdr>
                    <w:top w:val="none" w:sz="0" w:space="0" w:color="auto"/>
                    <w:left w:val="none" w:sz="0" w:space="0" w:color="auto"/>
                    <w:bottom w:val="none" w:sz="0" w:space="0" w:color="auto"/>
                    <w:right w:val="none" w:sz="0" w:space="0" w:color="auto"/>
                  </w:divBdr>
                </w:div>
              </w:divsChild>
            </w:div>
            <w:div w:id="1588542442">
              <w:marLeft w:val="0"/>
              <w:marRight w:val="0"/>
              <w:marTop w:val="0"/>
              <w:marBottom w:val="0"/>
              <w:divBdr>
                <w:top w:val="none" w:sz="0" w:space="0" w:color="auto"/>
                <w:left w:val="none" w:sz="0" w:space="0" w:color="auto"/>
                <w:bottom w:val="none" w:sz="0" w:space="0" w:color="auto"/>
                <w:right w:val="none" w:sz="0" w:space="0" w:color="auto"/>
              </w:divBdr>
              <w:divsChild>
                <w:div w:id="498548111">
                  <w:marLeft w:val="0"/>
                  <w:marRight w:val="0"/>
                  <w:marTop w:val="120"/>
                  <w:marBottom w:val="0"/>
                  <w:divBdr>
                    <w:top w:val="none" w:sz="0" w:space="0" w:color="auto"/>
                    <w:left w:val="none" w:sz="0" w:space="0" w:color="auto"/>
                    <w:bottom w:val="none" w:sz="0" w:space="0" w:color="auto"/>
                    <w:right w:val="none" w:sz="0" w:space="0" w:color="auto"/>
                  </w:divBdr>
                </w:div>
                <w:div w:id="10570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3997">
      <w:bodyDiv w:val="1"/>
      <w:marLeft w:val="0"/>
      <w:marRight w:val="0"/>
      <w:marTop w:val="0"/>
      <w:marBottom w:val="0"/>
      <w:divBdr>
        <w:top w:val="none" w:sz="0" w:space="0" w:color="auto"/>
        <w:left w:val="none" w:sz="0" w:space="0" w:color="auto"/>
        <w:bottom w:val="none" w:sz="0" w:space="0" w:color="auto"/>
        <w:right w:val="none" w:sz="0" w:space="0" w:color="auto"/>
      </w:divBdr>
      <w:divsChild>
        <w:div w:id="2130051301">
          <w:marLeft w:val="0"/>
          <w:marRight w:val="0"/>
          <w:marTop w:val="0"/>
          <w:marBottom w:val="0"/>
          <w:divBdr>
            <w:top w:val="none" w:sz="0" w:space="0" w:color="auto"/>
            <w:left w:val="none" w:sz="0" w:space="0" w:color="auto"/>
            <w:bottom w:val="none" w:sz="0" w:space="0" w:color="auto"/>
            <w:right w:val="none" w:sz="0" w:space="0" w:color="auto"/>
          </w:divBdr>
          <w:divsChild>
            <w:div w:id="13495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58232">
      <w:bodyDiv w:val="1"/>
      <w:marLeft w:val="0"/>
      <w:marRight w:val="0"/>
      <w:marTop w:val="0"/>
      <w:marBottom w:val="0"/>
      <w:divBdr>
        <w:top w:val="none" w:sz="0" w:space="0" w:color="auto"/>
        <w:left w:val="none" w:sz="0" w:space="0" w:color="auto"/>
        <w:bottom w:val="none" w:sz="0" w:space="0" w:color="auto"/>
        <w:right w:val="none" w:sz="0" w:space="0" w:color="auto"/>
      </w:divBdr>
      <w:divsChild>
        <w:div w:id="1071585871">
          <w:marLeft w:val="0"/>
          <w:marRight w:val="0"/>
          <w:marTop w:val="0"/>
          <w:marBottom w:val="0"/>
          <w:divBdr>
            <w:top w:val="none" w:sz="0" w:space="0" w:color="auto"/>
            <w:left w:val="none" w:sz="0" w:space="0" w:color="auto"/>
            <w:bottom w:val="none" w:sz="0" w:space="0" w:color="auto"/>
            <w:right w:val="none" w:sz="0" w:space="0" w:color="auto"/>
          </w:divBdr>
          <w:divsChild>
            <w:div w:id="49422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12856">
      <w:bodyDiv w:val="1"/>
      <w:marLeft w:val="0"/>
      <w:marRight w:val="0"/>
      <w:marTop w:val="0"/>
      <w:marBottom w:val="0"/>
      <w:divBdr>
        <w:top w:val="none" w:sz="0" w:space="0" w:color="auto"/>
        <w:left w:val="none" w:sz="0" w:space="0" w:color="auto"/>
        <w:bottom w:val="none" w:sz="0" w:space="0" w:color="auto"/>
        <w:right w:val="none" w:sz="0" w:space="0" w:color="auto"/>
      </w:divBdr>
      <w:divsChild>
        <w:div w:id="964964621">
          <w:marLeft w:val="0"/>
          <w:marRight w:val="0"/>
          <w:marTop w:val="0"/>
          <w:marBottom w:val="0"/>
          <w:divBdr>
            <w:top w:val="none" w:sz="0" w:space="0" w:color="auto"/>
            <w:left w:val="none" w:sz="0" w:space="0" w:color="auto"/>
            <w:bottom w:val="none" w:sz="0" w:space="0" w:color="auto"/>
            <w:right w:val="none" w:sz="0" w:space="0" w:color="auto"/>
          </w:divBdr>
          <w:divsChild>
            <w:div w:id="12183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08456">
      <w:bodyDiv w:val="1"/>
      <w:marLeft w:val="0"/>
      <w:marRight w:val="0"/>
      <w:marTop w:val="0"/>
      <w:marBottom w:val="0"/>
      <w:divBdr>
        <w:top w:val="none" w:sz="0" w:space="0" w:color="auto"/>
        <w:left w:val="none" w:sz="0" w:space="0" w:color="auto"/>
        <w:bottom w:val="none" w:sz="0" w:space="0" w:color="auto"/>
        <w:right w:val="none" w:sz="0" w:space="0" w:color="auto"/>
      </w:divBdr>
      <w:divsChild>
        <w:div w:id="708457051">
          <w:marLeft w:val="0"/>
          <w:marRight w:val="0"/>
          <w:marTop w:val="0"/>
          <w:marBottom w:val="0"/>
          <w:divBdr>
            <w:top w:val="none" w:sz="0" w:space="0" w:color="auto"/>
            <w:left w:val="none" w:sz="0" w:space="0" w:color="auto"/>
            <w:bottom w:val="none" w:sz="0" w:space="0" w:color="auto"/>
            <w:right w:val="none" w:sz="0" w:space="0" w:color="auto"/>
          </w:divBdr>
        </w:div>
      </w:divsChild>
    </w:div>
    <w:div w:id="1647201566">
      <w:bodyDiv w:val="1"/>
      <w:marLeft w:val="0"/>
      <w:marRight w:val="0"/>
      <w:marTop w:val="0"/>
      <w:marBottom w:val="0"/>
      <w:divBdr>
        <w:top w:val="none" w:sz="0" w:space="0" w:color="auto"/>
        <w:left w:val="none" w:sz="0" w:space="0" w:color="auto"/>
        <w:bottom w:val="none" w:sz="0" w:space="0" w:color="auto"/>
        <w:right w:val="none" w:sz="0" w:space="0" w:color="auto"/>
      </w:divBdr>
      <w:divsChild>
        <w:div w:id="53159570">
          <w:marLeft w:val="0"/>
          <w:marRight w:val="0"/>
          <w:marTop w:val="0"/>
          <w:marBottom w:val="0"/>
          <w:divBdr>
            <w:top w:val="none" w:sz="0" w:space="0" w:color="auto"/>
            <w:left w:val="none" w:sz="0" w:space="0" w:color="auto"/>
            <w:bottom w:val="none" w:sz="0" w:space="0" w:color="auto"/>
            <w:right w:val="none" w:sz="0" w:space="0" w:color="auto"/>
          </w:divBdr>
          <w:divsChild>
            <w:div w:id="1692603690">
              <w:marLeft w:val="0"/>
              <w:marRight w:val="0"/>
              <w:marTop w:val="0"/>
              <w:marBottom w:val="0"/>
              <w:divBdr>
                <w:top w:val="none" w:sz="0" w:space="0" w:color="auto"/>
                <w:left w:val="none" w:sz="0" w:space="0" w:color="auto"/>
                <w:bottom w:val="none" w:sz="0" w:space="0" w:color="auto"/>
                <w:right w:val="none" w:sz="0" w:space="0" w:color="auto"/>
              </w:divBdr>
              <w:divsChild>
                <w:div w:id="373233892">
                  <w:marLeft w:val="0"/>
                  <w:marRight w:val="0"/>
                  <w:marTop w:val="0"/>
                  <w:marBottom w:val="0"/>
                  <w:divBdr>
                    <w:top w:val="none" w:sz="0" w:space="0" w:color="auto"/>
                    <w:left w:val="none" w:sz="0" w:space="0" w:color="auto"/>
                    <w:bottom w:val="none" w:sz="0" w:space="0" w:color="auto"/>
                    <w:right w:val="none" w:sz="0" w:space="0" w:color="auto"/>
                  </w:divBdr>
                  <w:divsChild>
                    <w:div w:id="703208884">
                      <w:marLeft w:val="0"/>
                      <w:marRight w:val="0"/>
                      <w:marTop w:val="0"/>
                      <w:marBottom w:val="0"/>
                      <w:divBdr>
                        <w:top w:val="none" w:sz="0" w:space="0" w:color="auto"/>
                        <w:left w:val="none" w:sz="0" w:space="0" w:color="auto"/>
                        <w:bottom w:val="none" w:sz="0" w:space="0" w:color="auto"/>
                        <w:right w:val="none" w:sz="0" w:space="0" w:color="auto"/>
                      </w:divBdr>
                      <w:divsChild>
                        <w:div w:id="1221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58728">
          <w:marLeft w:val="0"/>
          <w:marRight w:val="0"/>
          <w:marTop w:val="0"/>
          <w:marBottom w:val="0"/>
          <w:divBdr>
            <w:top w:val="none" w:sz="0" w:space="0" w:color="auto"/>
            <w:left w:val="none" w:sz="0" w:space="0" w:color="auto"/>
            <w:bottom w:val="none" w:sz="0" w:space="0" w:color="auto"/>
            <w:right w:val="none" w:sz="0" w:space="0" w:color="auto"/>
          </w:divBdr>
          <w:divsChild>
            <w:div w:id="268854351">
              <w:marLeft w:val="0"/>
              <w:marRight w:val="0"/>
              <w:marTop w:val="0"/>
              <w:marBottom w:val="0"/>
              <w:divBdr>
                <w:top w:val="none" w:sz="0" w:space="0" w:color="auto"/>
                <w:left w:val="none" w:sz="0" w:space="0" w:color="auto"/>
                <w:bottom w:val="none" w:sz="0" w:space="0" w:color="auto"/>
                <w:right w:val="none" w:sz="0" w:space="0" w:color="auto"/>
              </w:divBdr>
              <w:divsChild>
                <w:div w:id="10257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12950">
      <w:bodyDiv w:val="1"/>
      <w:marLeft w:val="0"/>
      <w:marRight w:val="0"/>
      <w:marTop w:val="0"/>
      <w:marBottom w:val="0"/>
      <w:divBdr>
        <w:top w:val="none" w:sz="0" w:space="0" w:color="auto"/>
        <w:left w:val="none" w:sz="0" w:space="0" w:color="auto"/>
        <w:bottom w:val="none" w:sz="0" w:space="0" w:color="auto"/>
        <w:right w:val="none" w:sz="0" w:space="0" w:color="auto"/>
      </w:divBdr>
      <w:divsChild>
        <w:div w:id="1751344141">
          <w:marLeft w:val="0"/>
          <w:marRight w:val="0"/>
          <w:marTop w:val="0"/>
          <w:marBottom w:val="0"/>
          <w:divBdr>
            <w:top w:val="none" w:sz="0" w:space="0" w:color="auto"/>
            <w:left w:val="none" w:sz="0" w:space="0" w:color="auto"/>
            <w:bottom w:val="none" w:sz="0" w:space="0" w:color="auto"/>
            <w:right w:val="none" w:sz="0" w:space="0" w:color="auto"/>
          </w:divBdr>
          <w:divsChild>
            <w:div w:id="1890919289">
              <w:marLeft w:val="0"/>
              <w:marRight w:val="0"/>
              <w:marTop w:val="0"/>
              <w:marBottom w:val="0"/>
              <w:divBdr>
                <w:top w:val="none" w:sz="0" w:space="0" w:color="auto"/>
                <w:left w:val="none" w:sz="0" w:space="0" w:color="auto"/>
                <w:bottom w:val="none" w:sz="0" w:space="0" w:color="auto"/>
                <w:right w:val="none" w:sz="0" w:space="0" w:color="auto"/>
              </w:divBdr>
              <w:divsChild>
                <w:div w:id="913322513">
                  <w:marLeft w:val="0"/>
                  <w:marRight w:val="0"/>
                  <w:marTop w:val="0"/>
                  <w:marBottom w:val="0"/>
                  <w:divBdr>
                    <w:top w:val="none" w:sz="0" w:space="0" w:color="auto"/>
                    <w:left w:val="none" w:sz="0" w:space="0" w:color="auto"/>
                    <w:bottom w:val="none" w:sz="0" w:space="0" w:color="auto"/>
                    <w:right w:val="none" w:sz="0" w:space="0" w:color="auto"/>
                  </w:divBdr>
                  <w:divsChild>
                    <w:div w:id="1265767166">
                      <w:marLeft w:val="0"/>
                      <w:marRight w:val="0"/>
                      <w:marTop w:val="120"/>
                      <w:marBottom w:val="0"/>
                      <w:divBdr>
                        <w:top w:val="none" w:sz="0" w:space="0" w:color="auto"/>
                        <w:left w:val="none" w:sz="0" w:space="0" w:color="auto"/>
                        <w:bottom w:val="none" w:sz="0" w:space="0" w:color="auto"/>
                        <w:right w:val="none" w:sz="0" w:space="0" w:color="auto"/>
                      </w:divBdr>
                    </w:div>
                    <w:div w:id="1612084464">
                      <w:marLeft w:val="0"/>
                      <w:marRight w:val="0"/>
                      <w:marTop w:val="0"/>
                      <w:marBottom w:val="0"/>
                      <w:divBdr>
                        <w:top w:val="none" w:sz="0" w:space="0" w:color="auto"/>
                        <w:left w:val="none" w:sz="0" w:space="0" w:color="auto"/>
                        <w:bottom w:val="none" w:sz="0" w:space="0" w:color="auto"/>
                        <w:right w:val="none" w:sz="0" w:space="0" w:color="auto"/>
                      </w:divBdr>
                      <w:divsChild>
                        <w:div w:id="80492544">
                          <w:marLeft w:val="0"/>
                          <w:marRight w:val="0"/>
                          <w:marTop w:val="0"/>
                          <w:marBottom w:val="0"/>
                          <w:divBdr>
                            <w:top w:val="none" w:sz="0" w:space="0" w:color="auto"/>
                            <w:left w:val="none" w:sz="0" w:space="0" w:color="auto"/>
                            <w:bottom w:val="none" w:sz="0" w:space="0" w:color="auto"/>
                            <w:right w:val="none" w:sz="0" w:space="0" w:color="auto"/>
                          </w:divBdr>
                          <w:divsChild>
                            <w:div w:id="134564589">
                              <w:marLeft w:val="0"/>
                              <w:marRight w:val="0"/>
                              <w:marTop w:val="0"/>
                              <w:marBottom w:val="0"/>
                              <w:divBdr>
                                <w:top w:val="none" w:sz="0" w:space="0" w:color="auto"/>
                                <w:left w:val="none" w:sz="0" w:space="0" w:color="auto"/>
                                <w:bottom w:val="none" w:sz="0" w:space="0" w:color="auto"/>
                                <w:right w:val="none" w:sz="0" w:space="0" w:color="auto"/>
                              </w:divBdr>
                            </w:div>
                            <w:div w:id="164825442">
                              <w:marLeft w:val="0"/>
                              <w:marRight w:val="0"/>
                              <w:marTop w:val="120"/>
                              <w:marBottom w:val="0"/>
                              <w:divBdr>
                                <w:top w:val="none" w:sz="0" w:space="0" w:color="auto"/>
                                <w:left w:val="none" w:sz="0" w:space="0" w:color="auto"/>
                                <w:bottom w:val="none" w:sz="0" w:space="0" w:color="auto"/>
                                <w:right w:val="none" w:sz="0" w:space="0" w:color="auto"/>
                              </w:divBdr>
                            </w:div>
                          </w:divsChild>
                        </w:div>
                        <w:div w:id="1854687107">
                          <w:marLeft w:val="0"/>
                          <w:marRight w:val="0"/>
                          <w:marTop w:val="0"/>
                          <w:marBottom w:val="0"/>
                          <w:divBdr>
                            <w:top w:val="none" w:sz="0" w:space="0" w:color="auto"/>
                            <w:left w:val="none" w:sz="0" w:space="0" w:color="auto"/>
                            <w:bottom w:val="none" w:sz="0" w:space="0" w:color="auto"/>
                            <w:right w:val="none" w:sz="0" w:space="0" w:color="auto"/>
                          </w:divBdr>
                          <w:divsChild>
                            <w:div w:id="529993411">
                              <w:marLeft w:val="0"/>
                              <w:marRight w:val="0"/>
                              <w:marTop w:val="120"/>
                              <w:marBottom w:val="0"/>
                              <w:divBdr>
                                <w:top w:val="none" w:sz="0" w:space="0" w:color="auto"/>
                                <w:left w:val="none" w:sz="0" w:space="0" w:color="auto"/>
                                <w:bottom w:val="none" w:sz="0" w:space="0" w:color="auto"/>
                                <w:right w:val="none" w:sz="0" w:space="0" w:color="auto"/>
                              </w:divBdr>
                            </w:div>
                            <w:div w:id="15914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55399">
                  <w:marLeft w:val="0"/>
                  <w:marRight w:val="0"/>
                  <w:marTop w:val="0"/>
                  <w:marBottom w:val="0"/>
                  <w:divBdr>
                    <w:top w:val="none" w:sz="0" w:space="0" w:color="auto"/>
                    <w:left w:val="none" w:sz="0" w:space="0" w:color="auto"/>
                    <w:bottom w:val="none" w:sz="0" w:space="0" w:color="auto"/>
                    <w:right w:val="none" w:sz="0" w:space="0" w:color="auto"/>
                  </w:divBdr>
                  <w:divsChild>
                    <w:div w:id="798763117">
                      <w:marLeft w:val="0"/>
                      <w:marRight w:val="0"/>
                      <w:marTop w:val="0"/>
                      <w:marBottom w:val="0"/>
                      <w:divBdr>
                        <w:top w:val="none" w:sz="0" w:space="0" w:color="auto"/>
                        <w:left w:val="none" w:sz="0" w:space="0" w:color="auto"/>
                        <w:bottom w:val="none" w:sz="0" w:space="0" w:color="auto"/>
                        <w:right w:val="none" w:sz="0" w:space="0" w:color="auto"/>
                      </w:divBdr>
                      <w:divsChild>
                        <w:div w:id="595477372">
                          <w:marLeft w:val="0"/>
                          <w:marRight w:val="0"/>
                          <w:marTop w:val="0"/>
                          <w:marBottom w:val="0"/>
                          <w:divBdr>
                            <w:top w:val="none" w:sz="0" w:space="0" w:color="auto"/>
                            <w:left w:val="none" w:sz="0" w:space="0" w:color="auto"/>
                            <w:bottom w:val="none" w:sz="0" w:space="0" w:color="auto"/>
                            <w:right w:val="none" w:sz="0" w:space="0" w:color="auto"/>
                          </w:divBdr>
                          <w:divsChild>
                            <w:div w:id="535771648">
                              <w:marLeft w:val="0"/>
                              <w:marRight w:val="0"/>
                              <w:marTop w:val="0"/>
                              <w:marBottom w:val="0"/>
                              <w:divBdr>
                                <w:top w:val="none" w:sz="0" w:space="0" w:color="auto"/>
                                <w:left w:val="none" w:sz="0" w:space="0" w:color="auto"/>
                                <w:bottom w:val="none" w:sz="0" w:space="0" w:color="auto"/>
                                <w:right w:val="none" w:sz="0" w:space="0" w:color="auto"/>
                              </w:divBdr>
                            </w:div>
                            <w:div w:id="1648588916">
                              <w:marLeft w:val="0"/>
                              <w:marRight w:val="0"/>
                              <w:marTop w:val="120"/>
                              <w:marBottom w:val="0"/>
                              <w:divBdr>
                                <w:top w:val="none" w:sz="0" w:space="0" w:color="auto"/>
                                <w:left w:val="none" w:sz="0" w:space="0" w:color="auto"/>
                                <w:bottom w:val="none" w:sz="0" w:space="0" w:color="auto"/>
                                <w:right w:val="none" w:sz="0" w:space="0" w:color="auto"/>
                              </w:divBdr>
                            </w:div>
                          </w:divsChild>
                        </w:div>
                        <w:div w:id="1075589031">
                          <w:marLeft w:val="0"/>
                          <w:marRight w:val="0"/>
                          <w:marTop w:val="0"/>
                          <w:marBottom w:val="0"/>
                          <w:divBdr>
                            <w:top w:val="none" w:sz="0" w:space="0" w:color="auto"/>
                            <w:left w:val="none" w:sz="0" w:space="0" w:color="auto"/>
                            <w:bottom w:val="none" w:sz="0" w:space="0" w:color="auto"/>
                            <w:right w:val="none" w:sz="0" w:space="0" w:color="auto"/>
                          </w:divBdr>
                          <w:divsChild>
                            <w:div w:id="147288821">
                              <w:marLeft w:val="0"/>
                              <w:marRight w:val="0"/>
                              <w:marTop w:val="120"/>
                              <w:marBottom w:val="0"/>
                              <w:divBdr>
                                <w:top w:val="none" w:sz="0" w:space="0" w:color="auto"/>
                                <w:left w:val="none" w:sz="0" w:space="0" w:color="auto"/>
                                <w:bottom w:val="none" w:sz="0" w:space="0" w:color="auto"/>
                                <w:right w:val="none" w:sz="0" w:space="0" w:color="auto"/>
                              </w:divBdr>
                            </w:div>
                            <w:div w:id="13147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12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57876272">
      <w:bodyDiv w:val="1"/>
      <w:marLeft w:val="0"/>
      <w:marRight w:val="0"/>
      <w:marTop w:val="0"/>
      <w:marBottom w:val="0"/>
      <w:divBdr>
        <w:top w:val="none" w:sz="0" w:space="0" w:color="auto"/>
        <w:left w:val="none" w:sz="0" w:space="0" w:color="auto"/>
        <w:bottom w:val="none" w:sz="0" w:space="0" w:color="auto"/>
        <w:right w:val="none" w:sz="0" w:space="0" w:color="auto"/>
      </w:divBdr>
      <w:divsChild>
        <w:div w:id="1984577997">
          <w:marLeft w:val="0"/>
          <w:marRight w:val="0"/>
          <w:marTop w:val="0"/>
          <w:marBottom w:val="0"/>
          <w:divBdr>
            <w:top w:val="none" w:sz="0" w:space="0" w:color="auto"/>
            <w:left w:val="none" w:sz="0" w:space="0" w:color="auto"/>
            <w:bottom w:val="none" w:sz="0" w:space="0" w:color="auto"/>
            <w:right w:val="none" w:sz="0" w:space="0" w:color="auto"/>
          </w:divBdr>
        </w:div>
      </w:divsChild>
    </w:div>
    <w:div w:id="1660379554">
      <w:bodyDiv w:val="1"/>
      <w:marLeft w:val="0"/>
      <w:marRight w:val="0"/>
      <w:marTop w:val="0"/>
      <w:marBottom w:val="0"/>
      <w:divBdr>
        <w:top w:val="none" w:sz="0" w:space="0" w:color="auto"/>
        <w:left w:val="none" w:sz="0" w:space="0" w:color="auto"/>
        <w:bottom w:val="none" w:sz="0" w:space="0" w:color="auto"/>
        <w:right w:val="none" w:sz="0" w:space="0" w:color="auto"/>
      </w:divBdr>
      <w:divsChild>
        <w:div w:id="538251011">
          <w:marLeft w:val="0"/>
          <w:marRight w:val="0"/>
          <w:marTop w:val="0"/>
          <w:marBottom w:val="0"/>
          <w:divBdr>
            <w:top w:val="none" w:sz="0" w:space="0" w:color="auto"/>
            <w:left w:val="none" w:sz="0" w:space="0" w:color="auto"/>
            <w:bottom w:val="none" w:sz="0" w:space="0" w:color="auto"/>
            <w:right w:val="none" w:sz="0" w:space="0" w:color="auto"/>
          </w:divBdr>
        </w:div>
      </w:divsChild>
    </w:div>
    <w:div w:id="1664511179">
      <w:bodyDiv w:val="1"/>
      <w:marLeft w:val="0"/>
      <w:marRight w:val="0"/>
      <w:marTop w:val="0"/>
      <w:marBottom w:val="0"/>
      <w:divBdr>
        <w:top w:val="none" w:sz="0" w:space="0" w:color="auto"/>
        <w:left w:val="none" w:sz="0" w:space="0" w:color="auto"/>
        <w:bottom w:val="none" w:sz="0" w:space="0" w:color="auto"/>
        <w:right w:val="none" w:sz="0" w:space="0" w:color="auto"/>
      </w:divBdr>
      <w:divsChild>
        <w:div w:id="1725524912">
          <w:marLeft w:val="0"/>
          <w:marRight w:val="0"/>
          <w:marTop w:val="0"/>
          <w:marBottom w:val="0"/>
          <w:divBdr>
            <w:top w:val="none" w:sz="0" w:space="0" w:color="auto"/>
            <w:left w:val="none" w:sz="0" w:space="0" w:color="auto"/>
            <w:bottom w:val="none" w:sz="0" w:space="0" w:color="auto"/>
            <w:right w:val="none" w:sz="0" w:space="0" w:color="auto"/>
          </w:divBdr>
        </w:div>
      </w:divsChild>
    </w:div>
    <w:div w:id="1669668668">
      <w:bodyDiv w:val="1"/>
      <w:marLeft w:val="0"/>
      <w:marRight w:val="0"/>
      <w:marTop w:val="0"/>
      <w:marBottom w:val="0"/>
      <w:divBdr>
        <w:top w:val="none" w:sz="0" w:space="0" w:color="auto"/>
        <w:left w:val="none" w:sz="0" w:space="0" w:color="auto"/>
        <w:bottom w:val="none" w:sz="0" w:space="0" w:color="auto"/>
        <w:right w:val="none" w:sz="0" w:space="0" w:color="auto"/>
      </w:divBdr>
      <w:divsChild>
        <w:div w:id="1725324370">
          <w:marLeft w:val="0"/>
          <w:marRight w:val="0"/>
          <w:marTop w:val="0"/>
          <w:marBottom w:val="0"/>
          <w:divBdr>
            <w:top w:val="none" w:sz="0" w:space="0" w:color="auto"/>
            <w:left w:val="none" w:sz="0" w:space="0" w:color="auto"/>
            <w:bottom w:val="none" w:sz="0" w:space="0" w:color="auto"/>
            <w:right w:val="none" w:sz="0" w:space="0" w:color="auto"/>
          </w:divBdr>
          <w:divsChild>
            <w:div w:id="1220551728">
              <w:marLeft w:val="0"/>
              <w:marRight w:val="0"/>
              <w:marTop w:val="0"/>
              <w:marBottom w:val="0"/>
              <w:divBdr>
                <w:top w:val="none" w:sz="0" w:space="0" w:color="auto"/>
                <w:left w:val="none" w:sz="0" w:space="0" w:color="auto"/>
                <w:bottom w:val="none" w:sz="0" w:space="0" w:color="auto"/>
                <w:right w:val="none" w:sz="0" w:space="0" w:color="auto"/>
              </w:divBdr>
              <w:divsChild>
                <w:div w:id="74326097">
                  <w:marLeft w:val="0"/>
                  <w:marRight w:val="0"/>
                  <w:marTop w:val="0"/>
                  <w:marBottom w:val="0"/>
                  <w:divBdr>
                    <w:top w:val="none" w:sz="0" w:space="0" w:color="auto"/>
                    <w:left w:val="none" w:sz="0" w:space="0" w:color="auto"/>
                    <w:bottom w:val="none" w:sz="0" w:space="0" w:color="auto"/>
                    <w:right w:val="none" w:sz="0" w:space="0" w:color="auto"/>
                  </w:divBdr>
                  <w:divsChild>
                    <w:div w:id="610627979">
                      <w:marLeft w:val="0"/>
                      <w:marRight w:val="0"/>
                      <w:marTop w:val="0"/>
                      <w:marBottom w:val="0"/>
                      <w:divBdr>
                        <w:top w:val="none" w:sz="0" w:space="0" w:color="auto"/>
                        <w:left w:val="none" w:sz="0" w:space="0" w:color="auto"/>
                        <w:bottom w:val="none" w:sz="0" w:space="0" w:color="auto"/>
                        <w:right w:val="none" w:sz="0" w:space="0" w:color="auto"/>
                      </w:divBdr>
                    </w:div>
                    <w:div w:id="1995333826">
                      <w:marLeft w:val="0"/>
                      <w:marRight w:val="0"/>
                      <w:marTop w:val="120"/>
                      <w:marBottom w:val="0"/>
                      <w:divBdr>
                        <w:top w:val="none" w:sz="0" w:space="0" w:color="auto"/>
                        <w:left w:val="none" w:sz="0" w:space="0" w:color="auto"/>
                        <w:bottom w:val="none" w:sz="0" w:space="0" w:color="auto"/>
                        <w:right w:val="none" w:sz="0" w:space="0" w:color="auto"/>
                      </w:divBdr>
                    </w:div>
                  </w:divsChild>
                </w:div>
                <w:div w:id="817889730">
                  <w:marLeft w:val="0"/>
                  <w:marRight w:val="0"/>
                  <w:marTop w:val="0"/>
                  <w:marBottom w:val="0"/>
                  <w:divBdr>
                    <w:top w:val="none" w:sz="0" w:space="0" w:color="auto"/>
                    <w:left w:val="none" w:sz="0" w:space="0" w:color="auto"/>
                    <w:bottom w:val="none" w:sz="0" w:space="0" w:color="auto"/>
                    <w:right w:val="none" w:sz="0" w:space="0" w:color="auto"/>
                  </w:divBdr>
                  <w:divsChild>
                    <w:div w:id="1806002391">
                      <w:marLeft w:val="0"/>
                      <w:marRight w:val="0"/>
                      <w:marTop w:val="0"/>
                      <w:marBottom w:val="0"/>
                      <w:divBdr>
                        <w:top w:val="none" w:sz="0" w:space="0" w:color="auto"/>
                        <w:left w:val="none" w:sz="0" w:space="0" w:color="auto"/>
                        <w:bottom w:val="none" w:sz="0" w:space="0" w:color="auto"/>
                        <w:right w:val="none" w:sz="0" w:space="0" w:color="auto"/>
                      </w:divBdr>
                    </w:div>
                    <w:div w:id="1847865590">
                      <w:marLeft w:val="0"/>
                      <w:marRight w:val="0"/>
                      <w:marTop w:val="120"/>
                      <w:marBottom w:val="0"/>
                      <w:divBdr>
                        <w:top w:val="none" w:sz="0" w:space="0" w:color="auto"/>
                        <w:left w:val="none" w:sz="0" w:space="0" w:color="auto"/>
                        <w:bottom w:val="none" w:sz="0" w:space="0" w:color="auto"/>
                        <w:right w:val="none" w:sz="0" w:space="0" w:color="auto"/>
                      </w:divBdr>
                    </w:div>
                  </w:divsChild>
                </w:div>
                <w:div w:id="1187871412">
                  <w:marLeft w:val="0"/>
                  <w:marRight w:val="0"/>
                  <w:marTop w:val="0"/>
                  <w:marBottom w:val="0"/>
                  <w:divBdr>
                    <w:top w:val="none" w:sz="0" w:space="0" w:color="auto"/>
                    <w:left w:val="none" w:sz="0" w:space="0" w:color="auto"/>
                    <w:bottom w:val="none" w:sz="0" w:space="0" w:color="auto"/>
                    <w:right w:val="none" w:sz="0" w:space="0" w:color="auto"/>
                  </w:divBdr>
                  <w:divsChild>
                    <w:div w:id="1326736711">
                      <w:marLeft w:val="0"/>
                      <w:marRight w:val="0"/>
                      <w:marTop w:val="120"/>
                      <w:marBottom w:val="0"/>
                      <w:divBdr>
                        <w:top w:val="none" w:sz="0" w:space="0" w:color="auto"/>
                        <w:left w:val="none" w:sz="0" w:space="0" w:color="auto"/>
                        <w:bottom w:val="none" w:sz="0" w:space="0" w:color="auto"/>
                        <w:right w:val="none" w:sz="0" w:space="0" w:color="auto"/>
                      </w:divBdr>
                    </w:div>
                    <w:div w:id="2050257436">
                      <w:marLeft w:val="0"/>
                      <w:marRight w:val="0"/>
                      <w:marTop w:val="0"/>
                      <w:marBottom w:val="0"/>
                      <w:divBdr>
                        <w:top w:val="none" w:sz="0" w:space="0" w:color="auto"/>
                        <w:left w:val="none" w:sz="0" w:space="0" w:color="auto"/>
                        <w:bottom w:val="none" w:sz="0" w:space="0" w:color="auto"/>
                        <w:right w:val="none" w:sz="0" w:space="0" w:color="auto"/>
                      </w:divBdr>
                    </w:div>
                  </w:divsChild>
                </w:div>
                <w:div w:id="1770159668">
                  <w:marLeft w:val="0"/>
                  <w:marRight w:val="0"/>
                  <w:marTop w:val="0"/>
                  <w:marBottom w:val="0"/>
                  <w:divBdr>
                    <w:top w:val="none" w:sz="0" w:space="0" w:color="auto"/>
                    <w:left w:val="none" w:sz="0" w:space="0" w:color="auto"/>
                    <w:bottom w:val="none" w:sz="0" w:space="0" w:color="auto"/>
                    <w:right w:val="none" w:sz="0" w:space="0" w:color="auto"/>
                  </w:divBdr>
                  <w:divsChild>
                    <w:div w:id="873420445">
                      <w:marLeft w:val="0"/>
                      <w:marRight w:val="0"/>
                      <w:marTop w:val="0"/>
                      <w:marBottom w:val="0"/>
                      <w:divBdr>
                        <w:top w:val="none" w:sz="0" w:space="0" w:color="auto"/>
                        <w:left w:val="none" w:sz="0" w:space="0" w:color="auto"/>
                        <w:bottom w:val="none" w:sz="0" w:space="0" w:color="auto"/>
                        <w:right w:val="none" w:sz="0" w:space="0" w:color="auto"/>
                      </w:divBdr>
                    </w:div>
                    <w:div w:id="2071881199">
                      <w:marLeft w:val="0"/>
                      <w:marRight w:val="0"/>
                      <w:marTop w:val="120"/>
                      <w:marBottom w:val="0"/>
                      <w:divBdr>
                        <w:top w:val="none" w:sz="0" w:space="0" w:color="auto"/>
                        <w:left w:val="none" w:sz="0" w:space="0" w:color="auto"/>
                        <w:bottom w:val="none" w:sz="0" w:space="0" w:color="auto"/>
                        <w:right w:val="none" w:sz="0" w:space="0" w:color="auto"/>
                      </w:divBdr>
                    </w:div>
                  </w:divsChild>
                </w:div>
                <w:div w:id="1815832916">
                  <w:marLeft w:val="0"/>
                  <w:marRight w:val="0"/>
                  <w:marTop w:val="0"/>
                  <w:marBottom w:val="0"/>
                  <w:divBdr>
                    <w:top w:val="none" w:sz="0" w:space="0" w:color="auto"/>
                    <w:left w:val="none" w:sz="0" w:space="0" w:color="auto"/>
                    <w:bottom w:val="none" w:sz="0" w:space="0" w:color="auto"/>
                    <w:right w:val="none" w:sz="0" w:space="0" w:color="auto"/>
                  </w:divBdr>
                  <w:divsChild>
                    <w:div w:id="1539195518">
                      <w:marLeft w:val="0"/>
                      <w:marRight w:val="0"/>
                      <w:marTop w:val="0"/>
                      <w:marBottom w:val="0"/>
                      <w:divBdr>
                        <w:top w:val="none" w:sz="0" w:space="0" w:color="auto"/>
                        <w:left w:val="none" w:sz="0" w:space="0" w:color="auto"/>
                        <w:bottom w:val="none" w:sz="0" w:space="0" w:color="auto"/>
                        <w:right w:val="none" w:sz="0" w:space="0" w:color="auto"/>
                      </w:divBdr>
                    </w:div>
                    <w:div w:id="1893224666">
                      <w:marLeft w:val="0"/>
                      <w:marRight w:val="0"/>
                      <w:marTop w:val="120"/>
                      <w:marBottom w:val="0"/>
                      <w:divBdr>
                        <w:top w:val="none" w:sz="0" w:space="0" w:color="auto"/>
                        <w:left w:val="none" w:sz="0" w:space="0" w:color="auto"/>
                        <w:bottom w:val="none" w:sz="0" w:space="0" w:color="auto"/>
                        <w:right w:val="none" w:sz="0" w:space="0" w:color="auto"/>
                      </w:divBdr>
                    </w:div>
                  </w:divsChild>
                </w:div>
                <w:div w:id="2023312183">
                  <w:marLeft w:val="0"/>
                  <w:marRight w:val="0"/>
                  <w:marTop w:val="0"/>
                  <w:marBottom w:val="0"/>
                  <w:divBdr>
                    <w:top w:val="none" w:sz="0" w:space="0" w:color="auto"/>
                    <w:left w:val="none" w:sz="0" w:space="0" w:color="auto"/>
                    <w:bottom w:val="none" w:sz="0" w:space="0" w:color="auto"/>
                    <w:right w:val="none" w:sz="0" w:space="0" w:color="auto"/>
                  </w:divBdr>
                  <w:divsChild>
                    <w:div w:id="1164205716">
                      <w:marLeft w:val="0"/>
                      <w:marRight w:val="0"/>
                      <w:marTop w:val="120"/>
                      <w:marBottom w:val="0"/>
                      <w:divBdr>
                        <w:top w:val="none" w:sz="0" w:space="0" w:color="auto"/>
                        <w:left w:val="none" w:sz="0" w:space="0" w:color="auto"/>
                        <w:bottom w:val="none" w:sz="0" w:space="0" w:color="auto"/>
                        <w:right w:val="none" w:sz="0" w:space="0" w:color="auto"/>
                      </w:divBdr>
                    </w:div>
                    <w:div w:id="2110930835">
                      <w:marLeft w:val="0"/>
                      <w:marRight w:val="0"/>
                      <w:marTop w:val="0"/>
                      <w:marBottom w:val="0"/>
                      <w:divBdr>
                        <w:top w:val="none" w:sz="0" w:space="0" w:color="auto"/>
                        <w:left w:val="none" w:sz="0" w:space="0" w:color="auto"/>
                        <w:bottom w:val="none" w:sz="0" w:space="0" w:color="auto"/>
                        <w:right w:val="none" w:sz="0" w:space="0" w:color="auto"/>
                      </w:divBdr>
                    </w:div>
                  </w:divsChild>
                </w:div>
                <w:div w:id="2089375262">
                  <w:marLeft w:val="0"/>
                  <w:marRight w:val="0"/>
                  <w:marTop w:val="0"/>
                  <w:marBottom w:val="0"/>
                  <w:divBdr>
                    <w:top w:val="none" w:sz="0" w:space="0" w:color="auto"/>
                    <w:left w:val="none" w:sz="0" w:space="0" w:color="auto"/>
                    <w:bottom w:val="none" w:sz="0" w:space="0" w:color="auto"/>
                    <w:right w:val="none" w:sz="0" w:space="0" w:color="auto"/>
                  </w:divBdr>
                  <w:divsChild>
                    <w:div w:id="530343895">
                      <w:marLeft w:val="0"/>
                      <w:marRight w:val="0"/>
                      <w:marTop w:val="120"/>
                      <w:marBottom w:val="0"/>
                      <w:divBdr>
                        <w:top w:val="none" w:sz="0" w:space="0" w:color="auto"/>
                        <w:left w:val="none" w:sz="0" w:space="0" w:color="auto"/>
                        <w:bottom w:val="none" w:sz="0" w:space="0" w:color="auto"/>
                        <w:right w:val="none" w:sz="0" w:space="0" w:color="auto"/>
                      </w:divBdr>
                    </w:div>
                    <w:div w:id="125647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78868">
      <w:bodyDiv w:val="1"/>
      <w:marLeft w:val="0"/>
      <w:marRight w:val="0"/>
      <w:marTop w:val="0"/>
      <w:marBottom w:val="0"/>
      <w:divBdr>
        <w:top w:val="none" w:sz="0" w:space="0" w:color="auto"/>
        <w:left w:val="none" w:sz="0" w:space="0" w:color="auto"/>
        <w:bottom w:val="none" w:sz="0" w:space="0" w:color="auto"/>
        <w:right w:val="none" w:sz="0" w:space="0" w:color="auto"/>
      </w:divBdr>
      <w:divsChild>
        <w:div w:id="71779726">
          <w:marLeft w:val="0"/>
          <w:marRight w:val="0"/>
          <w:marTop w:val="0"/>
          <w:marBottom w:val="0"/>
          <w:divBdr>
            <w:top w:val="none" w:sz="0" w:space="0" w:color="auto"/>
            <w:left w:val="none" w:sz="0" w:space="0" w:color="auto"/>
            <w:bottom w:val="none" w:sz="0" w:space="0" w:color="auto"/>
            <w:right w:val="none" w:sz="0" w:space="0" w:color="auto"/>
          </w:divBdr>
        </w:div>
      </w:divsChild>
    </w:div>
    <w:div w:id="1673411548">
      <w:bodyDiv w:val="1"/>
      <w:marLeft w:val="0"/>
      <w:marRight w:val="0"/>
      <w:marTop w:val="0"/>
      <w:marBottom w:val="0"/>
      <w:divBdr>
        <w:top w:val="none" w:sz="0" w:space="0" w:color="auto"/>
        <w:left w:val="none" w:sz="0" w:space="0" w:color="auto"/>
        <w:bottom w:val="none" w:sz="0" w:space="0" w:color="auto"/>
        <w:right w:val="none" w:sz="0" w:space="0" w:color="auto"/>
      </w:divBdr>
      <w:divsChild>
        <w:div w:id="1335955460">
          <w:marLeft w:val="0"/>
          <w:marRight w:val="0"/>
          <w:marTop w:val="0"/>
          <w:marBottom w:val="0"/>
          <w:divBdr>
            <w:top w:val="none" w:sz="0" w:space="0" w:color="auto"/>
            <w:left w:val="none" w:sz="0" w:space="0" w:color="auto"/>
            <w:bottom w:val="none" w:sz="0" w:space="0" w:color="auto"/>
            <w:right w:val="none" w:sz="0" w:space="0" w:color="auto"/>
          </w:divBdr>
        </w:div>
      </w:divsChild>
    </w:div>
    <w:div w:id="1685207764">
      <w:bodyDiv w:val="1"/>
      <w:marLeft w:val="0"/>
      <w:marRight w:val="0"/>
      <w:marTop w:val="0"/>
      <w:marBottom w:val="0"/>
      <w:divBdr>
        <w:top w:val="none" w:sz="0" w:space="0" w:color="auto"/>
        <w:left w:val="none" w:sz="0" w:space="0" w:color="auto"/>
        <w:bottom w:val="none" w:sz="0" w:space="0" w:color="auto"/>
        <w:right w:val="none" w:sz="0" w:space="0" w:color="auto"/>
      </w:divBdr>
      <w:divsChild>
        <w:div w:id="622924340">
          <w:marLeft w:val="0"/>
          <w:marRight w:val="0"/>
          <w:marTop w:val="0"/>
          <w:marBottom w:val="0"/>
          <w:divBdr>
            <w:top w:val="none" w:sz="0" w:space="0" w:color="auto"/>
            <w:left w:val="none" w:sz="0" w:space="0" w:color="auto"/>
            <w:bottom w:val="none" w:sz="0" w:space="0" w:color="auto"/>
            <w:right w:val="none" w:sz="0" w:space="0" w:color="auto"/>
          </w:divBdr>
          <w:divsChild>
            <w:div w:id="1988171558">
              <w:marLeft w:val="0"/>
              <w:marRight w:val="0"/>
              <w:marTop w:val="0"/>
              <w:marBottom w:val="0"/>
              <w:divBdr>
                <w:top w:val="none" w:sz="0" w:space="0" w:color="auto"/>
                <w:left w:val="none" w:sz="0" w:space="0" w:color="auto"/>
                <w:bottom w:val="none" w:sz="0" w:space="0" w:color="auto"/>
                <w:right w:val="none" w:sz="0" w:space="0" w:color="auto"/>
              </w:divBdr>
            </w:div>
          </w:divsChild>
        </w:div>
        <w:div w:id="1463117217">
          <w:marLeft w:val="0"/>
          <w:marRight w:val="0"/>
          <w:marTop w:val="0"/>
          <w:marBottom w:val="0"/>
          <w:divBdr>
            <w:top w:val="none" w:sz="0" w:space="0" w:color="auto"/>
            <w:left w:val="none" w:sz="0" w:space="0" w:color="auto"/>
            <w:bottom w:val="none" w:sz="0" w:space="0" w:color="auto"/>
            <w:right w:val="none" w:sz="0" w:space="0" w:color="auto"/>
          </w:divBdr>
          <w:divsChild>
            <w:div w:id="4919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536">
      <w:bodyDiv w:val="1"/>
      <w:marLeft w:val="0"/>
      <w:marRight w:val="0"/>
      <w:marTop w:val="0"/>
      <w:marBottom w:val="0"/>
      <w:divBdr>
        <w:top w:val="none" w:sz="0" w:space="0" w:color="auto"/>
        <w:left w:val="none" w:sz="0" w:space="0" w:color="auto"/>
        <w:bottom w:val="none" w:sz="0" w:space="0" w:color="auto"/>
        <w:right w:val="none" w:sz="0" w:space="0" w:color="auto"/>
      </w:divBdr>
      <w:divsChild>
        <w:div w:id="1927179738">
          <w:marLeft w:val="0"/>
          <w:marRight w:val="0"/>
          <w:marTop w:val="0"/>
          <w:marBottom w:val="0"/>
          <w:divBdr>
            <w:top w:val="none" w:sz="0" w:space="0" w:color="auto"/>
            <w:left w:val="none" w:sz="0" w:space="0" w:color="auto"/>
            <w:bottom w:val="none" w:sz="0" w:space="0" w:color="auto"/>
            <w:right w:val="none" w:sz="0" w:space="0" w:color="auto"/>
          </w:divBdr>
        </w:div>
      </w:divsChild>
    </w:div>
    <w:div w:id="1700859113">
      <w:bodyDiv w:val="1"/>
      <w:marLeft w:val="0"/>
      <w:marRight w:val="0"/>
      <w:marTop w:val="0"/>
      <w:marBottom w:val="0"/>
      <w:divBdr>
        <w:top w:val="none" w:sz="0" w:space="0" w:color="auto"/>
        <w:left w:val="none" w:sz="0" w:space="0" w:color="auto"/>
        <w:bottom w:val="none" w:sz="0" w:space="0" w:color="auto"/>
        <w:right w:val="none" w:sz="0" w:space="0" w:color="auto"/>
      </w:divBdr>
      <w:divsChild>
        <w:div w:id="1440371060">
          <w:marLeft w:val="0"/>
          <w:marRight w:val="0"/>
          <w:marTop w:val="0"/>
          <w:marBottom w:val="0"/>
          <w:divBdr>
            <w:top w:val="none" w:sz="0" w:space="0" w:color="auto"/>
            <w:left w:val="none" w:sz="0" w:space="0" w:color="auto"/>
            <w:bottom w:val="none" w:sz="0" w:space="0" w:color="auto"/>
            <w:right w:val="none" w:sz="0" w:space="0" w:color="auto"/>
          </w:divBdr>
          <w:divsChild>
            <w:div w:id="219093866">
              <w:marLeft w:val="0"/>
              <w:marRight w:val="0"/>
              <w:marTop w:val="0"/>
              <w:marBottom w:val="0"/>
              <w:divBdr>
                <w:top w:val="none" w:sz="0" w:space="0" w:color="auto"/>
                <w:left w:val="none" w:sz="0" w:space="0" w:color="auto"/>
                <w:bottom w:val="none" w:sz="0" w:space="0" w:color="auto"/>
                <w:right w:val="none" w:sz="0" w:space="0" w:color="auto"/>
              </w:divBdr>
              <w:divsChild>
                <w:div w:id="523399083">
                  <w:marLeft w:val="0"/>
                  <w:marRight w:val="0"/>
                  <w:marTop w:val="0"/>
                  <w:marBottom w:val="0"/>
                  <w:divBdr>
                    <w:top w:val="none" w:sz="0" w:space="0" w:color="auto"/>
                    <w:left w:val="none" w:sz="0" w:space="0" w:color="auto"/>
                    <w:bottom w:val="none" w:sz="0" w:space="0" w:color="auto"/>
                    <w:right w:val="none" w:sz="0" w:space="0" w:color="auto"/>
                  </w:divBdr>
                </w:div>
                <w:div w:id="855078974">
                  <w:marLeft w:val="0"/>
                  <w:marRight w:val="0"/>
                  <w:marTop w:val="120"/>
                  <w:marBottom w:val="0"/>
                  <w:divBdr>
                    <w:top w:val="none" w:sz="0" w:space="0" w:color="auto"/>
                    <w:left w:val="none" w:sz="0" w:space="0" w:color="auto"/>
                    <w:bottom w:val="none" w:sz="0" w:space="0" w:color="auto"/>
                    <w:right w:val="none" w:sz="0" w:space="0" w:color="auto"/>
                  </w:divBdr>
                </w:div>
              </w:divsChild>
            </w:div>
            <w:div w:id="598488233">
              <w:marLeft w:val="0"/>
              <w:marRight w:val="0"/>
              <w:marTop w:val="0"/>
              <w:marBottom w:val="0"/>
              <w:divBdr>
                <w:top w:val="none" w:sz="0" w:space="0" w:color="auto"/>
                <w:left w:val="none" w:sz="0" w:space="0" w:color="auto"/>
                <w:bottom w:val="none" w:sz="0" w:space="0" w:color="auto"/>
                <w:right w:val="none" w:sz="0" w:space="0" w:color="auto"/>
              </w:divBdr>
              <w:divsChild>
                <w:div w:id="234509792">
                  <w:marLeft w:val="0"/>
                  <w:marRight w:val="0"/>
                  <w:marTop w:val="0"/>
                  <w:marBottom w:val="0"/>
                  <w:divBdr>
                    <w:top w:val="none" w:sz="0" w:space="0" w:color="auto"/>
                    <w:left w:val="none" w:sz="0" w:space="0" w:color="auto"/>
                    <w:bottom w:val="none" w:sz="0" w:space="0" w:color="auto"/>
                    <w:right w:val="none" w:sz="0" w:space="0" w:color="auto"/>
                  </w:divBdr>
                </w:div>
                <w:div w:id="872306718">
                  <w:marLeft w:val="0"/>
                  <w:marRight w:val="0"/>
                  <w:marTop w:val="120"/>
                  <w:marBottom w:val="0"/>
                  <w:divBdr>
                    <w:top w:val="none" w:sz="0" w:space="0" w:color="auto"/>
                    <w:left w:val="none" w:sz="0" w:space="0" w:color="auto"/>
                    <w:bottom w:val="none" w:sz="0" w:space="0" w:color="auto"/>
                    <w:right w:val="none" w:sz="0" w:space="0" w:color="auto"/>
                  </w:divBdr>
                </w:div>
              </w:divsChild>
            </w:div>
            <w:div w:id="712922343">
              <w:marLeft w:val="0"/>
              <w:marRight w:val="0"/>
              <w:marTop w:val="0"/>
              <w:marBottom w:val="0"/>
              <w:divBdr>
                <w:top w:val="none" w:sz="0" w:space="0" w:color="auto"/>
                <w:left w:val="none" w:sz="0" w:space="0" w:color="auto"/>
                <w:bottom w:val="none" w:sz="0" w:space="0" w:color="auto"/>
                <w:right w:val="none" w:sz="0" w:space="0" w:color="auto"/>
              </w:divBdr>
              <w:divsChild>
                <w:div w:id="719205811">
                  <w:marLeft w:val="0"/>
                  <w:marRight w:val="0"/>
                  <w:marTop w:val="120"/>
                  <w:marBottom w:val="0"/>
                  <w:divBdr>
                    <w:top w:val="none" w:sz="0" w:space="0" w:color="auto"/>
                    <w:left w:val="none" w:sz="0" w:space="0" w:color="auto"/>
                    <w:bottom w:val="none" w:sz="0" w:space="0" w:color="auto"/>
                    <w:right w:val="none" w:sz="0" w:space="0" w:color="auto"/>
                  </w:divBdr>
                </w:div>
                <w:div w:id="856239789">
                  <w:marLeft w:val="0"/>
                  <w:marRight w:val="0"/>
                  <w:marTop w:val="0"/>
                  <w:marBottom w:val="0"/>
                  <w:divBdr>
                    <w:top w:val="none" w:sz="0" w:space="0" w:color="auto"/>
                    <w:left w:val="none" w:sz="0" w:space="0" w:color="auto"/>
                    <w:bottom w:val="none" w:sz="0" w:space="0" w:color="auto"/>
                    <w:right w:val="none" w:sz="0" w:space="0" w:color="auto"/>
                  </w:divBdr>
                </w:div>
              </w:divsChild>
            </w:div>
            <w:div w:id="764837282">
              <w:marLeft w:val="0"/>
              <w:marRight w:val="0"/>
              <w:marTop w:val="0"/>
              <w:marBottom w:val="0"/>
              <w:divBdr>
                <w:top w:val="none" w:sz="0" w:space="0" w:color="auto"/>
                <w:left w:val="none" w:sz="0" w:space="0" w:color="auto"/>
                <w:bottom w:val="none" w:sz="0" w:space="0" w:color="auto"/>
                <w:right w:val="none" w:sz="0" w:space="0" w:color="auto"/>
              </w:divBdr>
              <w:divsChild>
                <w:div w:id="828448154">
                  <w:marLeft w:val="0"/>
                  <w:marRight w:val="0"/>
                  <w:marTop w:val="120"/>
                  <w:marBottom w:val="0"/>
                  <w:divBdr>
                    <w:top w:val="none" w:sz="0" w:space="0" w:color="auto"/>
                    <w:left w:val="none" w:sz="0" w:space="0" w:color="auto"/>
                    <w:bottom w:val="none" w:sz="0" w:space="0" w:color="auto"/>
                    <w:right w:val="none" w:sz="0" w:space="0" w:color="auto"/>
                  </w:divBdr>
                </w:div>
                <w:div w:id="959069353">
                  <w:marLeft w:val="0"/>
                  <w:marRight w:val="0"/>
                  <w:marTop w:val="0"/>
                  <w:marBottom w:val="0"/>
                  <w:divBdr>
                    <w:top w:val="none" w:sz="0" w:space="0" w:color="auto"/>
                    <w:left w:val="none" w:sz="0" w:space="0" w:color="auto"/>
                    <w:bottom w:val="none" w:sz="0" w:space="0" w:color="auto"/>
                    <w:right w:val="none" w:sz="0" w:space="0" w:color="auto"/>
                  </w:divBdr>
                </w:div>
              </w:divsChild>
            </w:div>
            <w:div w:id="1192036334">
              <w:marLeft w:val="0"/>
              <w:marRight w:val="0"/>
              <w:marTop w:val="0"/>
              <w:marBottom w:val="0"/>
              <w:divBdr>
                <w:top w:val="none" w:sz="0" w:space="0" w:color="auto"/>
                <w:left w:val="none" w:sz="0" w:space="0" w:color="auto"/>
                <w:bottom w:val="none" w:sz="0" w:space="0" w:color="auto"/>
                <w:right w:val="none" w:sz="0" w:space="0" w:color="auto"/>
              </w:divBdr>
              <w:divsChild>
                <w:div w:id="1176727075">
                  <w:marLeft w:val="0"/>
                  <w:marRight w:val="0"/>
                  <w:marTop w:val="120"/>
                  <w:marBottom w:val="0"/>
                  <w:divBdr>
                    <w:top w:val="none" w:sz="0" w:space="0" w:color="auto"/>
                    <w:left w:val="none" w:sz="0" w:space="0" w:color="auto"/>
                    <w:bottom w:val="none" w:sz="0" w:space="0" w:color="auto"/>
                    <w:right w:val="none" w:sz="0" w:space="0" w:color="auto"/>
                  </w:divBdr>
                </w:div>
                <w:div w:id="1417239507">
                  <w:marLeft w:val="0"/>
                  <w:marRight w:val="0"/>
                  <w:marTop w:val="0"/>
                  <w:marBottom w:val="0"/>
                  <w:divBdr>
                    <w:top w:val="none" w:sz="0" w:space="0" w:color="auto"/>
                    <w:left w:val="none" w:sz="0" w:space="0" w:color="auto"/>
                    <w:bottom w:val="none" w:sz="0" w:space="0" w:color="auto"/>
                    <w:right w:val="none" w:sz="0" w:space="0" w:color="auto"/>
                  </w:divBdr>
                </w:div>
              </w:divsChild>
            </w:div>
            <w:div w:id="1279141869">
              <w:marLeft w:val="0"/>
              <w:marRight w:val="0"/>
              <w:marTop w:val="0"/>
              <w:marBottom w:val="0"/>
              <w:divBdr>
                <w:top w:val="none" w:sz="0" w:space="0" w:color="auto"/>
                <w:left w:val="none" w:sz="0" w:space="0" w:color="auto"/>
                <w:bottom w:val="none" w:sz="0" w:space="0" w:color="auto"/>
                <w:right w:val="none" w:sz="0" w:space="0" w:color="auto"/>
              </w:divBdr>
              <w:divsChild>
                <w:div w:id="44792889">
                  <w:marLeft w:val="0"/>
                  <w:marRight w:val="0"/>
                  <w:marTop w:val="0"/>
                  <w:marBottom w:val="0"/>
                  <w:divBdr>
                    <w:top w:val="none" w:sz="0" w:space="0" w:color="auto"/>
                    <w:left w:val="none" w:sz="0" w:space="0" w:color="auto"/>
                    <w:bottom w:val="none" w:sz="0" w:space="0" w:color="auto"/>
                    <w:right w:val="none" w:sz="0" w:space="0" w:color="auto"/>
                  </w:divBdr>
                </w:div>
                <w:div w:id="1149975252">
                  <w:marLeft w:val="0"/>
                  <w:marRight w:val="0"/>
                  <w:marTop w:val="120"/>
                  <w:marBottom w:val="0"/>
                  <w:divBdr>
                    <w:top w:val="none" w:sz="0" w:space="0" w:color="auto"/>
                    <w:left w:val="none" w:sz="0" w:space="0" w:color="auto"/>
                    <w:bottom w:val="none" w:sz="0" w:space="0" w:color="auto"/>
                    <w:right w:val="none" w:sz="0" w:space="0" w:color="auto"/>
                  </w:divBdr>
                </w:div>
              </w:divsChild>
            </w:div>
            <w:div w:id="1348480761">
              <w:marLeft w:val="0"/>
              <w:marRight w:val="0"/>
              <w:marTop w:val="0"/>
              <w:marBottom w:val="0"/>
              <w:divBdr>
                <w:top w:val="none" w:sz="0" w:space="0" w:color="auto"/>
                <w:left w:val="none" w:sz="0" w:space="0" w:color="auto"/>
                <w:bottom w:val="none" w:sz="0" w:space="0" w:color="auto"/>
                <w:right w:val="none" w:sz="0" w:space="0" w:color="auto"/>
              </w:divBdr>
              <w:divsChild>
                <w:div w:id="1101225455">
                  <w:marLeft w:val="0"/>
                  <w:marRight w:val="0"/>
                  <w:marTop w:val="0"/>
                  <w:marBottom w:val="0"/>
                  <w:divBdr>
                    <w:top w:val="none" w:sz="0" w:space="0" w:color="auto"/>
                    <w:left w:val="none" w:sz="0" w:space="0" w:color="auto"/>
                    <w:bottom w:val="none" w:sz="0" w:space="0" w:color="auto"/>
                    <w:right w:val="none" w:sz="0" w:space="0" w:color="auto"/>
                  </w:divBdr>
                </w:div>
                <w:div w:id="1165588964">
                  <w:marLeft w:val="0"/>
                  <w:marRight w:val="0"/>
                  <w:marTop w:val="120"/>
                  <w:marBottom w:val="0"/>
                  <w:divBdr>
                    <w:top w:val="none" w:sz="0" w:space="0" w:color="auto"/>
                    <w:left w:val="none" w:sz="0" w:space="0" w:color="auto"/>
                    <w:bottom w:val="none" w:sz="0" w:space="0" w:color="auto"/>
                    <w:right w:val="none" w:sz="0" w:space="0" w:color="auto"/>
                  </w:divBdr>
                </w:div>
              </w:divsChild>
            </w:div>
            <w:div w:id="1494176385">
              <w:marLeft w:val="0"/>
              <w:marRight w:val="0"/>
              <w:marTop w:val="0"/>
              <w:marBottom w:val="0"/>
              <w:divBdr>
                <w:top w:val="none" w:sz="0" w:space="0" w:color="auto"/>
                <w:left w:val="none" w:sz="0" w:space="0" w:color="auto"/>
                <w:bottom w:val="none" w:sz="0" w:space="0" w:color="auto"/>
                <w:right w:val="none" w:sz="0" w:space="0" w:color="auto"/>
              </w:divBdr>
              <w:divsChild>
                <w:div w:id="405765120">
                  <w:marLeft w:val="0"/>
                  <w:marRight w:val="0"/>
                  <w:marTop w:val="120"/>
                  <w:marBottom w:val="0"/>
                  <w:divBdr>
                    <w:top w:val="none" w:sz="0" w:space="0" w:color="auto"/>
                    <w:left w:val="none" w:sz="0" w:space="0" w:color="auto"/>
                    <w:bottom w:val="none" w:sz="0" w:space="0" w:color="auto"/>
                    <w:right w:val="none" w:sz="0" w:space="0" w:color="auto"/>
                  </w:divBdr>
                </w:div>
                <w:div w:id="78774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50822">
      <w:bodyDiv w:val="1"/>
      <w:marLeft w:val="0"/>
      <w:marRight w:val="0"/>
      <w:marTop w:val="0"/>
      <w:marBottom w:val="0"/>
      <w:divBdr>
        <w:top w:val="none" w:sz="0" w:space="0" w:color="auto"/>
        <w:left w:val="none" w:sz="0" w:space="0" w:color="auto"/>
        <w:bottom w:val="none" w:sz="0" w:space="0" w:color="auto"/>
        <w:right w:val="none" w:sz="0" w:space="0" w:color="auto"/>
      </w:divBdr>
      <w:divsChild>
        <w:div w:id="22903425">
          <w:marLeft w:val="0"/>
          <w:marRight w:val="0"/>
          <w:marTop w:val="0"/>
          <w:marBottom w:val="0"/>
          <w:divBdr>
            <w:top w:val="none" w:sz="0" w:space="0" w:color="auto"/>
            <w:left w:val="none" w:sz="0" w:space="0" w:color="auto"/>
            <w:bottom w:val="none" w:sz="0" w:space="0" w:color="auto"/>
            <w:right w:val="none" w:sz="0" w:space="0" w:color="auto"/>
          </w:divBdr>
          <w:divsChild>
            <w:div w:id="106722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1109">
      <w:bodyDiv w:val="1"/>
      <w:marLeft w:val="0"/>
      <w:marRight w:val="0"/>
      <w:marTop w:val="0"/>
      <w:marBottom w:val="0"/>
      <w:divBdr>
        <w:top w:val="none" w:sz="0" w:space="0" w:color="auto"/>
        <w:left w:val="none" w:sz="0" w:space="0" w:color="auto"/>
        <w:bottom w:val="none" w:sz="0" w:space="0" w:color="auto"/>
        <w:right w:val="none" w:sz="0" w:space="0" w:color="auto"/>
      </w:divBdr>
      <w:divsChild>
        <w:div w:id="627510143">
          <w:marLeft w:val="0"/>
          <w:marRight w:val="0"/>
          <w:marTop w:val="0"/>
          <w:marBottom w:val="0"/>
          <w:divBdr>
            <w:top w:val="none" w:sz="0" w:space="0" w:color="auto"/>
            <w:left w:val="none" w:sz="0" w:space="0" w:color="auto"/>
            <w:bottom w:val="none" w:sz="0" w:space="0" w:color="auto"/>
            <w:right w:val="none" w:sz="0" w:space="0" w:color="auto"/>
          </w:divBdr>
        </w:div>
        <w:div w:id="1652253272">
          <w:marLeft w:val="0"/>
          <w:marRight w:val="0"/>
          <w:marTop w:val="0"/>
          <w:marBottom w:val="0"/>
          <w:divBdr>
            <w:top w:val="none" w:sz="0" w:space="0" w:color="auto"/>
            <w:left w:val="none" w:sz="0" w:space="0" w:color="auto"/>
            <w:bottom w:val="none" w:sz="0" w:space="0" w:color="auto"/>
            <w:right w:val="none" w:sz="0" w:space="0" w:color="auto"/>
          </w:divBdr>
          <w:divsChild>
            <w:div w:id="5242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283">
      <w:bodyDiv w:val="1"/>
      <w:marLeft w:val="0"/>
      <w:marRight w:val="0"/>
      <w:marTop w:val="0"/>
      <w:marBottom w:val="0"/>
      <w:divBdr>
        <w:top w:val="none" w:sz="0" w:space="0" w:color="auto"/>
        <w:left w:val="none" w:sz="0" w:space="0" w:color="auto"/>
        <w:bottom w:val="none" w:sz="0" w:space="0" w:color="auto"/>
        <w:right w:val="none" w:sz="0" w:space="0" w:color="auto"/>
      </w:divBdr>
      <w:divsChild>
        <w:div w:id="1771851490">
          <w:marLeft w:val="0"/>
          <w:marRight w:val="0"/>
          <w:marTop w:val="0"/>
          <w:marBottom w:val="0"/>
          <w:divBdr>
            <w:top w:val="none" w:sz="0" w:space="0" w:color="auto"/>
            <w:left w:val="none" w:sz="0" w:space="0" w:color="auto"/>
            <w:bottom w:val="none" w:sz="0" w:space="0" w:color="auto"/>
            <w:right w:val="none" w:sz="0" w:space="0" w:color="auto"/>
          </w:divBdr>
        </w:div>
      </w:divsChild>
    </w:div>
    <w:div w:id="1717391626">
      <w:bodyDiv w:val="1"/>
      <w:marLeft w:val="0"/>
      <w:marRight w:val="0"/>
      <w:marTop w:val="0"/>
      <w:marBottom w:val="0"/>
      <w:divBdr>
        <w:top w:val="none" w:sz="0" w:space="0" w:color="auto"/>
        <w:left w:val="none" w:sz="0" w:space="0" w:color="auto"/>
        <w:bottom w:val="none" w:sz="0" w:space="0" w:color="auto"/>
        <w:right w:val="none" w:sz="0" w:space="0" w:color="auto"/>
      </w:divBdr>
      <w:divsChild>
        <w:div w:id="1701080057">
          <w:marLeft w:val="0"/>
          <w:marRight w:val="0"/>
          <w:marTop w:val="0"/>
          <w:marBottom w:val="0"/>
          <w:divBdr>
            <w:top w:val="none" w:sz="0" w:space="0" w:color="auto"/>
            <w:left w:val="none" w:sz="0" w:space="0" w:color="auto"/>
            <w:bottom w:val="none" w:sz="0" w:space="0" w:color="auto"/>
            <w:right w:val="none" w:sz="0" w:space="0" w:color="auto"/>
          </w:divBdr>
          <w:divsChild>
            <w:div w:id="176811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2234">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7">
          <w:marLeft w:val="0"/>
          <w:marRight w:val="0"/>
          <w:marTop w:val="0"/>
          <w:marBottom w:val="0"/>
          <w:divBdr>
            <w:top w:val="none" w:sz="0" w:space="0" w:color="auto"/>
            <w:left w:val="none" w:sz="0" w:space="0" w:color="auto"/>
            <w:bottom w:val="none" w:sz="0" w:space="0" w:color="auto"/>
            <w:right w:val="none" w:sz="0" w:space="0" w:color="auto"/>
          </w:divBdr>
        </w:div>
      </w:divsChild>
    </w:div>
    <w:div w:id="1723405134">
      <w:bodyDiv w:val="1"/>
      <w:marLeft w:val="0"/>
      <w:marRight w:val="0"/>
      <w:marTop w:val="0"/>
      <w:marBottom w:val="0"/>
      <w:divBdr>
        <w:top w:val="none" w:sz="0" w:space="0" w:color="auto"/>
        <w:left w:val="none" w:sz="0" w:space="0" w:color="auto"/>
        <w:bottom w:val="none" w:sz="0" w:space="0" w:color="auto"/>
        <w:right w:val="none" w:sz="0" w:space="0" w:color="auto"/>
      </w:divBdr>
      <w:divsChild>
        <w:div w:id="1537498508">
          <w:marLeft w:val="0"/>
          <w:marRight w:val="0"/>
          <w:marTop w:val="0"/>
          <w:marBottom w:val="0"/>
          <w:divBdr>
            <w:top w:val="none" w:sz="0" w:space="0" w:color="auto"/>
            <w:left w:val="none" w:sz="0" w:space="0" w:color="auto"/>
            <w:bottom w:val="none" w:sz="0" w:space="0" w:color="auto"/>
            <w:right w:val="none" w:sz="0" w:space="0" w:color="auto"/>
          </w:divBdr>
        </w:div>
      </w:divsChild>
    </w:div>
    <w:div w:id="1727336630">
      <w:bodyDiv w:val="1"/>
      <w:marLeft w:val="0"/>
      <w:marRight w:val="0"/>
      <w:marTop w:val="0"/>
      <w:marBottom w:val="0"/>
      <w:divBdr>
        <w:top w:val="none" w:sz="0" w:space="0" w:color="auto"/>
        <w:left w:val="none" w:sz="0" w:space="0" w:color="auto"/>
        <w:bottom w:val="none" w:sz="0" w:space="0" w:color="auto"/>
        <w:right w:val="none" w:sz="0" w:space="0" w:color="auto"/>
      </w:divBdr>
      <w:divsChild>
        <w:div w:id="1425568685">
          <w:marLeft w:val="0"/>
          <w:marRight w:val="0"/>
          <w:marTop w:val="0"/>
          <w:marBottom w:val="0"/>
          <w:divBdr>
            <w:top w:val="none" w:sz="0" w:space="0" w:color="auto"/>
            <w:left w:val="none" w:sz="0" w:space="0" w:color="auto"/>
            <w:bottom w:val="none" w:sz="0" w:space="0" w:color="auto"/>
            <w:right w:val="none" w:sz="0" w:space="0" w:color="auto"/>
          </w:divBdr>
          <w:divsChild>
            <w:div w:id="1080254773">
              <w:marLeft w:val="0"/>
              <w:marRight w:val="0"/>
              <w:marTop w:val="0"/>
              <w:marBottom w:val="0"/>
              <w:divBdr>
                <w:top w:val="none" w:sz="0" w:space="0" w:color="auto"/>
                <w:left w:val="none" w:sz="0" w:space="0" w:color="auto"/>
                <w:bottom w:val="none" w:sz="0" w:space="0" w:color="auto"/>
                <w:right w:val="none" w:sz="0" w:space="0" w:color="auto"/>
              </w:divBdr>
              <w:divsChild>
                <w:div w:id="1985964358">
                  <w:marLeft w:val="0"/>
                  <w:marRight w:val="0"/>
                  <w:marTop w:val="0"/>
                  <w:marBottom w:val="0"/>
                  <w:divBdr>
                    <w:top w:val="none" w:sz="0" w:space="0" w:color="auto"/>
                    <w:left w:val="none" w:sz="0" w:space="0" w:color="auto"/>
                    <w:bottom w:val="none" w:sz="0" w:space="0" w:color="auto"/>
                    <w:right w:val="none" w:sz="0" w:space="0" w:color="auto"/>
                  </w:divBdr>
                  <w:divsChild>
                    <w:div w:id="116497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78028">
      <w:bodyDiv w:val="1"/>
      <w:marLeft w:val="0"/>
      <w:marRight w:val="0"/>
      <w:marTop w:val="0"/>
      <w:marBottom w:val="0"/>
      <w:divBdr>
        <w:top w:val="none" w:sz="0" w:space="0" w:color="auto"/>
        <w:left w:val="none" w:sz="0" w:space="0" w:color="auto"/>
        <w:bottom w:val="none" w:sz="0" w:space="0" w:color="auto"/>
        <w:right w:val="none" w:sz="0" w:space="0" w:color="auto"/>
      </w:divBdr>
      <w:divsChild>
        <w:div w:id="1037585713">
          <w:marLeft w:val="0"/>
          <w:marRight w:val="0"/>
          <w:marTop w:val="0"/>
          <w:marBottom w:val="0"/>
          <w:divBdr>
            <w:top w:val="none" w:sz="0" w:space="0" w:color="auto"/>
            <w:left w:val="none" w:sz="0" w:space="0" w:color="auto"/>
            <w:bottom w:val="none" w:sz="0" w:space="0" w:color="auto"/>
            <w:right w:val="none" w:sz="0" w:space="0" w:color="auto"/>
          </w:divBdr>
          <w:divsChild>
            <w:div w:id="133622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4038">
      <w:bodyDiv w:val="1"/>
      <w:marLeft w:val="0"/>
      <w:marRight w:val="0"/>
      <w:marTop w:val="0"/>
      <w:marBottom w:val="0"/>
      <w:divBdr>
        <w:top w:val="none" w:sz="0" w:space="0" w:color="auto"/>
        <w:left w:val="none" w:sz="0" w:space="0" w:color="auto"/>
        <w:bottom w:val="none" w:sz="0" w:space="0" w:color="auto"/>
        <w:right w:val="none" w:sz="0" w:space="0" w:color="auto"/>
      </w:divBdr>
      <w:divsChild>
        <w:div w:id="346056370">
          <w:marLeft w:val="0"/>
          <w:marRight w:val="0"/>
          <w:marTop w:val="0"/>
          <w:marBottom w:val="0"/>
          <w:divBdr>
            <w:top w:val="none" w:sz="0" w:space="0" w:color="auto"/>
            <w:left w:val="none" w:sz="0" w:space="0" w:color="auto"/>
            <w:bottom w:val="none" w:sz="0" w:space="0" w:color="auto"/>
            <w:right w:val="none" w:sz="0" w:space="0" w:color="auto"/>
          </w:divBdr>
          <w:divsChild>
            <w:div w:id="5161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41228">
      <w:bodyDiv w:val="1"/>
      <w:marLeft w:val="0"/>
      <w:marRight w:val="0"/>
      <w:marTop w:val="0"/>
      <w:marBottom w:val="0"/>
      <w:divBdr>
        <w:top w:val="none" w:sz="0" w:space="0" w:color="auto"/>
        <w:left w:val="none" w:sz="0" w:space="0" w:color="auto"/>
        <w:bottom w:val="none" w:sz="0" w:space="0" w:color="auto"/>
        <w:right w:val="none" w:sz="0" w:space="0" w:color="auto"/>
      </w:divBdr>
      <w:divsChild>
        <w:div w:id="813255935">
          <w:marLeft w:val="0"/>
          <w:marRight w:val="0"/>
          <w:marTop w:val="0"/>
          <w:marBottom w:val="0"/>
          <w:divBdr>
            <w:top w:val="none" w:sz="0" w:space="0" w:color="auto"/>
            <w:left w:val="none" w:sz="0" w:space="0" w:color="auto"/>
            <w:bottom w:val="none" w:sz="0" w:space="0" w:color="auto"/>
            <w:right w:val="none" w:sz="0" w:space="0" w:color="auto"/>
          </w:divBdr>
          <w:divsChild>
            <w:div w:id="37245382">
              <w:marLeft w:val="0"/>
              <w:marRight w:val="0"/>
              <w:marTop w:val="0"/>
              <w:marBottom w:val="0"/>
              <w:divBdr>
                <w:top w:val="none" w:sz="0" w:space="0" w:color="auto"/>
                <w:left w:val="none" w:sz="0" w:space="0" w:color="auto"/>
                <w:bottom w:val="none" w:sz="0" w:space="0" w:color="auto"/>
                <w:right w:val="none" w:sz="0" w:space="0" w:color="auto"/>
              </w:divBdr>
              <w:divsChild>
                <w:div w:id="151457664">
                  <w:marLeft w:val="0"/>
                  <w:marRight w:val="0"/>
                  <w:marTop w:val="0"/>
                  <w:marBottom w:val="0"/>
                  <w:divBdr>
                    <w:top w:val="none" w:sz="0" w:space="0" w:color="auto"/>
                    <w:left w:val="none" w:sz="0" w:space="0" w:color="auto"/>
                    <w:bottom w:val="none" w:sz="0" w:space="0" w:color="auto"/>
                    <w:right w:val="none" w:sz="0" w:space="0" w:color="auto"/>
                  </w:divBdr>
                  <w:divsChild>
                    <w:div w:id="1126267496">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120"/>
                      <w:marBottom w:val="0"/>
                      <w:divBdr>
                        <w:top w:val="none" w:sz="0" w:space="0" w:color="auto"/>
                        <w:left w:val="none" w:sz="0" w:space="0" w:color="auto"/>
                        <w:bottom w:val="none" w:sz="0" w:space="0" w:color="auto"/>
                        <w:right w:val="none" w:sz="0" w:space="0" w:color="auto"/>
                      </w:divBdr>
                    </w:div>
                  </w:divsChild>
                </w:div>
                <w:div w:id="599996059">
                  <w:marLeft w:val="0"/>
                  <w:marRight w:val="0"/>
                  <w:marTop w:val="0"/>
                  <w:marBottom w:val="0"/>
                  <w:divBdr>
                    <w:top w:val="none" w:sz="0" w:space="0" w:color="auto"/>
                    <w:left w:val="none" w:sz="0" w:space="0" w:color="auto"/>
                    <w:bottom w:val="none" w:sz="0" w:space="0" w:color="auto"/>
                    <w:right w:val="none" w:sz="0" w:space="0" w:color="auto"/>
                  </w:divBdr>
                  <w:divsChild>
                    <w:div w:id="1059590992">
                      <w:marLeft w:val="0"/>
                      <w:marRight w:val="0"/>
                      <w:marTop w:val="120"/>
                      <w:marBottom w:val="0"/>
                      <w:divBdr>
                        <w:top w:val="none" w:sz="0" w:space="0" w:color="auto"/>
                        <w:left w:val="none" w:sz="0" w:space="0" w:color="auto"/>
                        <w:bottom w:val="none" w:sz="0" w:space="0" w:color="auto"/>
                        <w:right w:val="none" w:sz="0" w:space="0" w:color="auto"/>
                      </w:divBdr>
                    </w:div>
                    <w:div w:id="1642420388">
                      <w:marLeft w:val="0"/>
                      <w:marRight w:val="0"/>
                      <w:marTop w:val="0"/>
                      <w:marBottom w:val="0"/>
                      <w:divBdr>
                        <w:top w:val="none" w:sz="0" w:space="0" w:color="auto"/>
                        <w:left w:val="none" w:sz="0" w:space="0" w:color="auto"/>
                        <w:bottom w:val="none" w:sz="0" w:space="0" w:color="auto"/>
                        <w:right w:val="none" w:sz="0" w:space="0" w:color="auto"/>
                      </w:divBdr>
                    </w:div>
                  </w:divsChild>
                </w:div>
                <w:div w:id="1510637357">
                  <w:marLeft w:val="0"/>
                  <w:marRight w:val="0"/>
                  <w:marTop w:val="0"/>
                  <w:marBottom w:val="0"/>
                  <w:divBdr>
                    <w:top w:val="none" w:sz="0" w:space="0" w:color="auto"/>
                    <w:left w:val="none" w:sz="0" w:space="0" w:color="auto"/>
                    <w:bottom w:val="none" w:sz="0" w:space="0" w:color="auto"/>
                    <w:right w:val="none" w:sz="0" w:space="0" w:color="auto"/>
                  </w:divBdr>
                  <w:divsChild>
                    <w:div w:id="606692819">
                      <w:marLeft w:val="0"/>
                      <w:marRight w:val="0"/>
                      <w:marTop w:val="120"/>
                      <w:marBottom w:val="0"/>
                      <w:divBdr>
                        <w:top w:val="none" w:sz="0" w:space="0" w:color="auto"/>
                        <w:left w:val="none" w:sz="0" w:space="0" w:color="auto"/>
                        <w:bottom w:val="none" w:sz="0" w:space="0" w:color="auto"/>
                        <w:right w:val="none" w:sz="0" w:space="0" w:color="auto"/>
                      </w:divBdr>
                    </w:div>
                    <w:div w:id="166030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06305">
      <w:bodyDiv w:val="1"/>
      <w:marLeft w:val="0"/>
      <w:marRight w:val="0"/>
      <w:marTop w:val="0"/>
      <w:marBottom w:val="0"/>
      <w:divBdr>
        <w:top w:val="none" w:sz="0" w:space="0" w:color="auto"/>
        <w:left w:val="none" w:sz="0" w:space="0" w:color="auto"/>
        <w:bottom w:val="none" w:sz="0" w:space="0" w:color="auto"/>
        <w:right w:val="none" w:sz="0" w:space="0" w:color="auto"/>
      </w:divBdr>
      <w:divsChild>
        <w:div w:id="416639703">
          <w:marLeft w:val="0"/>
          <w:marRight w:val="0"/>
          <w:marTop w:val="0"/>
          <w:marBottom w:val="0"/>
          <w:divBdr>
            <w:top w:val="none" w:sz="0" w:space="0" w:color="auto"/>
            <w:left w:val="none" w:sz="0" w:space="0" w:color="auto"/>
            <w:bottom w:val="none" w:sz="0" w:space="0" w:color="auto"/>
            <w:right w:val="none" w:sz="0" w:space="0" w:color="auto"/>
          </w:divBdr>
        </w:div>
      </w:divsChild>
    </w:div>
    <w:div w:id="1748187858">
      <w:bodyDiv w:val="1"/>
      <w:marLeft w:val="0"/>
      <w:marRight w:val="0"/>
      <w:marTop w:val="0"/>
      <w:marBottom w:val="0"/>
      <w:divBdr>
        <w:top w:val="none" w:sz="0" w:space="0" w:color="auto"/>
        <w:left w:val="none" w:sz="0" w:space="0" w:color="auto"/>
        <w:bottom w:val="none" w:sz="0" w:space="0" w:color="auto"/>
        <w:right w:val="none" w:sz="0" w:space="0" w:color="auto"/>
      </w:divBdr>
      <w:divsChild>
        <w:div w:id="2036728972">
          <w:marLeft w:val="0"/>
          <w:marRight w:val="0"/>
          <w:marTop w:val="0"/>
          <w:marBottom w:val="0"/>
          <w:divBdr>
            <w:top w:val="none" w:sz="0" w:space="0" w:color="auto"/>
            <w:left w:val="none" w:sz="0" w:space="0" w:color="auto"/>
            <w:bottom w:val="none" w:sz="0" w:space="0" w:color="auto"/>
            <w:right w:val="none" w:sz="0" w:space="0" w:color="auto"/>
          </w:divBdr>
        </w:div>
      </w:divsChild>
    </w:div>
    <w:div w:id="1755281482">
      <w:bodyDiv w:val="1"/>
      <w:marLeft w:val="0"/>
      <w:marRight w:val="0"/>
      <w:marTop w:val="0"/>
      <w:marBottom w:val="0"/>
      <w:divBdr>
        <w:top w:val="none" w:sz="0" w:space="0" w:color="auto"/>
        <w:left w:val="none" w:sz="0" w:space="0" w:color="auto"/>
        <w:bottom w:val="none" w:sz="0" w:space="0" w:color="auto"/>
        <w:right w:val="none" w:sz="0" w:space="0" w:color="auto"/>
      </w:divBdr>
      <w:divsChild>
        <w:div w:id="535393007">
          <w:marLeft w:val="0"/>
          <w:marRight w:val="0"/>
          <w:marTop w:val="0"/>
          <w:marBottom w:val="0"/>
          <w:divBdr>
            <w:top w:val="none" w:sz="0" w:space="0" w:color="auto"/>
            <w:left w:val="none" w:sz="0" w:space="0" w:color="auto"/>
            <w:bottom w:val="none" w:sz="0" w:space="0" w:color="auto"/>
            <w:right w:val="none" w:sz="0" w:space="0" w:color="auto"/>
          </w:divBdr>
          <w:divsChild>
            <w:div w:id="2768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81779">
      <w:bodyDiv w:val="1"/>
      <w:marLeft w:val="0"/>
      <w:marRight w:val="0"/>
      <w:marTop w:val="0"/>
      <w:marBottom w:val="0"/>
      <w:divBdr>
        <w:top w:val="none" w:sz="0" w:space="0" w:color="auto"/>
        <w:left w:val="none" w:sz="0" w:space="0" w:color="auto"/>
        <w:bottom w:val="none" w:sz="0" w:space="0" w:color="auto"/>
        <w:right w:val="none" w:sz="0" w:space="0" w:color="auto"/>
      </w:divBdr>
    </w:div>
    <w:div w:id="1762948602">
      <w:bodyDiv w:val="1"/>
      <w:marLeft w:val="0"/>
      <w:marRight w:val="0"/>
      <w:marTop w:val="0"/>
      <w:marBottom w:val="0"/>
      <w:divBdr>
        <w:top w:val="none" w:sz="0" w:space="0" w:color="auto"/>
        <w:left w:val="none" w:sz="0" w:space="0" w:color="auto"/>
        <w:bottom w:val="none" w:sz="0" w:space="0" w:color="auto"/>
        <w:right w:val="none" w:sz="0" w:space="0" w:color="auto"/>
      </w:divBdr>
      <w:divsChild>
        <w:div w:id="673070197">
          <w:marLeft w:val="0"/>
          <w:marRight w:val="0"/>
          <w:marTop w:val="0"/>
          <w:marBottom w:val="0"/>
          <w:divBdr>
            <w:top w:val="none" w:sz="0" w:space="0" w:color="auto"/>
            <w:left w:val="none" w:sz="0" w:space="0" w:color="auto"/>
            <w:bottom w:val="none" w:sz="0" w:space="0" w:color="auto"/>
            <w:right w:val="none" w:sz="0" w:space="0" w:color="auto"/>
          </w:divBdr>
        </w:div>
      </w:divsChild>
    </w:div>
    <w:div w:id="1764838155">
      <w:bodyDiv w:val="1"/>
      <w:marLeft w:val="0"/>
      <w:marRight w:val="0"/>
      <w:marTop w:val="0"/>
      <w:marBottom w:val="0"/>
      <w:divBdr>
        <w:top w:val="none" w:sz="0" w:space="0" w:color="auto"/>
        <w:left w:val="none" w:sz="0" w:space="0" w:color="auto"/>
        <w:bottom w:val="none" w:sz="0" w:space="0" w:color="auto"/>
        <w:right w:val="none" w:sz="0" w:space="0" w:color="auto"/>
      </w:divBdr>
      <w:divsChild>
        <w:div w:id="694968676">
          <w:marLeft w:val="0"/>
          <w:marRight w:val="0"/>
          <w:marTop w:val="0"/>
          <w:marBottom w:val="0"/>
          <w:divBdr>
            <w:top w:val="none" w:sz="0" w:space="0" w:color="auto"/>
            <w:left w:val="none" w:sz="0" w:space="0" w:color="auto"/>
            <w:bottom w:val="none" w:sz="0" w:space="0" w:color="auto"/>
            <w:right w:val="none" w:sz="0" w:space="0" w:color="auto"/>
          </w:divBdr>
          <w:divsChild>
            <w:div w:id="2041735930">
              <w:marLeft w:val="0"/>
              <w:marRight w:val="0"/>
              <w:marTop w:val="0"/>
              <w:marBottom w:val="0"/>
              <w:divBdr>
                <w:top w:val="none" w:sz="0" w:space="0" w:color="auto"/>
                <w:left w:val="none" w:sz="0" w:space="0" w:color="auto"/>
                <w:bottom w:val="none" w:sz="0" w:space="0" w:color="auto"/>
                <w:right w:val="none" w:sz="0" w:space="0" w:color="auto"/>
              </w:divBdr>
              <w:divsChild>
                <w:div w:id="450824462">
                  <w:marLeft w:val="0"/>
                  <w:marRight w:val="0"/>
                  <w:marTop w:val="0"/>
                  <w:marBottom w:val="0"/>
                  <w:divBdr>
                    <w:top w:val="none" w:sz="0" w:space="0" w:color="auto"/>
                    <w:left w:val="none" w:sz="0" w:space="0" w:color="auto"/>
                    <w:bottom w:val="none" w:sz="0" w:space="0" w:color="auto"/>
                    <w:right w:val="none" w:sz="0" w:space="0" w:color="auto"/>
                  </w:divBdr>
                  <w:divsChild>
                    <w:div w:id="660619679">
                      <w:marLeft w:val="0"/>
                      <w:marRight w:val="0"/>
                      <w:marTop w:val="0"/>
                      <w:marBottom w:val="0"/>
                      <w:divBdr>
                        <w:top w:val="none" w:sz="0" w:space="0" w:color="auto"/>
                        <w:left w:val="none" w:sz="0" w:space="0" w:color="auto"/>
                        <w:bottom w:val="none" w:sz="0" w:space="0" w:color="auto"/>
                        <w:right w:val="none" w:sz="0" w:space="0" w:color="auto"/>
                      </w:divBdr>
                    </w:div>
                    <w:div w:id="828522868">
                      <w:marLeft w:val="0"/>
                      <w:marRight w:val="0"/>
                      <w:marTop w:val="120"/>
                      <w:marBottom w:val="0"/>
                      <w:divBdr>
                        <w:top w:val="none" w:sz="0" w:space="0" w:color="auto"/>
                        <w:left w:val="none" w:sz="0" w:space="0" w:color="auto"/>
                        <w:bottom w:val="none" w:sz="0" w:space="0" w:color="auto"/>
                        <w:right w:val="none" w:sz="0" w:space="0" w:color="auto"/>
                      </w:divBdr>
                    </w:div>
                  </w:divsChild>
                </w:div>
                <w:div w:id="468286914">
                  <w:marLeft w:val="0"/>
                  <w:marRight w:val="0"/>
                  <w:marTop w:val="0"/>
                  <w:marBottom w:val="0"/>
                  <w:divBdr>
                    <w:top w:val="none" w:sz="0" w:space="0" w:color="auto"/>
                    <w:left w:val="none" w:sz="0" w:space="0" w:color="auto"/>
                    <w:bottom w:val="none" w:sz="0" w:space="0" w:color="auto"/>
                    <w:right w:val="none" w:sz="0" w:space="0" w:color="auto"/>
                  </w:divBdr>
                  <w:divsChild>
                    <w:div w:id="33142178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120"/>
                      <w:marBottom w:val="0"/>
                      <w:divBdr>
                        <w:top w:val="none" w:sz="0" w:space="0" w:color="auto"/>
                        <w:left w:val="none" w:sz="0" w:space="0" w:color="auto"/>
                        <w:bottom w:val="none" w:sz="0" w:space="0" w:color="auto"/>
                        <w:right w:val="none" w:sz="0" w:space="0" w:color="auto"/>
                      </w:divBdr>
                    </w:div>
                  </w:divsChild>
                </w:div>
                <w:div w:id="1570925380">
                  <w:marLeft w:val="0"/>
                  <w:marRight w:val="0"/>
                  <w:marTop w:val="0"/>
                  <w:marBottom w:val="0"/>
                  <w:divBdr>
                    <w:top w:val="none" w:sz="0" w:space="0" w:color="auto"/>
                    <w:left w:val="none" w:sz="0" w:space="0" w:color="auto"/>
                    <w:bottom w:val="none" w:sz="0" w:space="0" w:color="auto"/>
                    <w:right w:val="none" w:sz="0" w:space="0" w:color="auto"/>
                  </w:divBdr>
                  <w:divsChild>
                    <w:div w:id="1140683553">
                      <w:marLeft w:val="0"/>
                      <w:marRight w:val="0"/>
                      <w:marTop w:val="0"/>
                      <w:marBottom w:val="0"/>
                      <w:divBdr>
                        <w:top w:val="none" w:sz="0" w:space="0" w:color="auto"/>
                        <w:left w:val="none" w:sz="0" w:space="0" w:color="auto"/>
                        <w:bottom w:val="none" w:sz="0" w:space="0" w:color="auto"/>
                        <w:right w:val="none" w:sz="0" w:space="0" w:color="auto"/>
                      </w:divBdr>
                    </w:div>
                    <w:div w:id="1908614038">
                      <w:marLeft w:val="0"/>
                      <w:marRight w:val="0"/>
                      <w:marTop w:val="120"/>
                      <w:marBottom w:val="0"/>
                      <w:divBdr>
                        <w:top w:val="none" w:sz="0" w:space="0" w:color="auto"/>
                        <w:left w:val="none" w:sz="0" w:space="0" w:color="auto"/>
                        <w:bottom w:val="none" w:sz="0" w:space="0" w:color="auto"/>
                        <w:right w:val="none" w:sz="0" w:space="0" w:color="auto"/>
                      </w:divBdr>
                    </w:div>
                  </w:divsChild>
                </w:div>
                <w:div w:id="2024622178">
                  <w:marLeft w:val="0"/>
                  <w:marRight w:val="0"/>
                  <w:marTop w:val="0"/>
                  <w:marBottom w:val="0"/>
                  <w:divBdr>
                    <w:top w:val="none" w:sz="0" w:space="0" w:color="auto"/>
                    <w:left w:val="none" w:sz="0" w:space="0" w:color="auto"/>
                    <w:bottom w:val="none" w:sz="0" w:space="0" w:color="auto"/>
                    <w:right w:val="none" w:sz="0" w:space="0" w:color="auto"/>
                  </w:divBdr>
                  <w:divsChild>
                    <w:div w:id="843327657">
                      <w:marLeft w:val="0"/>
                      <w:marRight w:val="0"/>
                      <w:marTop w:val="120"/>
                      <w:marBottom w:val="0"/>
                      <w:divBdr>
                        <w:top w:val="none" w:sz="0" w:space="0" w:color="auto"/>
                        <w:left w:val="none" w:sz="0" w:space="0" w:color="auto"/>
                        <w:bottom w:val="none" w:sz="0" w:space="0" w:color="auto"/>
                        <w:right w:val="none" w:sz="0" w:space="0" w:color="auto"/>
                      </w:divBdr>
                    </w:div>
                    <w:div w:id="18456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265164">
      <w:bodyDiv w:val="1"/>
      <w:marLeft w:val="0"/>
      <w:marRight w:val="0"/>
      <w:marTop w:val="0"/>
      <w:marBottom w:val="0"/>
      <w:divBdr>
        <w:top w:val="none" w:sz="0" w:space="0" w:color="auto"/>
        <w:left w:val="none" w:sz="0" w:space="0" w:color="auto"/>
        <w:bottom w:val="none" w:sz="0" w:space="0" w:color="auto"/>
        <w:right w:val="none" w:sz="0" w:space="0" w:color="auto"/>
      </w:divBdr>
      <w:divsChild>
        <w:div w:id="1532957450">
          <w:marLeft w:val="0"/>
          <w:marRight w:val="0"/>
          <w:marTop w:val="0"/>
          <w:marBottom w:val="0"/>
          <w:divBdr>
            <w:top w:val="none" w:sz="0" w:space="0" w:color="auto"/>
            <w:left w:val="none" w:sz="0" w:space="0" w:color="auto"/>
            <w:bottom w:val="none" w:sz="0" w:space="0" w:color="auto"/>
            <w:right w:val="none" w:sz="0" w:space="0" w:color="auto"/>
          </w:divBdr>
          <w:divsChild>
            <w:div w:id="45799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62953">
      <w:bodyDiv w:val="1"/>
      <w:marLeft w:val="0"/>
      <w:marRight w:val="0"/>
      <w:marTop w:val="0"/>
      <w:marBottom w:val="0"/>
      <w:divBdr>
        <w:top w:val="none" w:sz="0" w:space="0" w:color="auto"/>
        <w:left w:val="none" w:sz="0" w:space="0" w:color="auto"/>
        <w:bottom w:val="none" w:sz="0" w:space="0" w:color="auto"/>
        <w:right w:val="none" w:sz="0" w:space="0" w:color="auto"/>
      </w:divBdr>
      <w:divsChild>
        <w:div w:id="1235237147">
          <w:marLeft w:val="0"/>
          <w:marRight w:val="0"/>
          <w:marTop w:val="0"/>
          <w:marBottom w:val="0"/>
          <w:divBdr>
            <w:top w:val="none" w:sz="0" w:space="0" w:color="auto"/>
            <w:left w:val="none" w:sz="0" w:space="0" w:color="auto"/>
            <w:bottom w:val="none" w:sz="0" w:space="0" w:color="auto"/>
            <w:right w:val="none" w:sz="0" w:space="0" w:color="auto"/>
          </w:divBdr>
          <w:divsChild>
            <w:div w:id="518274799">
              <w:marLeft w:val="0"/>
              <w:marRight w:val="0"/>
              <w:marTop w:val="0"/>
              <w:marBottom w:val="0"/>
              <w:divBdr>
                <w:top w:val="none" w:sz="0" w:space="0" w:color="auto"/>
                <w:left w:val="none" w:sz="0" w:space="0" w:color="auto"/>
                <w:bottom w:val="none" w:sz="0" w:space="0" w:color="auto"/>
                <w:right w:val="none" w:sz="0" w:space="0" w:color="auto"/>
              </w:divBdr>
              <w:divsChild>
                <w:div w:id="737674879">
                  <w:marLeft w:val="0"/>
                  <w:marRight w:val="0"/>
                  <w:marTop w:val="120"/>
                  <w:marBottom w:val="0"/>
                  <w:divBdr>
                    <w:top w:val="none" w:sz="0" w:space="0" w:color="auto"/>
                    <w:left w:val="none" w:sz="0" w:space="0" w:color="auto"/>
                    <w:bottom w:val="none" w:sz="0" w:space="0" w:color="auto"/>
                    <w:right w:val="none" w:sz="0" w:space="0" w:color="auto"/>
                  </w:divBdr>
                </w:div>
                <w:div w:id="1163161659">
                  <w:marLeft w:val="0"/>
                  <w:marRight w:val="0"/>
                  <w:marTop w:val="0"/>
                  <w:marBottom w:val="0"/>
                  <w:divBdr>
                    <w:top w:val="none" w:sz="0" w:space="0" w:color="auto"/>
                    <w:left w:val="none" w:sz="0" w:space="0" w:color="auto"/>
                    <w:bottom w:val="none" w:sz="0" w:space="0" w:color="auto"/>
                    <w:right w:val="none" w:sz="0" w:space="0" w:color="auto"/>
                  </w:divBdr>
                  <w:divsChild>
                    <w:div w:id="776170745">
                      <w:marLeft w:val="0"/>
                      <w:marRight w:val="0"/>
                      <w:marTop w:val="0"/>
                      <w:marBottom w:val="0"/>
                      <w:divBdr>
                        <w:top w:val="none" w:sz="0" w:space="0" w:color="auto"/>
                        <w:left w:val="none" w:sz="0" w:space="0" w:color="auto"/>
                        <w:bottom w:val="none" w:sz="0" w:space="0" w:color="auto"/>
                        <w:right w:val="none" w:sz="0" w:space="0" w:color="auto"/>
                      </w:divBdr>
                      <w:divsChild>
                        <w:div w:id="1000548970">
                          <w:marLeft w:val="0"/>
                          <w:marRight w:val="0"/>
                          <w:marTop w:val="0"/>
                          <w:marBottom w:val="0"/>
                          <w:divBdr>
                            <w:top w:val="none" w:sz="0" w:space="0" w:color="auto"/>
                            <w:left w:val="none" w:sz="0" w:space="0" w:color="auto"/>
                            <w:bottom w:val="none" w:sz="0" w:space="0" w:color="auto"/>
                            <w:right w:val="none" w:sz="0" w:space="0" w:color="auto"/>
                          </w:divBdr>
                        </w:div>
                        <w:div w:id="1256016659">
                          <w:marLeft w:val="0"/>
                          <w:marRight w:val="0"/>
                          <w:marTop w:val="120"/>
                          <w:marBottom w:val="0"/>
                          <w:divBdr>
                            <w:top w:val="none" w:sz="0" w:space="0" w:color="auto"/>
                            <w:left w:val="none" w:sz="0" w:space="0" w:color="auto"/>
                            <w:bottom w:val="none" w:sz="0" w:space="0" w:color="auto"/>
                            <w:right w:val="none" w:sz="0" w:space="0" w:color="auto"/>
                          </w:divBdr>
                        </w:div>
                      </w:divsChild>
                    </w:div>
                    <w:div w:id="877855019">
                      <w:marLeft w:val="0"/>
                      <w:marRight w:val="0"/>
                      <w:marTop w:val="0"/>
                      <w:marBottom w:val="0"/>
                      <w:divBdr>
                        <w:top w:val="none" w:sz="0" w:space="0" w:color="auto"/>
                        <w:left w:val="none" w:sz="0" w:space="0" w:color="auto"/>
                        <w:bottom w:val="none" w:sz="0" w:space="0" w:color="auto"/>
                        <w:right w:val="none" w:sz="0" w:space="0" w:color="auto"/>
                      </w:divBdr>
                      <w:divsChild>
                        <w:div w:id="610205924">
                          <w:marLeft w:val="0"/>
                          <w:marRight w:val="0"/>
                          <w:marTop w:val="0"/>
                          <w:marBottom w:val="0"/>
                          <w:divBdr>
                            <w:top w:val="none" w:sz="0" w:space="0" w:color="auto"/>
                            <w:left w:val="none" w:sz="0" w:space="0" w:color="auto"/>
                            <w:bottom w:val="none" w:sz="0" w:space="0" w:color="auto"/>
                            <w:right w:val="none" w:sz="0" w:space="0" w:color="auto"/>
                          </w:divBdr>
                        </w:div>
                        <w:div w:id="2072146566">
                          <w:marLeft w:val="0"/>
                          <w:marRight w:val="0"/>
                          <w:marTop w:val="120"/>
                          <w:marBottom w:val="0"/>
                          <w:divBdr>
                            <w:top w:val="none" w:sz="0" w:space="0" w:color="auto"/>
                            <w:left w:val="none" w:sz="0" w:space="0" w:color="auto"/>
                            <w:bottom w:val="none" w:sz="0" w:space="0" w:color="auto"/>
                            <w:right w:val="none" w:sz="0" w:space="0" w:color="auto"/>
                          </w:divBdr>
                        </w:div>
                      </w:divsChild>
                    </w:div>
                    <w:div w:id="1947541012">
                      <w:marLeft w:val="0"/>
                      <w:marRight w:val="0"/>
                      <w:marTop w:val="0"/>
                      <w:marBottom w:val="0"/>
                      <w:divBdr>
                        <w:top w:val="none" w:sz="0" w:space="0" w:color="auto"/>
                        <w:left w:val="none" w:sz="0" w:space="0" w:color="auto"/>
                        <w:bottom w:val="none" w:sz="0" w:space="0" w:color="auto"/>
                        <w:right w:val="none" w:sz="0" w:space="0" w:color="auto"/>
                      </w:divBdr>
                      <w:divsChild>
                        <w:div w:id="922839771">
                          <w:marLeft w:val="0"/>
                          <w:marRight w:val="0"/>
                          <w:marTop w:val="120"/>
                          <w:marBottom w:val="0"/>
                          <w:divBdr>
                            <w:top w:val="none" w:sz="0" w:space="0" w:color="auto"/>
                            <w:left w:val="none" w:sz="0" w:space="0" w:color="auto"/>
                            <w:bottom w:val="none" w:sz="0" w:space="0" w:color="auto"/>
                            <w:right w:val="none" w:sz="0" w:space="0" w:color="auto"/>
                          </w:divBdr>
                        </w:div>
                        <w:div w:id="19364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6091">
              <w:marLeft w:val="0"/>
              <w:marRight w:val="0"/>
              <w:marTop w:val="0"/>
              <w:marBottom w:val="0"/>
              <w:divBdr>
                <w:top w:val="none" w:sz="0" w:space="0" w:color="auto"/>
                <w:left w:val="none" w:sz="0" w:space="0" w:color="auto"/>
                <w:bottom w:val="none" w:sz="0" w:space="0" w:color="auto"/>
                <w:right w:val="none" w:sz="0" w:space="0" w:color="auto"/>
              </w:divBdr>
              <w:divsChild>
                <w:div w:id="1092507272">
                  <w:marLeft w:val="0"/>
                  <w:marRight w:val="0"/>
                  <w:marTop w:val="0"/>
                  <w:marBottom w:val="0"/>
                  <w:divBdr>
                    <w:top w:val="none" w:sz="0" w:space="0" w:color="auto"/>
                    <w:left w:val="none" w:sz="0" w:space="0" w:color="auto"/>
                    <w:bottom w:val="none" w:sz="0" w:space="0" w:color="auto"/>
                    <w:right w:val="none" w:sz="0" w:space="0" w:color="auto"/>
                  </w:divBdr>
                </w:div>
                <w:div w:id="1860000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7097456">
      <w:bodyDiv w:val="1"/>
      <w:marLeft w:val="0"/>
      <w:marRight w:val="0"/>
      <w:marTop w:val="0"/>
      <w:marBottom w:val="0"/>
      <w:divBdr>
        <w:top w:val="none" w:sz="0" w:space="0" w:color="auto"/>
        <w:left w:val="none" w:sz="0" w:space="0" w:color="auto"/>
        <w:bottom w:val="none" w:sz="0" w:space="0" w:color="auto"/>
        <w:right w:val="none" w:sz="0" w:space="0" w:color="auto"/>
      </w:divBdr>
      <w:divsChild>
        <w:div w:id="1143499339">
          <w:marLeft w:val="0"/>
          <w:marRight w:val="0"/>
          <w:marTop w:val="0"/>
          <w:marBottom w:val="0"/>
          <w:divBdr>
            <w:top w:val="none" w:sz="0" w:space="0" w:color="auto"/>
            <w:left w:val="none" w:sz="0" w:space="0" w:color="auto"/>
            <w:bottom w:val="none" w:sz="0" w:space="0" w:color="auto"/>
            <w:right w:val="none" w:sz="0" w:space="0" w:color="auto"/>
          </w:divBdr>
        </w:div>
      </w:divsChild>
    </w:div>
    <w:div w:id="1786121984">
      <w:bodyDiv w:val="1"/>
      <w:marLeft w:val="0"/>
      <w:marRight w:val="0"/>
      <w:marTop w:val="0"/>
      <w:marBottom w:val="0"/>
      <w:divBdr>
        <w:top w:val="none" w:sz="0" w:space="0" w:color="auto"/>
        <w:left w:val="none" w:sz="0" w:space="0" w:color="auto"/>
        <w:bottom w:val="none" w:sz="0" w:space="0" w:color="auto"/>
        <w:right w:val="none" w:sz="0" w:space="0" w:color="auto"/>
      </w:divBdr>
      <w:divsChild>
        <w:div w:id="1779643091">
          <w:marLeft w:val="0"/>
          <w:marRight w:val="0"/>
          <w:marTop w:val="0"/>
          <w:marBottom w:val="0"/>
          <w:divBdr>
            <w:top w:val="none" w:sz="0" w:space="0" w:color="auto"/>
            <w:left w:val="none" w:sz="0" w:space="0" w:color="auto"/>
            <w:bottom w:val="none" w:sz="0" w:space="0" w:color="auto"/>
            <w:right w:val="none" w:sz="0" w:space="0" w:color="auto"/>
          </w:divBdr>
        </w:div>
      </w:divsChild>
    </w:div>
    <w:div w:id="1789928513">
      <w:bodyDiv w:val="1"/>
      <w:marLeft w:val="0"/>
      <w:marRight w:val="0"/>
      <w:marTop w:val="0"/>
      <w:marBottom w:val="0"/>
      <w:divBdr>
        <w:top w:val="none" w:sz="0" w:space="0" w:color="auto"/>
        <w:left w:val="none" w:sz="0" w:space="0" w:color="auto"/>
        <w:bottom w:val="none" w:sz="0" w:space="0" w:color="auto"/>
        <w:right w:val="none" w:sz="0" w:space="0" w:color="auto"/>
      </w:divBdr>
      <w:divsChild>
        <w:div w:id="760178921">
          <w:marLeft w:val="0"/>
          <w:marRight w:val="0"/>
          <w:marTop w:val="0"/>
          <w:marBottom w:val="0"/>
          <w:divBdr>
            <w:top w:val="none" w:sz="0" w:space="0" w:color="auto"/>
            <w:left w:val="none" w:sz="0" w:space="0" w:color="auto"/>
            <w:bottom w:val="none" w:sz="0" w:space="0" w:color="auto"/>
            <w:right w:val="none" w:sz="0" w:space="0" w:color="auto"/>
          </w:divBdr>
        </w:div>
      </w:divsChild>
    </w:div>
    <w:div w:id="1795445341">
      <w:bodyDiv w:val="1"/>
      <w:marLeft w:val="0"/>
      <w:marRight w:val="0"/>
      <w:marTop w:val="0"/>
      <w:marBottom w:val="0"/>
      <w:divBdr>
        <w:top w:val="none" w:sz="0" w:space="0" w:color="auto"/>
        <w:left w:val="none" w:sz="0" w:space="0" w:color="auto"/>
        <w:bottom w:val="none" w:sz="0" w:space="0" w:color="auto"/>
        <w:right w:val="none" w:sz="0" w:space="0" w:color="auto"/>
      </w:divBdr>
      <w:divsChild>
        <w:div w:id="1348100856">
          <w:marLeft w:val="0"/>
          <w:marRight w:val="0"/>
          <w:marTop w:val="0"/>
          <w:marBottom w:val="0"/>
          <w:divBdr>
            <w:top w:val="none" w:sz="0" w:space="0" w:color="auto"/>
            <w:left w:val="none" w:sz="0" w:space="0" w:color="auto"/>
            <w:bottom w:val="none" w:sz="0" w:space="0" w:color="auto"/>
            <w:right w:val="none" w:sz="0" w:space="0" w:color="auto"/>
          </w:divBdr>
          <w:divsChild>
            <w:div w:id="453133365">
              <w:marLeft w:val="0"/>
              <w:marRight w:val="0"/>
              <w:marTop w:val="0"/>
              <w:marBottom w:val="0"/>
              <w:divBdr>
                <w:top w:val="none" w:sz="0" w:space="0" w:color="auto"/>
                <w:left w:val="none" w:sz="0" w:space="0" w:color="auto"/>
                <w:bottom w:val="none" w:sz="0" w:space="0" w:color="auto"/>
                <w:right w:val="none" w:sz="0" w:space="0" w:color="auto"/>
              </w:divBdr>
              <w:divsChild>
                <w:div w:id="54934811">
                  <w:marLeft w:val="0"/>
                  <w:marRight w:val="0"/>
                  <w:marTop w:val="120"/>
                  <w:marBottom w:val="0"/>
                  <w:divBdr>
                    <w:top w:val="none" w:sz="0" w:space="0" w:color="auto"/>
                    <w:left w:val="none" w:sz="0" w:space="0" w:color="auto"/>
                    <w:bottom w:val="none" w:sz="0" w:space="0" w:color="auto"/>
                    <w:right w:val="none" w:sz="0" w:space="0" w:color="auto"/>
                  </w:divBdr>
                </w:div>
                <w:div w:id="1519198835">
                  <w:marLeft w:val="0"/>
                  <w:marRight w:val="0"/>
                  <w:marTop w:val="0"/>
                  <w:marBottom w:val="0"/>
                  <w:divBdr>
                    <w:top w:val="none" w:sz="0" w:space="0" w:color="auto"/>
                    <w:left w:val="none" w:sz="0" w:space="0" w:color="auto"/>
                    <w:bottom w:val="none" w:sz="0" w:space="0" w:color="auto"/>
                    <w:right w:val="none" w:sz="0" w:space="0" w:color="auto"/>
                  </w:divBdr>
                </w:div>
              </w:divsChild>
            </w:div>
            <w:div w:id="533494329">
              <w:marLeft w:val="0"/>
              <w:marRight w:val="0"/>
              <w:marTop w:val="0"/>
              <w:marBottom w:val="0"/>
              <w:divBdr>
                <w:top w:val="none" w:sz="0" w:space="0" w:color="auto"/>
                <w:left w:val="none" w:sz="0" w:space="0" w:color="auto"/>
                <w:bottom w:val="none" w:sz="0" w:space="0" w:color="auto"/>
                <w:right w:val="none" w:sz="0" w:space="0" w:color="auto"/>
              </w:divBdr>
              <w:divsChild>
                <w:div w:id="646589631">
                  <w:marLeft w:val="0"/>
                  <w:marRight w:val="0"/>
                  <w:marTop w:val="0"/>
                  <w:marBottom w:val="0"/>
                  <w:divBdr>
                    <w:top w:val="none" w:sz="0" w:space="0" w:color="auto"/>
                    <w:left w:val="none" w:sz="0" w:space="0" w:color="auto"/>
                    <w:bottom w:val="none" w:sz="0" w:space="0" w:color="auto"/>
                    <w:right w:val="none" w:sz="0" w:space="0" w:color="auto"/>
                  </w:divBdr>
                </w:div>
                <w:div w:id="2139294632">
                  <w:marLeft w:val="0"/>
                  <w:marRight w:val="0"/>
                  <w:marTop w:val="120"/>
                  <w:marBottom w:val="0"/>
                  <w:divBdr>
                    <w:top w:val="none" w:sz="0" w:space="0" w:color="auto"/>
                    <w:left w:val="none" w:sz="0" w:space="0" w:color="auto"/>
                    <w:bottom w:val="none" w:sz="0" w:space="0" w:color="auto"/>
                    <w:right w:val="none" w:sz="0" w:space="0" w:color="auto"/>
                  </w:divBdr>
                </w:div>
              </w:divsChild>
            </w:div>
            <w:div w:id="1379932041">
              <w:marLeft w:val="0"/>
              <w:marRight w:val="0"/>
              <w:marTop w:val="0"/>
              <w:marBottom w:val="0"/>
              <w:divBdr>
                <w:top w:val="none" w:sz="0" w:space="0" w:color="auto"/>
                <w:left w:val="none" w:sz="0" w:space="0" w:color="auto"/>
                <w:bottom w:val="none" w:sz="0" w:space="0" w:color="auto"/>
                <w:right w:val="none" w:sz="0" w:space="0" w:color="auto"/>
              </w:divBdr>
              <w:divsChild>
                <w:div w:id="625546414">
                  <w:marLeft w:val="0"/>
                  <w:marRight w:val="0"/>
                  <w:marTop w:val="0"/>
                  <w:marBottom w:val="0"/>
                  <w:divBdr>
                    <w:top w:val="none" w:sz="0" w:space="0" w:color="auto"/>
                    <w:left w:val="none" w:sz="0" w:space="0" w:color="auto"/>
                    <w:bottom w:val="none" w:sz="0" w:space="0" w:color="auto"/>
                    <w:right w:val="none" w:sz="0" w:space="0" w:color="auto"/>
                  </w:divBdr>
                </w:div>
                <w:div w:id="849223446">
                  <w:marLeft w:val="0"/>
                  <w:marRight w:val="0"/>
                  <w:marTop w:val="120"/>
                  <w:marBottom w:val="0"/>
                  <w:divBdr>
                    <w:top w:val="none" w:sz="0" w:space="0" w:color="auto"/>
                    <w:left w:val="none" w:sz="0" w:space="0" w:color="auto"/>
                    <w:bottom w:val="none" w:sz="0" w:space="0" w:color="auto"/>
                    <w:right w:val="none" w:sz="0" w:space="0" w:color="auto"/>
                  </w:divBdr>
                </w:div>
              </w:divsChild>
            </w:div>
            <w:div w:id="1972204732">
              <w:marLeft w:val="0"/>
              <w:marRight w:val="0"/>
              <w:marTop w:val="0"/>
              <w:marBottom w:val="0"/>
              <w:divBdr>
                <w:top w:val="none" w:sz="0" w:space="0" w:color="auto"/>
                <w:left w:val="none" w:sz="0" w:space="0" w:color="auto"/>
                <w:bottom w:val="none" w:sz="0" w:space="0" w:color="auto"/>
                <w:right w:val="none" w:sz="0" w:space="0" w:color="auto"/>
              </w:divBdr>
              <w:divsChild>
                <w:div w:id="41254367">
                  <w:marLeft w:val="0"/>
                  <w:marRight w:val="0"/>
                  <w:marTop w:val="120"/>
                  <w:marBottom w:val="0"/>
                  <w:divBdr>
                    <w:top w:val="none" w:sz="0" w:space="0" w:color="auto"/>
                    <w:left w:val="none" w:sz="0" w:space="0" w:color="auto"/>
                    <w:bottom w:val="none" w:sz="0" w:space="0" w:color="auto"/>
                    <w:right w:val="none" w:sz="0" w:space="0" w:color="auto"/>
                  </w:divBdr>
                </w:div>
                <w:div w:id="113642003">
                  <w:marLeft w:val="0"/>
                  <w:marRight w:val="0"/>
                  <w:marTop w:val="0"/>
                  <w:marBottom w:val="0"/>
                  <w:divBdr>
                    <w:top w:val="none" w:sz="0" w:space="0" w:color="auto"/>
                    <w:left w:val="none" w:sz="0" w:space="0" w:color="auto"/>
                    <w:bottom w:val="none" w:sz="0" w:space="0" w:color="auto"/>
                    <w:right w:val="none" w:sz="0" w:space="0" w:color="auto"/>
                  </w:divBdr>
                  <w:divsChild>
                    <w:div w:id="411507110">
                      <w:marLeft w:val="0"/>
                      <w:marRight w:val="0"/>
                      <w:marTop w:val="0"/>
                      <w:marBottom w:val="0"/>
                      <w:divBdr>
                        <w:top w:val="none" w:sz="0" w:space="0" w:color="auto"/>
                        <w:left w:val="none" w:sz="0" w:space="0" w:color="auto"/>
                        <w:bottom w:val="none" w:sz="0" w:space="0" w:color="auto"/>
                        <w:right w:val="none" w:sz="0" w:space="0" w:color="auto"/>
                      </w:divBdr>
                      <w:divsChild>
                        <w:div w:id="1943875254">
                          <w:marLeft w:val="0"/>
                          <w:marRight w:val="0"/>
                          <w:marTop w:val="120"/>
                          <w:marBottom w:val="0"/>
                          <w:divBdr>
                            <w:top w:val="none" w:sz="0" w:space="0" w:color="auto"/>
                            <w:left w:val="none" w:sz="0" w:space="0" w:color="auto"/>
                            <w:bottom w:val="none" w:sz="0" w:space="0" w:color="auto"/>
                            <w:right w:val="none" w:sz="0" w:space="0" w:color="auto"/>
                          </w:divBdr>
                        </w:div>
                        <w:div w:id="2146005327">
                          <w:marLeft w:val="0"/>
                          <w:marRight w:val="0"/>
                          <w:marTop w:val="0"/>
                          <w:marBottom w:val="0"/>
                          <w:divBdr>
                            <w:top w:val="none" w:sz="0" w:space="0" w:color="auto"/>
                            <w:left w:val="none" w:sz="0" w:space="0" w:color="auto"/>
                            <w:bottom w:val="none" w:sz="0" w:space="0" w:color="auto"/>
                            <w:right w:val="none" w:sz="0" w:space="0" w:color="auto"/>
                          </w:divBdr>
                        </w:div>
                      </w:divsChild>
                    </w:div>
                    <w:div w:id="1268581909">
                      <w:marLeft w:val="0"/>
                      <w:marRight w:val="0"/>
                      <w:marTop w:val="0"/>
                      <w:marBottom w:val="0"/>
                      <w:divBdr>
                        <w:top w:val="none" w:sz="0" w:space="0" w:color="auto"/>
                        <w:left w:val="none" w:sz="0" w:space="0" w:color="auto"/>
                        <w:bottom w:val="none" w:sz="0" w:space="0" w:color="auto"/>
                        <w:right w:val="none" w:sz="0" w:space="0" w:color="auto"/>
                      </w:divBdr>
                      <w:divsChild>
                        <w:div w:id="139275368">
                          <w:marLeft w:val="0"/>
                          <w:marRight w:val="0"/>
                          <w:marTop w:val="120"/>
                          <w:marBottom w:val="0"/>
                          <w:divBdr>
                            <w:top w:val="none" w:sz="0" w:space="0" w:color="auto"/>
                            <w:left w:val="none" w:sz="0" w:space="0" w:color="auto"/>
                            <w:bottom w:val="none" w:sz="0" w:space="0" w:color="auto"/>
                            <w:right w:val="none" w:sz="0" w:space="0" w:color="auto"/>
                          </w:divBdr>
                        </w:div>
                        <w:div w:id="597912222">
                          <w:marLeft w:val="0"/>
                          <w:marRight w:val="0"/>
                          <w:marTop w:val="0"/>
                          <w:marBottom w:val="0"/>
                          <w:divBdr>
                            <w:top w:val="none" w:sz="0" w:space="0" w:color="auto"/>
                            <w:left w:val="none" w:sz="0" w:space="0" w:color="auto"/>
                            <w:bottom w:val="none" w:sz="0" w:space="0" w:color="auto"/>
                            <w:right w:val="none" w:sz="0" w:space="0" w:color="auto"/>
                          </w:divBdr>
                        </w:div>
                      </w:divsChild>
                    </w:div>
                    <w:div w:id="1544513162">
                      <w:marLeft w:val="0"/>
                      <w:marRight w:val="0"/>
                      <w:marTop w:val="0"/>
                      <w:marBottom w:val="0"/>
                      <w:divBdr>
                        <w:top w:val="none" w:sz="0" w:space="0" w:color="auto"/>
                        <w:left w:val="none" w:sz="0" w:space="0" w:color="auto"/>
                        <w:bottom w:val="none" w:sz="0" w:space="0" w:color="auto"/>
                        <w:right w:val="none" w:sz="0" w:space="0" w:color="auto"/>
                      </w:divBdr>
                      <w:divsChild>
                        <w:div w:id="65348536">
                          <w:marLeft w:val="0"/>
                          <w:marRight w:val="0"/>
                          <w:marTop w:val="0"/>
                          <w:marBottom w:val="0"/>
                          <w:divBdr>
                            <w:top w:val="none" w:sz="0" w:space="0" w:color="auto"/>
                            <w:left w:val="none" w:sz="0" w:space="0" w:color="auto"/>
                            <w:bottom w:val="none" w:sz="0" w:space="0" w:color="auto"/>
                            <w:right w:val="none" w:sz="0" w:space="0" w:color="auto"/>
                          </w:divBdr>
                        </w:div>
                        <w:div w:id="16810076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138789">
      <w:bodyDiv w:val="1"/>
      <w:marLeft w:val="0"/>
      <w:marRight w:val="0"/>
      <w:marTop w:val="0"/>
      <w:marBottom w:val="0"/>
      <w:divBdr>
        <w:top w:val="none" w:sz="0" w:space="0" w:color="auto"/>
        <w:left w:val="none" w:sz="0" w:space="0" w:color="auto"/>
        <w:bottom w:val="none" w:sz="0" w:space="0" w:color="auto"/>
        <w:right w:val="none" w:sz="0" w:space="0" w:color="auto"/>
      </w:divBdr>
      <w:divsChild>
        <w:div w:id="1918129427">
          <w:marLeft w:val="0"/>
          <w:marRight w:val="0"/>
          <w:marTop w:val="0"/>
          <w:marBottom w:val="0"/>
          <w:divBdr>
            <w:top w:val="none" w:sz="0" w:space="0" w:color="auto"/>
            <w:left w:val="none" w:sz="0" w:space="0" w:color="auto"/>
            <w:bottom w:val="none" w:sz="0" w:space="0" w:color="auto"/>
            <w:right w:val="none" w:sz="0" w:space="0" w:color="auto"/>
          </w:divBdr>
          <w:divsChild>
            <w:div w:id="375741733">
              <w:marLeft w:val="0"/>
              <w:marRight w:val="0"/>
              <w:marTop w:val="0"/>
              <w:marBottom w:val="0"/>
              <w:divBdr>
                <w:top w:val="none" w:sz="0" w:space="0" w:color="auto"/>
                <w:left w:val="none" w:sz="0" w:space="0" w:color="auto"/>
                <w:bottom w:val="none" w:sz="0" w:space="0" w:color="auto"/>
                <w:right w:val="none" w:sz="0" w:space="0" w:color="auto"/>
              </w:divBdr>
              <w:divsChild>
                <w:div w:id="495154064">
                  <w:marLeft w:val="0"/>
                  <w:marRight w:val="0"/>
                  <w:marTop w:val="0"/>
                  <w:marBottom w:val="0"/>
                  <w:divBdr>
                    <w:top w:val="none" w:sz="0" w:space="0" w:color="auto"/>
                    <w:left w:val="none" w:sz="0" w:space="0" w:color="auto"/>
                    <w:bottom w:val="none" w:sz="0" w:space="0" w:color="auto"/>
                    <w:right w:val="none" w:sz="0" w:space="0" w:color="auto"/>
                  </w:divBdr>
                  <w:divsChild>
                    <w:div w:id="338433536">
                      <w:marLeft w:val="0"/>
                      <w:marRight w:val="0"/>
                      <w:marTop w:val="0"/>
                      <w:marBottom w:val="0"/>
                      <w:divBdr>
                        <w:top w:val="none" w:sz="0" w:space="0" w:color="auto"/>
                        <w:left w:val="none" w:sz="0" w:space="0" w:color="auto"/>
                        <w:bottom w:val="none" w:sz="0" w:space="0" w:color="auto"/>
                        <w:right w:val="none" w:sz="0" w:space="0" w:color="auto"/>
                      </w:divBdr>
                    </w:div>
                    <w:div w:id="1330521525">
                      <w:marLeft w:val="0"/>
                      <w:marRight w:val="0"/>
                      <w:marTop w:val="120"/>
                      <w:marBottom w:val="0"/>
                      <w:divBdr>
                        <w:top w:val="none" w:sz="0" w:space="0" w:color="auto"/>
                        <w:left w:val="none" w:sz="0" w:space="0" w:color="auto"/>
                        <w:bottom w:val="none" w:sz="0" w:space="0" w:color="auto"/>
                        <w:right w:val="none" w:sz="0" w:space="0" w:color="auto"/>
                      </w:divBdr>
                    </w:div>
                  </w:divsChild>
                </w:div>
                <w:div w:id="1117604274">
                  <w:marLeft w:val="0"/>
                  <w:marRight w:val="0"/>
                  <w:marTop w:val="0"/>
                  <w:marBottom w:val="0"/>
                  <w:divBdr>
                    <w:top w:val="none" w:sz="0" w:space="0" w:color="auto"/>
                    <w:left w:val="none" w:sz="0" w:space="0" w:color="auto"/>
                    <w:bottom w:val="none" w:sz="0" w:space="0" w:color="auto"/>
                    <w:right w:val="none" w:sz="0" w:space="0" w:color="auto"/>
                  </w:divBdr>
                  <w:divsChild>
                    <w:div w:id="382101062">
                      <w:marLeft w:val="0"/>
                      <w:marRight w:val="0"/>
                      <w:marTop w:val="0"/>
                      <w:marBottom w:val="0"/>
                      <w:divBdr>
                        <w:top w:val="none" w:sz="0" w:space="0" w:color="auto"/>
                        <w:left w:val="none" w:sz="0" w:space="0" w:color="auto"/>
                        <w:bottom w:val="none" w:sz="0" w:space="0" w:color="auto"/>
                        <w:right w:val="none" w:sz="0" w:space="0" w:color="auto"/>
                      </w:divBdr>
                    </w:div>
                    <w:div w:id="576020427">
                      <w:marLeft w:val="0"/>
                      <w:marRight w:val="0"/>
                      <w:marTop w:val="120"/>
                      <w:marBottom w:val="0"/>
                      <w:divBdr>
                        <w:top w:val="none" w:sz="0" w:space="0" w:color="auto"/>
                        <w:left w:val="none" w:sz="0" w:space="0" w:color="auto"/>
                        <w:bottom w:val="none" w:sz="0" w:space="0" w:color="auto"/>
                        <w:right w:val="none" w:sz="0" w:space="0" w:color="auto"/>
                      </w:divBdr>
                    </w:div>
                  </w:divsChild>
                </w:div>
                <w:div w:id="1441686706">
                  <w:marLeft w:val="0"/>
                  <w:marRight w:val="0"/>
                  <w:marTop w:val="0"/>
                  <w:marBottom w:val="0"/>
                  <w:divBdr>
                    <w:top w:val="none" w:sz="0" w:space="0" w:color="auto"/>
                    <w:left w:val="none" w:sz="0" w:space="0" w:color="auto"/>
                    <w:bottom w:val="none" w:sz="0" w:space="0" w:color="auto"/>
                    <w:right w:val="none" w:sz="0" w:space="0" w:color="auto"/>
                  </w:divBdr>
                  <w:divsChild>
                    <w:div w:id="1136680465">
                      <w:marLeft w:val="0"/>
                      <w:marRight w:val="0"/>
                      <w:marTop w:val="0"/>
                      <w:marBottom w:val="0"/>
                      <w:divBdr>
                        <w:top w:val="none" w:sz="0" w:space="0" w:color="auto"/>
                        <w:left w:val="none" w:sz="0" w:space="0" w:color="auto"/>
                        <w:bottom w:val="none" w:sz="0" w:space="0" w:color="auto"/>
                        <w:right w:val="none" w:sz="0" w:space="0" w:color="auto"/>
                      </w:divBdr>
                    </w:div>
                    <w:div w:id="12107310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97521892">
      <w:bodyDiv w:val="1"/>
      <w:marLeft w:val="0"/>
      <w:marRight w:val="0"/>
      <w:marTop w:val="0"/>
      <w:marBottom w:val="0"/>
      <w:divBdr>
        <w:top w:val="none" w:sz="0" w:space="0" w:color="auto"/>
        <w:left w:val="none" w:sz="0" w:space="0" w:color="auto"/>
        <w:bottom w:val="none" w:sz="0" w:space="0" w:color="auto"/>
        <w:right w:val="none" w:sz="0" w:space="0" w:color="auto"/>
      </w:divBdr>
      <w:divsChild>
        <w:div w:id="2140100944">
          <w:marLeft w:val="0"/>
          <w:marRight w:val="0"/>
          <w:marTop w:val="0"/>
          <w:marBottom w:val="0"/>
          <w:divBdr>
            <w:top w:val="none" w:sz="0" w:space="0" w:color="auto"/>
            <w:left w:val="none" w:sz="0" w:space="0" w:color="auto"/>
            <w:bottom w:val="none" w:sz="0" w:space="0" w:color="auto"/>
            <w:right w:val="none" w:sz="0" w:space="0" w:color="auto"/>
          </w:divBdr>
          <w:divsChild>
            <w:div w:id="2452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3273">
      <w:bodyDiv w:val="1"/>
      <w:marLeft w:val="0"/>
      <w:marRight w:val="0"/>
      <w:marTop w:val="0"/>
      <w:marBottom w:val="0"/>
      <w:divBdr>
        <w:top w:val="none" w:sz="0" w:space="0" w:color="auto"/>
        <w:left w:val="none" w:sz="0" w:space="0" w:color="auto"/>
        <w:bottom w:val="none" w:sz="0" w:space="0" w:color="auto"/>
        <w:right w:val="none" w:sz="0" w:space="0" w:color="auto"/>
      </w:divBdr>
      <w:divsChild>
        <w:div w:id="944270833">
          <w:marLeft w:val="0"/>
          <w:marRight w:val="0"/>
          <w:marTop w:val="0"/>
          <w:marBottom w:val="0"/>
          <w:divBdr>
            <w:top w:val="none" w:sz="0" w:space="0" w:color="auto"/>
            <w:left w:val="none" w:sz="0" w:space="0" w:color="auto"/>
            <w:bottom w:val="none" w:sz="0" w:space="0" w:color="auto"/>
            <w:right w:val="none" w:sz="0" w:space="0" w:color="auto"/>
          </w:divBdr>
        </w:div>
      </w:divsChild>
    </w:div>
    <w:div w:id="1801918634">
      <w:bodyDiv w:val="1"/>
      <w:marLeft w:val="0"/>
      <w:marRight w:val="0"/>
      <w:marTop w:val="0"/>
      <w:marBottom w:val="0"/>
      <w:divBdr>
        <w:top w:val="none" w:sz="0" w:space="0" w:color="auto"/>
        <w:left w:val="none" w:sz="0" w:space="0" w:color="auto"/>
        <w:bottom w:val="none" w:sz="0" w:space="0" w:color="auto"/>
        <w:right w:val="none" w:sz="0" w:space="0" w:color="auto"/>
      </w:divBdr>
      <w:divsChild>
        <w:div w:id="1928689088">
          <w:marLeft w:val="0"/>
          <w:marRight w:val="0"/>
          <w:marTop w:val="0"/>
          <w:marBottom w:val="0"/>
          <w:divBdr>
            <w:top w:val="none" w:sz="0" w:space="0" w:color="auto"/>
            <w:left w:val="none" w:sz="0" w:space="0" w:color="auto"/>
            <w:bottom w:val="none" w:sz="0" w:space="0" w:color="auto"/>
            <w:right w:val="none" w:sz="0" w:space="0" w:color="auto"/>
          </w:divBdr>
        </w:div>
      </w:divsChild>
    </w:div>
    <w:div w:id="1802382069">
      <w:bodyDiv w:val="1"/>
      <w:marLeft w:val="0"/>
      <w:marRight w:val="0"/>
      <w:marTop w:val="0"/>
      <w:marBottom w:val="0"/>
      <w:divBdr>
        <w:top w:val="none" w:sz="0" w:space="0" w:color="auto"/>
        <w:left w:val="none" w:sz="0" w:space="0" w:color="auto"/>
        <w:bottom w:val="none" w:sz="0" w:space="0" w:color="auto"/>
        <w:right w:val="none" w:sz="0" w:space="0" w:color="auto"/>
      </w:divBdr>
      <w:divsChild>
        <w:div w:id="1153839754">
          <w:marLeft w:val="0"/>
          <w:marRight w:val="0"/>
          <w:marTop w:val="0"/>
          <w:marBottom w:val="0"/>
          <w:divBdr>
            <w:top w:val="none" w:sz="0" w:space="0" w:color="auto"/>
            <w:left w:val="none" w:sz="0" w:space="0" w:color="auto"/>
            <w:bottom w:val="none" w:sz="0" w:space="0" w:color="auto"/>
            <w:right w:val="none" w:sz="0" w:space="0" w:color="auto"/>
          </w:divBdr>
        </w:div>
      </w:divsChild>
    </w:div>
    <w:div w:id="1802992666">
      <w:bodyDiv w:val="1"/>
      <w:marLeft w:val="0"/>
      <w:marRight w:val="0"/>
      <w:marTop w:val="0"/>
      <w:marBottom w:val="0"/>
      <w:divBdr>
        <w:top w:val="none" w:sz="0" w:space="0" w:color="auto"/>
        <w:left w:val="none" w:sz="0" w:space="0" w:color="auto"/>
        <w:bottom w:val="none" w:sz="0" w:space="0" w:color="auto"/>
        <w:right w:val="none" w:sz="0" w:space="0" w:color="auto"/>
      </w:divBdr>
      <w:divsChild>
        <w:div w:id="1927302783">
          <w:marLeft w:val="0"/>
          <w:marRight w:val="0"/>
          <w:marTop w:val="0"/>
          <w:marBottom w:val="0"/>
          <w:divBdr>
            <w:top w:val="none" w:sz="0" w:space="0" w:color="auto"/>
            <w:left w:val="none" w:sz="0" w:space="0" w:color="auto"/>
            <w:bottom w:val="none" w:sz="0" w:space="0" w:color="auto"/>
            <w:right w:val="none" w:sz="0" w:space="0" w:color="auto"/>
          </w:divBdr>
          <w:divsChild>
            <w:div w:id="12549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2947">
      <w:bodyDiv w:val="1"/>
      <w:marLeft w:val="0"/>
      <w:marRight w:val="0"/>
      <w:marTop w:val="0"/>
      <w:marBottom w:val="0"/>
      <w:divBdr>
        <w:top w:val="none" w:sz="0" w:space="0" w:color="auto"/>
        <w:left w:val="none" w:sz="0" w:space="0" w:color="auto"/>
        <w:bottom w:val="none" w:sz="0" w:space="0" w:color="auto"/>
        <w:right w:val="none" w:sz="0" w:space="0" w:color="auto"/>
      </w:divBdr>
      <w:divsChild>
        <w:div w:id="606932275">
          <w:marLeft w:val="0"/>
          <w:marRight w:val="0"/>
          <w:marTop w:val="0"/>
          <w:marBottom w:val="0"/>
          <w:divBdr>
            <w:top w:val="none" w:sz="0" w:space="0" w:color="auto"/>
            <w:left w:val="none" w:sz="0" w:space="0" w:color="auto"/>
            <w:bottom w:val="none" w:sz="0" w:space="0" w:color="auto"/>
            <w:right w:val="none" w:sz="0" w:space="0" w:color="auto"/>
          </w:divBdr>
          <w:divsChild>
            <w:div w:id="205299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57810">
      <w:bodyDiv w:val="1"/>
      <w:marLeft w:val="0"/>
      <w:marRight w:val="0"/>
      <w:marTop w:val="0"/>
      <w:marBottom w:val="0"/>
      <w:divBdr>
        <w:top w:val="none" w:sz="0" w:space="0" w:color="auto"/>
        <w:left w:val="none" w:sz="0" w:space="0" w:color="auto"/>
        <w:bottom w:val="none" w:sz="0" w:space="0" w:color="auto"/>
        <w:right w:val="none" w:sz="0" w:space="0" w:color="auto"/>
      </w:divBdr>
      <w:divsChild>
        <w:div w:id="529953659">
          <w:marLeft w:val="0"/>
          <w:marRight w:val="0"/>
          <w:marTop w:val="0"/>
          <w:marBottom w:val="0"/>
          <w:divBdr>
            <w:top w:val="none" w:sz="0" w:space="0" w:color="auto"/>
            <w:left w:val="none" w:sz="0" w:space="0" w:color="auto"/>
            <w:bottom w:val="none" w:sz="0" w:space="0" w:color="auto"/>
            <w:right w:val="none" w:sz="0" w:space="0" w:color="auto"/>
          </w:divBdr>
        </w:div>
      </w:divsChild>
    </w:div>
    <w:div w:id="1816675297">
      <w:bodyDiv w:val="1"/>
      <w:marLeft w:val="0"/>
      <w:marRight w:val="0"/>
      <w:marTop w:val="0"/>
      <w:marBottom w:val="0"/>
      <w:divBdr>
        <w:top w:val="none" w:sz="0" w:space="0" w:color="auto"/>
        <w:left w:val="none" w:sz="0" w:space="0" w:color="auto"/>
        <w:bottom w:val="none" w:sz="0" w:space="0" w:color="auto"/>
        <w:right w:val="none" w:sz="0" w:space="0" w:color="auto"/>
      </w:divBdr>
      <w:divsChild>
        <w:div w:id="948242248">
          <w:marLeft w:val="0"/>
          <w:marRight w:val="0"/>
          <w:marTop w:val="0"/>
          <w:marBottom w:val="0"/>
          <w:divBdr>
            <w:top w:val="none" w:sz="0" w:space="0" w:color="auto"/>
            <w:left w:val="none" w:sz="0" w:space="0" w:color="auto"/>
            <w:bottom w:val="none" w:sz="0" w:space="0" w:color="auto"/>
            <w:right w:val="none" w:sz="0" w:space="0" w:color="auto"/>
          </w:divBdr>
          <w:divsChild>
            <w:div w:id="10462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6622">
      <w:bodyDiv w:val="1"/>
      <w:marLeft w:val="0"/>
      <w:marRight w:val="0"/>
      <w:marTop w:val="0"/>
      <w:marBottom w:val="0"/>
      <w:divBdr>
        <w:top w:val="none" w:sz="0" w:space="0" w:color="auto"/>
        <w:left w:val="none" w:sz="0" w:space="0" w:color="auto"/>
        <w:bottom w:val="none" w:sz="0" w:space="0" w:color="auto"/>
        <w:right w:val="none" w:sz="0" w:space="0" w:color="auto"/>
      </w:divBdr>
      <w:divsChild>
        <w:div w:id="787238103">
          <w:marLeft w:val="0"/>
          <w:marRight w:val="0"/>
          <w:marTop w:val="0"/>
          <w:marBottom w:val="0"/>
          <w:divBdr>
            <w:top w:val="none" w:sz="0" w:space="0" w:color="auto"/>
            <w:left w:val="none" w:sz="0" w:space="0" w:color="auto"/>
            <w:bottom w:val="none" w:sz="0" w:space="0" w:color="auto"/>
            <w:right w:val="none" w:sz="0" w:space="0" w:color="auto"/>
          </w:divBdr>
          <w:divsChild>
            <w:div w:id="257714553">
              <w:marLeft w:val="0"/>
              <w:marRight w:val="0"/>
              <w:marTop w:val="0"/>
              <w:marBottom w:val="0"/>
              <w:divBdr>
                <w:top w:val="none" w:sz="0" w:space="0" w:color="auto"/>
                <w:left w:val="none" w:sz="0" w:space="0" w:color="auto"/>
                <w:bottom w:val="none" w:sz="0" w:space="0" w:color="auto"/>
                <w:right w:val="none" w:sz="0" w:space="0" w:color="auto"/>
              </w:divBdr>
              <w:divsChild>
                <w:div w:id="302740225">
                  <w:marLeft w:val="0"/>
                  <w:marRight w:val="0"/>
                  <w:marTop w:val="0"/>
                  <w:marBottom w:val="0"/>
                  <w:divBdr>
                    <w:top w:val="none" w:sz="0" w:space="0" w:color="auto"/>
                    <w:left w:val="none" w:sz="0" w:space="0" w:color="auto"/>
                    <w:bottom w:val="none" w:sz="0" w:space="0" w:color="auto"/>
                    <w:right w:val="none" w:sz="0" w:space="0" w:color="auto"/>
                  </w:divBdr>
                </w:div>
                <w:div w:id="1559510541">
                  <w:marLeft w:val="0"/>
                  <w:marRight w:val="0"/>
                  <w:marTop w:val="120"/>
                  <w:marBottom w:val="0"/>
                  <w:divBdr>
                    <w:top w:val="none" w:sz="0" w:space="0" w:color="auto"/>
                    <w:left w:val="none" w:sz="0" w:space="0" w:color="auto"/>
                    <w:bottom w:val="none" w:sz="0" w:space="0" w:color="auto"/>
                    <w:right w:val="none" w:sz="0" w:space="0" w:color="auto"/>
                  </w:divBdr>
                </w:div>
              </w:divsChild>
            </w:div>
            <w:div w:id="1144931371">
              <w:marLeft w:val="0"/>
              <w:marRight w:val="0"/>
              <w:marTop w:val="0"/>
              <w:marBottom w:val="0"/>
              <w:divBdr>
                <w:top w:val="none" w:sz="0" w:space="0" w:color="auto"/>
                <w:left w:val="none" w:sz="0" w:space="0" w:color="auto"/>
                <w:bottom w:val="none" w:sz="0" w:space="0" w:color="auto"/>
                <w:right w:val="none" w:sz="0" w:space="0" w:color="auto"/>
              </w:divBdr>
              <w:divsChild>
                <w:div w:id="313073961">
                  <w:marLeft w:val="0"/>
                  <w:marRight w:val="0"/>
                  <w:marTop w:val="0"/>
                  <w:marBottom w:val="0"/>
                  <w:divBdr>
                    <w:top w:val="none" w:sz="0" w:space="0" w:color="auto"/>
                    <w:left w:val="none" w:sz="0" w:space="0" w:color="auto"/>
                    <w:bottom w:val="none" w:sz="0" w:space="0" w:color="auto"/>
                    <w:right w:val="none" w:sz="0" w:space="0" w:color="auto"/>
                  </w:divBdr>
                </w:div>
                <w:div w:id="1955478536">
                  <w:marLeft w:val="0"/>
                  <w:marRight w:val="0"/>
                  <w:marTop w:val="120"/>
                  <w:marBottom w:val="0"/>
                  <w:divBdr>
                    <w:top w:val="none" w:sz="0" w:space="0" w:color="auto"/>
                    <w:left w:val="none" w:sz="0" w:space="0" w:color="auto"/>
                    <w:bottom w:val="none" w:sz="0" w:space="0" w:color="auto"/>
                    <w:right w:val="none" w:sz="0" w:space="0" w:color="auto"/>
                  </w:divBdr>
                </w:div>
              </w:divsChild>
            </w:div>
            <w:div w:id="2141410692">
              <w:marLeft w:val="0"/>
              <w:marRight w:val="0"/>
              <w:marTop w:val="0"/>
              <w:marBottom w:val="0"/>
              <w:divBdr>
                <w:top w:val="none" w:sz="0" w:space="0" w:color="auto"/>
                <w:left w:val="none" w:sz="0" w:space="0" w:color="auto"/>
                <w:bottom w:val="none" w:sz="0" w:space="0" w:color="auto"/>
                <w:right w:val="none" w:sz="0" w:space="0" w:color="auto"/>
              </w:divBdr>
              <w:divsChild>
                <w:div w:id="1522354120">
                  <w:marLeft w:val="0"/>
                  <w:marRight w:val="0"/>
                  <w:marTop w:val="120"/>
                  <w:marBottom w:val="0"/>
                  <w:divBdr>
                    <w:top w:val="none" w:sz="0" w:space="0" w:color="auto"/>
                    <w:left w:val="none" w:sz="0" w:space="0" w:color="auto"/>
                    <w:bottom w:val="none" w:sz="0" w:space="0" w:color="auto"/>
                    <w:right w:val="none" w:sz="0" w:space="0" w:color="auto"/>
                  </w:divBdr>
                </w:div>
                <w:div w:id="16116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86115">
      <w:bodyDiv w:val="1"/>
      <w:marLeft w:val="0"/>
      <w:marRight w:val="0"/>
      <w:marTop w:val="0"/>
      <w:marBottom w:val="0"/>
      <w:divBdr>
        <w:top w:val="none" w:sz="0" w:space="0" w:color="auto"/>
        <w:left w:val="none" w:sz="0" w:space="0" w:color="auto"/>
        <w:bottom w:val="none" w:sz="0" w:space="0" w:color="auto"/>
        <w:right w:val="none" w:sz="0" w:space="0" w:color="auto"/>
      </w:divBdr>
      <w:divsChild>
        <w:div w:id="1760061837">
          <w:marLeft w:val="0"/>
          <w:marRight w:val="0"/>
          <w:marTop w:val="0"/>
          <w:marBottom w:val="0"/>
          <w:divBdr>
            <w:top w:val="none" w:sz="0" w:space="0" w:color="auto"/>
            <w:left w:val="none" w:sz="0" w:space="0" w:color="auto"/>
            <w:bottom w:val="none" w:sz="0" w:space="0" w:color="auto"/>
            <w:right w:val="none" w:sz="0" w:space="0" w:color="auto"/>
          </w:divBdr>
          <w:divsChild>
            <w:div w:id="5026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8409">
      <w:bodyDiv w:val="1"/>
      <w:marLeft w:val="0"/>
      <w:marRight w:val="0"/>
      <w:marTop w:val="0"/>
      <w:marBottom w:val="0"/>
      <w:divBdr>
        <w:top w:val="none" w:sz="0" w:space="0" w:color="auto"/>
        <w:left w:val="none" w:sz="0" w:space="0" w:color="auto"/>
        <w:bottom w:val="none" w:sz="0" w:space="0" w:color="auto"/>
        <w:right w:val="none" w:sz="0" w:space="0" w:color="auto"/>
      </w:divBdr>
      <w:divsChild>
        <w:div w:id="397361334">
          <w:marLeft w:val="0"/>
          <w:marRight w:val="0"/>
          <w:marTop w:val="0"/>
          <w:marBottom w:val="0"/>
          <w:divBdr>
            <w:top w:val="none" w:sz="0" w:space="0" w:color="auto"/>
            <w:left w:val="none" w:sz="0" w:space="0" w:color="auto"/>
            <w:bottom w:val="none" w:sz="0" w:space="0" w:color="auto"/>
            <w:right w:val="none" w:sz="0" w:space="0" w:color="auto"/>
          </w:divBdr>
        </w:div>
        <w:div w:id="923034877">
          <w:marLeft w:val="0"/>
          <w:marRight w:val="0"/>
          <w:marTop w:val="0"/>
          <w:marBottom w:val="0"/>
          <w:divBdr>
            <w:top w:val="none" w:sz="0" w:space="0" w:color="auto"/>
            <w:left w:val="none" w:sz="0" w:space="0" w:color="auto"/>
            <w:bottom w:val="none" w:sz="0" w:space="0" w:color="auto"/>
            <w:right w:val="none" w:sz="0" w:space="0" w:color="auto"/>
          </w:divBdr>
          <w:divsChild>
            <w:div w:id="4161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647964">
      <w:bodyDiv w:val="1"/>
      <w:marLeft w:val="0"/>
      <w:marRight w:val="0"/>
      <w:marTop w:val="0"/>
      <w:marBottom w:val="0"/>
      <w:divBdr>
        <w:top w:val="none" w:sz="0" w:space="0" w:color="auto"/>
        <w:left w:val="none" w:sz="0" w:space="0" w:color="auto"/>
        <w:bottom w:val="none" w:sz="0" w:space="0" w:color="auto"/>
        <w:right w:val="none" w:sz="0" w:space="0" w:color="auto"/>
      </w:divBdr>
      <w:divsChild>
        <w:div w:id="1698503548">
          <w:marLeft w:val="0"/>
          <w:marRight w:val="0"/>
          <w:marTop w:val="0"/>
          <w:marBottom w:val="0"/>
          <w:divBdr>
            <w:top w:val="none" w:sz="0" w:space="0" w:color="auto"/>
            <w:left w:val="none" w:sz="0" w:space="0" w:color="auto"/>
            <w:bottom w:val="none" w:sz="0" w:space="0" w:color="auto"/>
            <w:right w:val="none" w:sz="0" w:space="0" w:color="auto"/>
          </w:divBdr>
        </w:div>
      </w:divsChild>
    </w:div>
    <w:div w:id="1840995135">
      <w:bodyDiv w:val="1"/>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
          </w:divsChild>
        </w:div>
        <w:div w:id="374040549">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31350">
      <w:bodyDiv w:val="1"/>
      <w:marLeft w:val="0"/>
      <w:marRight w:val="0"/>
      <w:marTop w:val="0"/>
      <w:marBottom w:val="0"/>
      <w:divBdr>
        <w:top w:val="none" w:sz="0" w:space="0" w:color="auto"/>
        <w:left w:val="none" w:sz="0" w:space="0" w:color="auto"/>
        <w:bottom w:val="none" w:sz="0" w:space="0" w:color="auto"/>
        <w:right w:val="none" w:sz="0" w:space="0" w:color="auto"/>
      </w:divBdr>
      <w:divsChild>
        <w:div w:id="1051882170">
          <w:marLeft w:val="0"/>
          <w:marRight w:val="0"/>
          <w:marTop w:val="0"/>
          <w:marBottom w:val="0"/>
          <w:divBdr>
            <w:top w:val="none" w:sz="0" w:space="0" w:color="auto"/>
            <w:left w:val="none" w:sz="0" w:space="0" w:color="auto"/>
            <w:bottom w:val="none" w:sz="0" w:space="0" w:color="auto"/>
            <w:right w:val="none" w:sz="0" w:space="0" w:color="auto"/>
          </w:divBdr>
        </w:div>
      </w:divsChild>
    </w:div>
    <w:div w:id="1845822662">
      <w:bodyDiv w:val="1"/>
      <w:marLeft w:val="0"/>
      <w:marRight w:val="0"/>
      <w:marTop w:val="0"/>
      <w:marBottom w:val="0"/>
      <w:divBdr>
        <w:top w:val="none" w:sz="0" w:space="0" w:color="auto"/>
        <w:left w:val="none" w:sz="0" w:space="0" w:color="auto"/>
        <w:bottom w:val="none" w:sz="0" w:space="0" w:color="auto"/>
        <w:right w:val="none" w:sz="0" w:space="0" w:color="auto"/>
      </w:divBdr>
      <w:divsChild>
        <w:div w:id="804616110">
          <w:marLeft w:val="0"/>
          <w:marRight w:val="0"/>
          <w:marTop w:val="0"/>
          <w:marBottom w:val="0"/>
          <w:divBdr>
            <w:top w:val="none" w:sz="0" w:space="0" w:color="auto"/>
            <w:left w:val="none" w:sz="0" w:space="0" w:color="auto"/>
            <w:bottom w:val="none" w:sz="0" w:space="0" w:color="auto"/>
            <w:right w:val="none" w:sz="0" w:space="0" w:color="auto"/>
          </w:divBdr>
        </w:div>
      </w:divsChild>
    </w:div>
    <w:div w:id="1846675995">
      <w:bodyDiv w:val="1"/>
      <w:marLeft w:val="0"/>
      <w:marRight w:val="0"/>
      <w:marTop w:val="0"/>
      <w:marBottom w:val="0"/>
      <w:divBdr>
        <w:top w:val="none" w:sz="0" w:space="0" w:color="auto"/>
        <w:left w:val="none" w:sz="0" w:space="0" w:color="auto"/>
        <w:bottom w:val="none" w:sz="0" w:space="0" w:color="auto"/>
        <w:right w:val="none" w:sz="0" w:space="0" w:color="auto"/>
      </w:divBdr>
      <w:divsChild>
        <w:div w:id="1919704944">
          <w:marLeft w:val="0"/>
          <w:marRight w:val="0"/>
          <w:marTop w:val="0"/>
          <w:marBottom w:val="0"/>
          <w:divBdr>
            <w:top w:val="none" w:sz="0" w:space="0" w:color="auto"/>
            <w:left w:val="none" w:sz="0" w:space="0" w:color="auto"/>
            <w:bottom w:val="none" w:sz="0" w:space="0" w:color="auto"/>
            <w:right w:val="none" w:sz="0" w:space="0" w:color="auto"/>
          </w:divBdr>
        </w:div>
      </w:divsChild>
    </w:div>
    <w:div w:id="1852262187">
      <w:bodyDiv w:val="1"/>
      <w:marLeft w:val="0"/>
      <w:marRight w:val="0"/>
      <w:marTop w:val="0"/>
      <w:marBottom w:val="0"/>
      <w:divBdr>
        <w:top w:val="none" w:sz="0" w:space="0" w:color="auto"/>
        <w:left w:val="none" w:sz="0" w:space="0" w:color="auto"/>
        <w:bottom w:val="none" w:sz="0" w:space="0" w:color="auto"/>
        <w:right w:val="none" w:sz="0" w:space="0" w:color="auto"/>
      </w:divBdr>
      <w:divsChild>
        <w:div w:id="27487933">
          <w:marLeft w:val="0"/>
          <w:marRight w:val="0"/>
          <w:marTop w:val="0"/>
          <w:marBottom w:val="0"/>
          <w:divBdr>
            <w:top w:val="none" w:sz="0" w:space="0" w:color="auto"/>
            <w:left w:val="none" w:sz="0" w:space="0" w:color="auto"/>
            <w:bottom w:val="none" w:sz="0" w:space="0" w:color="auto"/>
            <w:right w:val="none" w:sz="0" w:space="0" w:color="auto"/>
          </w:divBdr>
          <w:divsChild>
            <w:div w:id="138572788">
              <w:marLeft w:val="0"/>
              <w:marRight w:val="0"/>
              <w:marTop w:val="0"/>
              <w:marBottom w:val="0"/>
              <w:divBdr>
                <w:top w:val="none" w:sz="0" w:space="0" w:color="auto"/>
                <w:left w:val="none" w:sz="0" w:space="0" w:color="auto"/>
                <w:bottom w:val="none" w:sz="0" w:space="0" w:color="auto"/>
                <w:right w:val="none" w:sz="0" w:space="0" w:color="auto"/>
              </w:divBdr>
            </w:div>
          </w:divsChild>
        </w:div>
        <w:div w:id="1851793846">
          <w:marLeft w:val="0"/>
          <w:marRight w:val="0"/>
          <w:marTop w:val="0"/>
          <w:marBottom w:val="0"/>
          <w:divBdr>
            <w:top w:val="none" w:sz="0" w:space="0" w:color="auto"/>
            <w:left w:val="none" w:sz="0" w:space="0" w:color="auto"/>
            <w:bottom w:val="none" w:sz="0" w:space="0" w:color="auto"/>
            <w:right w:val="none" w:sz="0" w:space="0" w:color="auto"/>
          </w:divBdr>
          <w:divsChild>
            <w:div w:id="211968009">
              <w:marLeft w:val="0"/>
              <w:marRight w:val="0"/>
              <w:marTop w:val="0"/>
              <w:marBottom w:val="0"/>
              <w:divBdr>
                <w:top w:val="none" w:sz="0" w:space="0" w:color="auto"/>
                <w:left w:val="none" w:sz="0" w:space="0" w:color="auto"/>
                <w:bottom w:val="none" w:sz="0" w:space="0" w:color="auto"/>
                <w:right w:val="none" w:sz="0" w:space="0" w:color="auto"/>
              </w:divBdr>
            </w:div>
          </w:divsChild>
        </w:div>
        <w:div w:id="1912158395">
          <w:marLeft w:val="0"/>
          <w:marRight w:val="0"/>
          <w:marTop w:val="0"/>
          <w:marBottom w:val="0"/>
          <w:divBdr>
            <w:top w:val="none" w:sz="0" w:space="0" w:color="auto"/>
            <w:left w:val="none" w:sz="0" w:space="0" w:color="auto"/>
            <w:bottom w:val="none" w:sz="0" w:space="0" w:color="auto"/>
            <w:right w:val="none" w:sz="0" w:space="0" w:color="auto"/>
          </w:divBdr>
          <w:divsChild>
            <w:div w:id="567153568">
              <w:marLeft w:val="0"/>
              <w:marRight w:val="0"/>
              <w:marTop w:val="0"/>
              <w:marBottom w:val="0"/>
              <w:divBdr>
                <w:top w:val="none" w:sz="0" w:space="0" w:color="auto"/>
                <w:left w:val="none" w:sz="0" w:space="0" w:color="auto"/>
                <w:bottom w:val="none" w:sz="0" w:space="0" w:color="auto"/>
                <w:right w:val="none" w:sz="0" w:space="0" w:color="auto"/>
              </w:divBdr>
              <w:divsChild>
                <w:div w:id="462382773">
                  <w:marLeft w:val="0"/>
                  <w:marRight w:val="0"/>
                  <w:marTop w:val="0"/>
                  <w:marBottom w:val="0"/>
                  <w:divBdr>
                    <w:top w:val="none" w:sz="0" w:space="0" w:color="auto"/>
                    <w:left w:val="none" w:sz="0" w:space="0" w:color="auto"/>
                    <w:bottom w:val="none" w:sz="0" w:space="0" w:color="auto"/>
                    <w:right w:val="none" w:sz="0" w:space="0" w:color="auto"/>
                  </w:divBdr>
                  <w:divsChild>
                    <w:div w:id="818691928">
                      <w:marLeft w:val="0"/>
                      <w:marRight w:val="0"/>
                      <w:marTop w:val="0"/>
                      <w:marBottom w:val="0"/>
                      <w:divBdr>
                        <w:top w:val="none" w:sz="0" w:space="0" w:color="auto"/>
                        <w:left w:val="none" w:sz="0" w:space="0" w:color="auto"/>
                        <w:bottom w:val="none" w:sz="0" w:space="0" w:color="auto"/>
                        <w:right w:val="none" w:sz="0" w:space="0" w:color="auto"/>
                      </w:divBdr>
                    </w:div>
                    <w:div w:id="1122454981">
                      <w:marLeft w:val="0"/>
                      <w:marRight w:val="0"/>
                      <w:marTop w:val="120"/>
                      <w:marBottom w:val="0"/>
                      <w:divBdr>
                        <w:top w:val="none" w:sz="0" w:space="0" w:color="auto"/>
                        <w:left w:val="none" w:sz="0" w:space="0" w:color="auto"/>
                        <w:bottom w:val="none" w:sz="0" w:space="0" w:color="auto"/>
                        <w:right w:val="none" w:sz="0" w:space="0" w:color="auto"/>
                      </w:divBdr>
                    </w:div>
                  </w:divsChild>
                </w:div>
                <w:div w:id="1363362818">
                  <w:marLeft w:val="0"/>
                  <w:marRight w:val="0"/>
                  <w:marTop w:val="0"/>
                  <w:marBottom w:val="0"/>
                  <w:divBdr>
                    <w:top w:val="none" w:sz="0" w:space="0" w:color="auto"/>
                    <w:left w:val="none" w:sz="0" w:space="0" w:color="auto"/>
                    <w:bottom w:val="none" w:sz="0" w:space="0" w:color="auto"/>
                    <w:right w:val="none" w:sz="0" w:space="0" w:color="auto"/>
                  </w:divBdr>
                  <w:divsChild>
                    <w:div w:id="1385593203">
                      <w:marLeft w:val="0"/>
                      <w:marRight w:val="0"/>
                      <w:marTop w:val="120"/>
                      <w:marBottom w:val="0"/>
                      <w:divBdr>
                        <w:top w:val="none" w:sz="0" w:space="0" w:color="auto"/>
                        <w:left w:val="none" w:sz="0" w:space="0" w:color="auto"/>
                        <w:bottom w:val="none" w:sz="0" w:space="0" w:color="auto"/>
                        <w:right w:val="none" w:sz="0" w:space="0" w:color="auto"/>
                      </w:divBdr>
                    </w:div>
                    <w:div w:id="16293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82633">
      <w:bodyDiv w:val="1"/>
      <w:marLeft w:val="0"/>
      <w:marRight w:val="0"/>
      <w:marTop w:val="0"/>
      <w:marBottom w:val="0"/>
      <w:divBdr>
        <w:top w:val="none" w:sz="0" w:space="0" w:color="auto"/>
        <w:left w:val="none" w:sz="0" w:space="0" w:color="auto"/>
        <w:bottom w:val="none" w:sz="0" w:space="0" w:color="auto"/>
        <w:right w:val="none" w:sz="0" w:space="0" w:color="auto"/>
      </w:divBdr>
      <w:divsChild>
        <w:div w:id="512912779">
          <w:marLeft w:val="0"/>
          <w:marRight w:val="0"/>
          <w:marTop w:val="0"/>
          <w:marBottom w:val="0"/>
          <w:divBdr>
            <w:top w:val="none" w:sz="0" w:space="0" w:color="auto"/>
            <w:left w:val="none" w:sz="0" w:space="0" w:color="auto"/>
            <w:bottom w:val="none" w:sz="0" w:space="0" w:color="auto"/>
            <w:right w:val="none" w:sz="0" w:space="0" w:color="auto"/>
          </w:divBdr>
          <w:divsChild>
            <w:div w:id="1842161373">
              <w:marLeft w:val="0"/>
              <w:marRight w:val="0"/>
              <w:marTop w:val="120"/>
              <w:marBottom w:val="0"/>
              <w:divBdr>
                <w:top w:val="none" w:sz="0" w:space="0" w:color="auto"/>
                <w:left w:val="none" w:sz="0" w:space="0" w:color="auto"/>
                <w:bottom w:val="none" w:sz="0" w:space="0" w:color="auto"/>
                <w:right w:val="none" w:sz="0" w:space="0" w:color="auto"/>
              </w:divBdr>
            </w:div>
            <w:div w:id="2050563251">
              <w:marLeft w:val="0"/>
              <w:marRight w:val="0"/>
              <w:marTop w:val="0"/>
              <w:marBottom w:val="0"/>
              <w:divBdr>
                <w:top w:val="none" w:sz="0" w:space="0" w:color="auto"/>
                <w:left w:val="none" w:sz="0" w:space="0" w:color="auto"/>
                <w:bottom w:val="none" w:sz="0" w:space="0" w:color="auto"/>
                <w:right w:val="none" w:sz="0" w:space="0" w:color="auto"/>
              </w:divBdr>
            </w:div>
          </w:divsChild>
        </w:div>
        <w:div w:id="896551697">
          <w:marLeft w:val="0"/>
          <w:marRight w:val="0"/>
          <w:marTop w:val="0"/>
          <w:marBottom w:val="0"/>
          <w:divBdr>
            <w:top w:val="none" w:sz="0" w:space="0" w:color="auto"/>
            <w:left w:val="none" w:sz="0" w:space="0" w:color="auto"/>
            <w:bottom w:val="none" w:sz="0" w:space="0" w:color="auto"/>
            <w:right w:val="none" w:sz="0" w:space="0" w:color="auto"/>
          </w:divBdr>
          <w:divsChild>
            <w:div w:id="2044820175">
              <w:marLeft w:val="0"/>
              <w:marRight w:val="0"/>
              <w:marTop w:val="120"/>
              <w:marBottom w:val="0"/>
              <w:divBdr>
                <w:top w:val="none" w:sz="0" w:space="0" w:color="auto"/>
                <w:left w:val="none" w:sz="0" w:space="0" w:color="auto"/>
                <w:bottom w:val="none" w:sz="0" w:space="0" w:color="auto"/>
                <w:right w:val="none" w:sz="0" w:space="0" w:color="auto"/>
              </w:divBdr>
            </w:div>
            <w:div w:id="2085028345">
              <w:marLeft w:val="0"/>
              <w:marRight w:val="0"/>
              <w:marTop w:val="0"/>
              <w:marBottom w:val="0"/>
              <w:divBdr>
                <w:top w:val="none" w:sz="0" w:space="0" w:color="auto"/>
                <w:left w:val="none" w:sz="0" w:space="0" w:color="auto"/>
                <w:bottom w:val="none" w:sz="0" w:space="0" w:color="auto"/>
                <w:right w:val="none" w:sz="0" w:space="0" w:color="auto"/>
              </w:divBdr>
            </w:div>
          </w:divsChild>
        </w:div>
        <w:div w:id="1536117602">
          <w:marLeft w:val="0"/>
          <w:marRight w:val="0"/>
          <w:marTop w:val="0"/>
          <w:marBottom w:val="0"/>
          <w:divBdr>
            <w:top w:val="none" w:sz="0" w:space="0" w:color="auto"/>
            <w:left w:val="none" w:sz="0" w:space="0" w:color="auto"/>
            <w:bottom w:val="none" w:sz="0" w:space="0" w:color="auto"/>
            <w:right w:val="none" w:sz="0" w:space="0" w:color="auto"/>
          </w:divBdr>
          <w:divsChild>
            <w:div w:id="748044095">
              <w:marLeft w:val="0"/>
              <w:marRight w:val="0"/>
              <w:marTop w:val="0"/>
              <w:marBottom w:val="0"/>
              <w:divBdr>
                <w:top w:val="none" w:sz="0" w:space="0" w:color="auto"/>
                <w:left w:val="none" w:sz="0" w:space="0" w:color="auto"/>
                <w:bottom w:val="none" w:sz="0" w:space="0" w:color="auto"/>
                <w:right w:val="none" w:sz="0" w:space="0" w:color="auto"/>
              </w:divBdr>
            </w:div>
            <w:div w:id="1073430033">
              <w:marLeft w:val="0"/>
              <w:marRight w:val="0"/>
              <w:marTop w:val="120"/>
              <w:marBottom w:val="0"/>
              <w:divBdr>
                <w:top w:val="none" w:sz="0" w:space="0" w:color="auto"/>
                <w:left w:val="none" w:sz="0" w:space="0" w:color="auto"/>
                <w:bottom w:val="none" w:sz="0" w:space="0" w:color="auto"/>
                <w:right w:val="none" w:sz="0" w:space="0" w:color="auto"/>
              </w:divBdr>
            </w:div>
          </w:divsChild>
        </w:div>
        <w:div w:id="1599748198">
          <w:marLeft w:val="0"/>
          <w:marRight w:val="0"/>
          <w:marTop w:val="0"/>
          <w:marBottom w:val="0"/>
          <w:divBdr>
            <w:top w:val="none" w:sz="0" w:space="0" w:color="auto"/>
            <w:left w:val="none" w:sz="0" w:space="0" w:color="auto"/>
            <w:bottom w:val="none" w:sz="0" w:space="0" w:color="auto"/>
            <w:right w:val="none" w:sz="0" w:space="0" w:color="auto"/>
          </w:divBdr>
          <w:divsChild>
            <w:div w:id="1509253116">
              <w:marLeft w:val="0"/>
              <w:marRight w:val="0"/>
              <w:marTop w:val="0"/>
              <w:marBottom w:val="0"/>
              <w:divBdr>
                <w:top w:val="none" w:sz="0" w:space="0" w:color="auto"/>
                <w:left w:val="none" w:sz="0" w:space="0" w:color="auto"/>
                <w:bottom w:val="none" w:sz="0" w:space="0" w:color="auto"/>
                <w:right w:val="none" w:sz="0" w:space="0" w:color="auto"/>
              </w:divBdr>
            </w:div>
            <w:div w:id="1770849012">
              <w:marLeft w:val="0"/>
              <w:marRight w:val="0"/>
              <w:marTop w:val="120"/>
              <w:marBottom w:val="0"/>
              <w:divBdr>
                <w:top w:val="none" w:sz="0" w:space="0" w:color="auto"/>
                <w:left w:val="none" w:sz="0" w:space="0" w:color="auto"/>
                <w:bottom w:val="none" w:sz="0" w:space="0" w:color="auto"/>
                <w:right w:val="none" w:sz="0" w:space="0" w:color="auto"/>
              </w:divBdr>
            </w:div>
          </w:divsChild>
        </w:div>
        <w:div w:id="1975215070">
          <w:marLeft w:val="0"/>
          <w:marRight w:val="0"/>
          <w:marTop w:val="0"/>
          <w:marBottom w:val="0"/>
          <w:divBdr>
            <w:top w:val="none" w:sz="0" w:space="0" w:color="auto"/>
            <w:left w:val="none" w:sz="0" w:space="0" w:color="auto"/>
            <w:bottom w:val="none" w:sz="0" w:space="0" w:color="auto"/>
            <w:right w:val="none" w:sz="0" w:space="0" w:color="auto"/>
          </w:divBdr>
          <w:divsChild>
            <w:div w:id="197354112">
              <w:marLeft w:val="0"/>
              <w:marRight w:val="0"/>
              <w:marTop w:val="0"/>
              <w:marBottom w:val="0"/>
              <w:divBdr>
                <w:top w:val="none" w:sz="0" w:space="0" w:color="auto"/>
                <w:left w:val="none" w:sz="0" w:space="0" w:color="auto"/>
                <w:bottom w:val="none" w:sz="0" w:space="0" w:color="auto"/>
                <w:right w:val="none" w:sz="0" w:space="0" w:color="auto"/>
              </w:divBdr>
              <w:divsChild>
                <w:div w:id="793988137">
                  <w:marLeft w:val="0"/>
                  <w:marRight w:val="0"/>
                  <w:marTop w:val="0"/>
                  <w:marBottom w:val="0"/>
                  <w:divBdr>
                    <w:top w:val="none" w:sz="0" w:space="0" w:color="auto"/>
                    <w:left w:val="none" w:sz="0" w:space="0" w:color="auto"/>
                    <w:bottom w:val="none" w:sz="0" w:space="0" w:color="auto"/>
                    <w:right w:val="none" w:sz="0" w:space="0" w:color="auto"/>
                  </w:divBdr>
                  <w:divsChild>
                    <w:div w:id="1486243663">
                      <w:marLeft w:val="0"/>
                      <w:marRight w:val="0"/>
                      <w:marTop w:val="0"/>
                      <w:marBottom w:val="0"/>
                      <w:divBdr>
                        <w:top w:val="none" w:sz="0" w:space="0" w:color="auto"/>
                        <w:left w:val="none" w:sz="0" w:space="0" w:color="auto"/>
                        <w:bottom w:val="none" w:sz="0" w:space="0" w:color="auto"/>
                        <w:right w:val="none" w:sz="0" w:space="0" w:color="auto"/>
                      </w:divBdr>
                    </w:div>
                    <w:div w:id="1958443876">
                      <w:marLeft w:val="0"/>
                      <w:marRight w:val="0"/>
                      <w:marTop w:val="120"/>
                      <w:marBottom w:val="0"/>
                      <w:divBdr>
                        <w:top w:val="none" w:sz="0" w:space="0" w:color="auto"/>
                        <w:left w:val="none" w:sz="0" w:space="0" w:color="auto"/>
                        <w:bottom w:val="none" w:sz="0" w:space="0" w:color="auto"/>
                        <w:right w:val="none" w:sz="0" w:space="0" w:color="auto"/>
                      </w:divBdr>
                    </w:div>
                  </w:divsChild>
                </w:div>
                <w:div w:id="1346059547">
                  <w:marLeft w:val="0"/>
                  <w:marRight w:val="0"/>
                  <w:marTop w:val="0"/>
                  <w:marBottom w:val="0"/>
                  <w:divBdr>
                    <w:top w:val="none" w:sz="0" w:space="0" w:color="auto"/>
                    <w:left w:val="none" w:sz="0" w:space="0" w:color="auto"/>
                    <w:bottom w:val="none" w:sz="0" w:space="0" w:color="auto"/>
                    <w:right w:val="none" w:sz="0" w:space="0" w:color="auto"/>
                  </w:divBdr>
                  <w:divsChild>
                    <w:div w:id="514004148">
                      <w:marLeft w:val="0"/>
                      <w:marRight w:val="0"/>
                      <w:marTop w:val="0"/>
                      <w:marBottom w:val="0"/>
                      <w:divBdr>
                        <w:top w:val="none" w:sz="0" w:space="0" w:color="auto"/>
                        <w:left w:val="none" w:sz="0" w:space="0" w:color="auto"/>
                        <w:bottom w:val="none" w:sz="0" w:space="0" w:color="auto"/>
                        <w:right w:val="none" w:sz="0" w:space="0" w:color="auto"/>
                      </w:divBdr>
                    </w:div>
                    <w:div w:id="1404764795">
                      <w:marLeft w:val="0"/>
                      <w:marRight w:val="0"/>
                      <w:marTop w:val="120"/>
                      <w:marBottom w:val="0"/>
                      <w:divBdr>
                        <w:top w:val="none" w:sz="0" w:space="0" w:color="auto"/>
                        <w:left w:val="none" w:sz="0" w:space="0" w:color="auto"/>
                        <w:bottom w:val="none" w:sz="0" w:space="0" w:color="auto"/>
                        <w:right w:val="none" w:sz="0" w:space="0" w:color="auto"/>
                      </w:divBdr>
                    </w:div>
                  </w:divsChild>
                </w:div>
                <w:div w:id="1847400980">
                  <w:marLeft w:val="0"/>
                  <w:marRight w:val="0"/>
                  <w:marTop w:val="0"/>
                  <w:marBottom w:val="0"/>
                  <w:divBdr>
                    <w:top w:val="none" w:sz="0" w:space="0" w:color="auto"/>
                    <w:left w:val="none" w:sz="0" w:space="0" w:color="auto"/>
                    <w:bottom w:val="none" w:sz="0" w:space="0" w:color="auto"/>
                    <w:right w:val="none" w:sz="0" w:space="0" w:color="auto"/>
                  </w:divBdr>
                  <w:divsChild>
                    <w:div w:id="1029405833">
                      <w:marLeft w:val="0"/>
                      <w:marRight w:val="0"/>
                      <w:marTop w:val="120"/>
                      <w:marBottom w:val="0"/>
                      <w:divBdr>
                        <w:top w:val="none" w:sz="0" w:space="0" w:color="auto"/>
                        <w:left w:val="none" w:sz="0" w:space="0" w:color="auto"/>
                        <w:bottom w:val="none" w:sz="0" w:space="0" w:color="auto"/>
                        <w:right w:val="none" w:sz="0" w:space="0" w:color="auto"/>
                      </w:divBdr>
                    </w:div>
                    <w:div w:id="1389568452">
                      <w:marLeft w:val="0"/>
                      <w:marRight w:val="0"/>
                      <w:marTop w:val="0"/>
                      <w:marBottom w:val="0"/>
                      <w:divBdr>
                        <w:top w:val="none" w:sz="0" w:space="0" w:color="auto"/>
                        <w:left w:val="none" w:sz="0" w:space="0" w:color="auto"/>
                        <w:bottom w:val="none" w:sz="0" w:space="0" w:color="auto"/>
                        <w:right w:val="none" w:sz="0" w:space="0" w:color="auto"/>
                      </w:divBdr>
                    </w:div>
                  </w:divsChild>
                </w:div>
                <w:div w:id="2137944042">
                  <w:marLeft w:val="0"/>
                  <w:marRight w:val="0"/>
                  <w:marTop w:val="0"/>
                  <w:marBottom w:val="0"/>
                  <w:divBdr>
                    <w:top w:val="none" w:sz="0" w:space="0" w:color="auto"/>
                    <w:left w:val="none" w:sz="0" w:space="0" w:color="auto"/>
                    <w:bottom w:val="none" w:sz="0" w:space="0" w:color="auto"/>
                    <w:right w:val="none" w:sz="0" w:space="0" w:color="auto"/>
                  </w:divBdr>
                  <w:divsChild>
                    <w:div w:id="1657294386">
                      <w:marLeft w:val="0"/>
                      <w:marRight w:val="0"/>
                      <w:marTop w:val="0"/>
                      <w:marBottom w:val="0"/>
                      <w:divBdr>
                        <w:top w:val="none" w:sz="0" w:space="0" w:color="auto"/>
                        <w:left w:val="none" w:sz="0" w:space="0" w:color="auto"/>
                        <w:bottom w:val="none" w:sz="0" w:space="0" w:color="auto"/>
                        <w:right w:val="none" w:sz="0" w:space="0" w:color="auto"/>
                      </w:divBdr>
                    </w:div>
                    <w:div w:id="18103199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60815593">
              <w:marLeft w:val="0"/>
              <w:marRight w:val="0"/>
              <w:marTop w:val="120"/>
              <w:marBottom w:val="0"/>
              <w:divBdr>
                <w:top w:val="none" w:sz="0" w:space="0" w:color="auto"/>
                <w:left w:val="none" w:sz="0" w:space="0" w:color="auto"/>
                <w:bottom w:val="none" w:sz="0" w:space="0" w:color="auto"/>
                <w:right w:val="none" w:sz="0" w:space="0" w:color="auto"/>
              </w:divBdr>
            </w:div>
          </w:divsChild>
        </w:div>
        <w:div w:id="2100329473">
          <w:marLeft w:val="0"/>
          <w:marRight w:val="0"/>
          <w:marTop w:val="0"/>
          <w:marBottom w:val="0"/>
          <w:divBdr>
            <w:top w:val="none" w:sz="0" w:space="0" w:color="auto"/>
            <w:left w:val="none" w:sz="0" w:space="0" w:color="auto"/>
            <w:bottom w:val="none" w:sz="0" w:space="0" w:color="auto"/>
            <w:right w:val="none" w:sz="0" w:space="0" w:color="auto"/>
          </w:divBdr>
          <w:divsChild>
            <w:div w:id="595750925">
              <w:marLeft w:val="0"/>
              <w:marRight w:val="0"/>
              <w:marTop w:val="120"/>
              <w:marBottom w:val="0"/>
              <w:divBdr>
                <w:top w:val="none" w:sz="0" w:space="0" w:color="auto"/>
                <w:left w:val="none" w:sz="0" w:space="0" w:color="auto"/>
                <w:bottom w:val="none" w:sz="0" w:space="0" w:color="auto"/>
                <w:right w:val="none" w:sz="0" w:space="0" w:color="auto"/>
              </w:divBdr>
            </w:div>
            <w:div w:id="13446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3250">
      <w:bodyDiv w:val="1"/>
      <w:marLeft w:val="0"/>
      <w:marRight w:val="0"/>
      <w:marTop w:val="0"/>
      <w:marBottom w:val="0"/>
      <w:divBdr>
        <w:top w:val="none" w:sz="0" w:space="0" w:color="auto"/>
        <w:left w:val="none" w:sz="0" w:space="0" w:color="auto"/>
        <w:bottom w:val="none" w:sz="0" w:space="0" w:color="auto"/>
        <w:right w:val="none" w:sz="0" w:space="0" w:color="auto"/>
      </w:divBdr>
      <w:divsChild>
        <w:div w:id="1122841586">
          <w:marLeft w:val="0"/>
          <w:marRight w:val="0"/>
          <w:marTop w:val="0"/>
          <w:marBottom w:val="0"/>
          <w:divBdr>
            <w:top w:val="none" w:sz="0" w:space="0" w:color="auto"/>
            <w:left w:val="none" w:sz="0" w:space="0" w:color="auto"/>
            <w:bottom w:val="none" w:sz="0" w:space="0" w:color="auto"/>
            <w:right w:val="none" w:sz="0" w:space="0" w:color="auto"/>
          </w:divBdr>
          <w:divsChild>
            <w:div w:id="2122139261">
              <w:marLeft w:val="0"/>
              <w:marRight w:val="0"/>
              <w:marTop w:val="0"/>
              <w:marBottom w:val="0"/>
              <w:divBdr>
                <w:top w:val="none" w:sz="0" w:space="0" w:color="auto"/>
                <w:left w:val="none" w:sz="0" w:space="0" w:color="auto"/>
                <w:bottom w:val="none" w:sz="0" w:space="0" w:color="auto"/>
                <w:right w:val="none" w:sz="0" w:space="0" w:color="auto"/>
              </w:divBdr>
              <w:divsChild>
                <w:div w:id="420956224">
                  <w:marLeft w:val="0"/>
                  <w:marRight w:val="0"/>
                  <w:marTop w:val="0"/>
                  <w:marBottom w:val="0"/>
                  <w:divBdr>
                    <w:top w:val="none" w:sz="0" w:space="0" w:color="auto"/>
                    <w:left w:val="none" w:sz="0" w:space="0" w:color="auto"/>
                    <w:bottom w:val="none" w:sz="0" w:space="0" w:color="auto"/>
                    <w:right w:val="none" w:sz="0" w:space="0" w:color="auto"/>
                  </w:divBdr>
                  <w:divsChild>
                    <w:div w:id="483400405">
                      <w:marLeft w:val="0"/>
                      <w:marRight w:val="0"/>
                      <w:marTop w:val="120"/>
                      <w:marBottom w:val="0"/>
                      <w:divBdr>
                        <w:top w:val="none" w:sz="0" w:space="0" w:color="auto"/>
                        <w:left w:val="none" w:sz="0" w:space="0" w:color="auto"/>
                        <w:bottom w:val="none" w:sz="0" w:space="0" w:color="auto"/>
                        <w:right w:val="none" w:sz="0" w:space="0" w:color="auto"/>
                      </w:divBdr>
                    </w:div>
                    <w:div w:id="2085294836">
                      <w:marLeft w:val="0"/>
                      <w:marRight w:val="0"/>
                      <w:marTop w:val="0"/>
                      <w:marBottom w:val="0"/>
                      <w:divBdr>
                        <w:top w:val="none" w:sz="0" w:space="0" w:color="auto"/>
                        <w:left w:val="none" w:sz="0" w:space="0" w:color="auto"/>
                        <w:bottom w:val="none" w:sz="0" w:space="0" w:color="auto"/>
                        <w:right w:val="none" w:sz="0" w:space="0" w:color="auto"/>
                      </w:divBdr>
                    </w:div>
                  </w:divsChild>
                </w:div>
                <w:div w:id="494607361">
                  <w:marLeft w:val="0"/>
                  <w:marRight w:val="0"/>
                  <w:marTop w:val="0"/>
                  <w:marBottom w:val="0"/>
                  <w:divBdr>
                    <w:top w:val="none" w:sz="0" w:space="0" w:color="auto"/>
                    <w:left w:val="none" w:sz="0" w:space="0" w:color="auto"/>
                    <w:bottom w:val="none" w:sz="0" w:space="0" w:color="auto"/>
                    <w:right w:val="none" w:sz="0" w:space="0" w:color="auto"/>
                  </w:divBdr>
                  <w:divsChild>
                    <w:div w:id="1352337394">
                      <w:marLeft w:val="0"/>
                      <w:marRight w:val="0"/>
                      <w:marTop w:val="120"/>
                      <w:marBottom w:val="0"/>
                      <w:divBdr>
                        <w:top w:val="none" w:sz="0" w:space="0" w:color="auto"/>
                        <w:left w:val="none" w:sz="0" w:space="0" w:color="auto"/>
                        <w:bottom w:val="none" w:sz="0" w:space="0" w:color="auto"/>
                        <w:right w:val="none" w:sz="0" w:space="0" w:color="auto"/>
                      </w:divBdr>
                    </w:div>
                    <w:div w:id="1443380663">
                      <w:marLeft w:val="0"/>
                      <w:marRight w:val="0"/>
                      <w:marTop w:val="0"/>
                      <w:marBottom w:val="0"/>
                      <w:divBdr>
                        <w:top w:val="none" w:sz="0" w:space="0" w:color="auto"/>
                        <w:left w:val="none" w:sz="0" w:space="0" w:color="auto"/>
                        <w:bottom w:val="none" w:sz="0" w:space="0" w:color="auto"/>
                        <w:right w:val="none" w:sz="0" w:space="0" w:color="auto"/>
                      </w:divBdr>
                    </w:div>
                  </w:divsChild>
                </w:div>
                <w:div w:id="808520178">
                  <w:marLeft w:val="0"/>
                  <w:marRight w:val="0"/>
                  <w:marTop w:val="0"/>
                  <w:marBottom w:val="0"/>
                  <w:divBdr>
                    <w:top w:val="none" w:sz="0" w:space="0" w:color="auto"/>
                    <w:left w:val="none" w:sz="0" w:space="0" w:color="auto"/>
                    <w:bottom w:val="none" w:sz="0" w:space="0" w:color="auto"/>
                    <w:right w:val="none" w:sz="0" w:space="0" w:color="auto"/>
                  </w:divBdr>
                  <w:divsChild>
                    <w:div w:id="1605383139">
                      <w:marLeft w:val="0"/>
                      <w:marRight w:val="0"/>
                      <w:marTop w:val="0"/>
                      <w:marBottom w:val="0"/>
                      <w:divBdr>
                        <w:top w:val="none" w:sz="0" w:space="0" w:color="auto"/>
                        <w:left w:val="none" w:sz="0" w:space="0" w:color="auto"/>
                        <w:bottom w:val="none" w:sz="0" w:space="0" w:color="auto"/>
                        <w:right w:val="none" w:sz="0" w:space="0" w:color="auto"/>
                      </w:divBdr>
                    </w:div>
                    <w:div w:id="1835604346">
                      <w:marLeft w:val="0"/>
                      <w:marRight w:val="0"/>
                      <w:marTop w:val="120"/>
                      <w:marBottom w:val="0"/>
                      <w:divBdr>
                        <w:top w:val="none" w:sz="0" w:space="0" w:color="auto"/>
                        <w:left w:val="none" w:sz="0" w:space="0" w:color="auto"/>
                        <w:bottom w:val="none" w:sz="0" w:space="0" w:color="auto"/>
                        <w:right w:val="none" w:sz="0" w:space="0" w:color="auto"/>
                      </w:divBdr>
                    </w:div>
                  </w:divsChild>
                </w:div>
                <w:div w:id="856653579">
                  <w:marLeft w:val="0"/>
                  <w:marRight w:val="0"/>
                  <w:marTop w:val="0"/>
                  <w:marBottom w:val="0"/>
                  <w:divBdr>
                    <w:top w:val="none" w:sz="0" w:space="0" w:color="auto"/>
                    <w:left w:val="none" w:sz="0" w:space="0" w:color="auto"/>
                    <w:bottom w:val="none" w:sz="0" w:space="0" w:color="auto"/>
                    <w:right w:val="none" w:sz="0" w:space="0" w:color="auto"/>
                  </w:divBdr>
                  <w:divsChild>
                    <w:div w:id="92366967">
                      <w:marLeft w:val="0"/>
                      <w:marRight w:val="0"/>
                      <w:marTop w:val="0"/>
                      <w:marBottom w:val="0"/>
                      <w:divBdr>
                        <w:top w:val="none" w:sz="0" w:space="0" w:color="auto"/>
                        <w:left w:val="none" w:sz="0" w:space="0" w:color="auto"/>
                        <w:bottom w:val="none" w:sz="0" w:space="0" w:color="auto"/>
                        <w:right w:val="none" w:sz="0" w:space="0" w:color="auto"/>
                      </w:divBdr>
                    </w:div>
                    <w:div w:id="1610159719">
                      <w:marLeft w:val="0"/>
                      <w:marRight w:val="0"/>
                      <w:marTop w:val="120"/>
                      <w:marBottom w:val="0"/>
                      <w:divBdr>
                        <w:top w:val="none" w:sz="0" w:space="0" w:color="auto"/>
                        <w:left w:val="none" w:sz="0" w:space="0" w:color="auto"/>
                        <w:bottom w:val="none" w:sz="0" w:space="0" w:color="auto"/>
                        <w:right w:val="none" w:sz="0" w:space="0" w:color="auto"/>
                      </w:divBdr>
                    </w:div>
                  </w:divsChild>
                </w:div>
                <w:div w:id="1184586687">
                  <w:marLeft w:val="0"/>
                  <w:marRight w:val="0"/>
                  <w:marTop w:val="0"/>
                  <w:marBottom w:val="0"/>
                  <w:divBdr>
                    <w:top w:val="none" w:sz="0" w:space="0" w:color="auto"/>
                    <w:left w:val="none" w:sz="0" w:space="0" w:color="auto"/>
                    <w:bottom w:val="none" w:sz="0" w:space="0" w:color="auto"/>
                    <w:right w:val="none" w:sz="0" w:space="0" w:color="auto"/>
                  </w:divBdr>
                  <w:divsChild>
                    <w:div w:id="883057286">
                      <w:marLeft w:val="0"/>
                      <w:marRight w:val="0"/>
                      <w:marTop w:val="0"/>
                      <w:marBottom w:val="0"/>
                      <w:divBdr>
                        <w:top w:val="none" w:sz="0" w:space="0" w:color="auto"/>
                        <w:left w:val="none" w:sz="0" w:space="0" w:color="auto"/>
                        <w:bottom w:val="none" w:sz="0" w:space="0" w:color="auto"/>
                        <w:right w:val="none" w:sz="0" w:space="0" w:color="auto"/>
                      </w:divBdr>
                    </w:div>
                    <w:div w:id="12300020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58305358">
      <w:bodyDiv w:val="1"/>
      <w:marLeft w:val="0"/>
      <w:marRight w:val="0"/>
      <w:marTop w:val="0"/>
      <w:marBottom w:val="0"/>
      <w:divBdr>
        <w:top w:val="none" w:sz="0" w:space="0" w:color="auto"/>
        <w:left w:val="none" w:sz="0" w:space="0" w:color="auto"/>
        <w:bottom w:val="none" w:sz="0" w:space="0" w:color="auto"/>
        <w:right w:val="none" w:sz="0" w:space="0" w:color="auto"/>
      </w:divBdr>
      <w:divsChild>
        <w:div w:id="93937740">
          <w:marLeft w:val="0"/>
          <w:marRight w:val="0"/>
          <w:marTop w:val="0"/>
          <w:marBottom w:val="0"/>
          <w:divBdr>
            <w:top w:val="none" w:sz="0" w:space="0" w:color="auto"/>
            <w:left w:val="none" w:sz="0" w:space="0" w:color="auto"/>
            <w:bottom w:val="none" w:sz="0" w:space="0" w:color="auto"/>
            <w:right w:val="none" w:sz="0" w:space="0" w:color="auto"/>
          </w:divBdr>
          <w:divsChild>
            <w:div w:id="221791625">
              <w:marLeft w:val="0"/>
              <w:marRight w:val="0"/>
              <w:marTop w:val="0"/>
              <w:marBottom w:val="0"/>
              <w:divBdr>
                <w:top w:val="none" w:sz="0" w:space="0" w:color="auto"/>
                <w:left w:val="none" w:sz="0" w:space="0" w:color="auto"/>
                <w:bottom w:val="none" w:sz="0" w:space="0" w:color="auto"/>
                <w:right w:val="none" w:sz="0" w:space="0" w:color="auto"/>
              </w:divBdr>
              <w:divsChild>
                <w:div w:id="1020933335">
                  <w:marLeft w:val="0"/>
                  <w:marRight w:val="0"/>
                  <w:marTop w:val="120"/>
                  <w:marBottom w:val="0"/>
                  <w:divBdr>
                    <w:top w:val="none" w:sz="0" w:space="0" w:color="auto"/>
                    <w:left w:val="none" w:sz="0" w:space="0" w:color="auto"/>
                    <w:bottom w:val="none" w:sz="0" w:space="0" w:color="auto"/>
                    <w:right w:val="none" w:sz="0" w:space="0" w:color="auto"/>
                  </w:divBdr>
                </w:div>
                <w:div w:id="1185829120">
                  <w:marLeft w:val="0"/>
                  <w:marRight w:val="0"/>
                  <w:marTop w:val="0"/>
                  <w:marBottom w:val="0"/>
                  <w:divBdr>
                    <w:top w:val="none" w:sz="0" w:space="0" w:color="auto"/>
                    <w:left w:val="none" w:sz="0" w:space="0" w:color="auto"/>
                    <w:bottom w:val="none" w:sz="0" w:space="0" w:color="auto"/>
                    <w:right w:val="none" w:sz="0" w:space="0" w:color="auto"/>
                  </w:divBdr>
                </w:div>
              </w:divsChild>
            </w:div>
            <w:div w:id="1335717165">
              <w:marLeft w:val="0"/>
              <w:marRight w:val="0"/>
              <w:marTop w:val="0"/>
              <w:marBottom w:val="0"/>
              <w:divBdr>
                <w:top w:val="none" w:sz="0" w:space="0" w:color="auto"/>
                <w:left w:val="none" w:sz="0" w:space="0" w:color="auto"/>
                <w:bottom w:val="none" w:sz="0" w:space="0" w:color="auto"/>
                <w:right w:val="none" w:sz="0" w:space="0" w:color="auto"/>
              </w:divBdr>
              <w:divsChild>
                <w:div w:id="175970752">
                  <w:marLeft w:val="0"/>
                  <w:marRight w:val="0"/>
                  <w:marTop w:val="120"/>
                  <w:marBottom w:val="0"/>
                  <w:divBdr>
                    <w:top w:val="none" w:sz="0" w:space="0" w:color="auto"/>
                    <w:left w:val="none" w:sz="0" w:space="0" w:color="auto"/>
                    <w:bottom w:val="none" w:sz="0" w:space="0" w:color="auto"/>
                    <w:right w:val="none" w:sz="0" w:space="0" w:color="auto"/>
                  </w:divBdr>
                </w:div>
                <w:div w:id="1525946305">
                  <w:marLeft w:val="0"/>
                  <w:marRight w:val="0"/>
                  <w:marTop w:val="0"/>
                  <w:marBottom w:val="0"/>
                  <w:divBdr>
                    <w:top w:val="none" w:sz="0" w:space="0" w:color="auto"/>
                    <w:left w:val="none" w:sz="0" w:space="0" w:color="auto"/>
                    <w:bottom w:val="none" w:sz="0" w:space="0" w:color="auto"/>
                    <w:right w:val="none" w:sz="0" w:space="0" w:color="auto"/>
                  </w:divBdr>
                </w:div>
              </w:divsChild>
            </w:div>
            <w:div w:id="1481461716">
              <w:marLeft w:val="0"/>
              <w:marRight w:val="0"/>
              <w:marTop w:val="0"/>
              <w:marBottom w:val="0"/>
              <w:divBdr>
                <w:top w:val="none" w:sz="0" w:space="0" w:color="auto"/>
                <w:left w:val="none" w:sz="0" w:space="0" w:color="auto"/>
                <w:bottom w:val="none" w:sz="0" w:space="0" w:color="auto"/>
                <w:right w:val="none" w:sz="0" w:space="0" w:color="auto"/>
              </w:divBdr>
              <w:divsChild>
                <w:div w:id="274286639">
                  <w:marLeft w:val="0"/>
                  <w:marRight w:val="0"/>
                  <w:marTop w:val="120"/>
                  <w:marBottom w:val="0"/>
                  <w:divBdr>
                    <w:top w:val="none" w:sz="0" w:space="0" w:color="auto"/>
                    <w:left w:val="none" w:sz="0" w:space="0" w:color="auto"/>
                    <w:bottom w:val="none" w:sz="0" w:space="0" w:color="auto"/>
                    <w:right w:val="none" w:sz="0" w:space="0" w:color="auto"/>
                  </w:divBdr>
                </w:div>
                <w:div w:id="1536649616">
                  <w:marLeft w:val="0"/>
                  <w:marRight w:val="0"/>
                  <w:marTop w:val="0"/>
                  <w:marBottom w:val="0"/>
                  <w:divBdr>
                    <w:top w:val="none" w:sz="0" w:space="0" w:color="auto"/>
                    <w:left w:val="none" w:sz="0" w:space="0" w:color="auto"/>
                    <w:bottom w:val="none" w:sz="0" w:space="0" w:color="auto"/>
                    <w:right w:val="none" w:sz="0" w:space="0" w:color="auto"/>
                  </w:divBdr>
                </w:div>
              </w:divsChild>
            </w:div>
            <w:div w:id="1810709502">
              <w:marLeft w:val="0"/>
              <w:marRight w:val="0"/>
              <w:marTop w:val="0"/>
              <w:marBottom w:val="0"/>
              <w:divBdr>
                <w:top w:val="none" w:sz="0" w:space="0" w:color="auto"/>
                <w:left w:val="none" w:sz="0" w:space="0" w:color="auto"/>
                <w:bottom w:val="none" w:sz="0" w:space="0" w:color="auto"/>
                <w:right w:val="none" w:sz="0" w:space="0" w:color="auto"/>
              </w:divBdr>
              <w:divsChild>
                <w:div w:id="202786864">
                  <w:marLeft w:val="0"/>
                  <w:marRight w:val="0"/>
                  <w:marTop w:val="0"/>
                  <w:marBottom w:val="0"/>
                  <w:divBdr>
                    <w:top w:val="none" w:sz="0" w:space="0" w:color="auto"/>
                    <w:left w:val="none" w:sz="0" w:space="0" w:color="auto"/>
                    <w:bottom w:val="none" w:sz="0" w:space="0" w:color="auto"/>
                    <w:right w:val="none" w:sz="0" w:space="0" w:color="auto"/>
                  </w:divBdr>
                </w:div>
                <w:div w:id="10494572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59660987">
      <w:bodyDiv w:val="1"/>
      <w:marLeft w:val="0"/>
      <w:marRight w:val="0"/>
      <w:marTop w:val="0"/>
      <w:marBottom w:val="0"/>
      <w:divBdr>
        <w:top w:val="none" w:sz="0" w:space="0" w:color="auto"/>
        <w:left w:val="none" w:sz="0" w:space="0" w:color="auto"/>
        <w:bottom w:val="none" w:sz="0" w:space="0" w:color="auto"/>
        <w:right w:val="none" w:sz="0" w:space="0" w:color="auto"/>
      </w:divBdr>
      <w:divsChild>
        <w:div w:id="1493520926">
          <w:marLeft w:val="0"/>
          <w:marRight w:val="0"/>
          <w:marTop w:val="0"/>
          <w:marBottom w:val="0"/>
          <w:divBdr>
            <w:top w:val="none" w:sz="0" w:space="0" w:color="auto"/>
            <w:left w:val="none" w:sz="0" w:space="0" w:color="auto"/>
            <w:bottom w:val="none" w:sz="0" w:space="0" w:color="auto"/>
            <w:right w:val="none" w:sz="0" w:space="0" w:color="auto"/>
          </w:divBdr>
          <w:divsChild>
            <w:div w:id="75081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40636">
      <w:bodyDiv w:val="1"/>
      <w:marLeft w:val="0"/>
      <w:marRight w:val="0"/>
      <w:marTop w:val="0"/>
      <w:marBottom w:val="0"/>
      <w:divBdr>
        <w:top w:val="none" w:sz="0" w:space="0" w:color="auto"/>
        <w:left w:val="none" w:sz="0" w:space="0" w:color="auto"/>
        <w:bottom w:val="none" w:sz="0" w:space="0" w:color="auto"/>
        <w:right w:val="none" w:sz="0" w:space="0" w:color="auto"/>
      </w:divBdr>
      <w:divsChild>
        <w:div w:id="476991933">
          <w:marLeft w:val="0"/>
          <w:marRight w:val="0"/>
          <w:marTop w:val="0"/>
          <w:marBottom w:val="0"/>
          <w:divBdr>
            <w:top w:val="none" w:sz="0" w:space="0" w:color="auto"/>
            <w:left w:val="none" w:sz="0" w:space="0" w:color="auto"/>
            <w:bottom w:val="none" w:sz="0" w:space="0" w:color="auto"/>
            <w:right w:val="none" w:sz="0" w:space="0" w:color="auto"/>
          </w:divBdr>
        </w:div>
        <w:div w:id="1298993536">
          <w:marLeft w:val="0"/>
          <w:marRight w:val="0"/>
          <w:marTop w:val="0"/>
          <w:marBottom w:val="0"/>
          <w:divBdr>
            <w:top w:val="none" w:sz="0" w:space="0" w:color="auto"/>
            <w:left w:val="none" w:sz="0" w:space="0" w:color="auto"/>
            <w:bottom w:val="none" w:sz="0" w:space="0" w:color="auto"/>
            <w:right w:val="none" w:sz="0" w:space="0" w:color="auto"/>
          </w:divBdr>
          <w:divsChild>
            <w:div w:id="1633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3942">
      <w:bodyDiv w:val="1"/>
      <w:marLeft w:val="0"/>
      <w:marRight w:val="0"/>
      <w:marTop w:val="0"/>
      <w:marBottom w:val="0"/>
      <w:divBdr>
        <w:top w:val="none" w:sz="0" w:space="0" w:color="auto"/>
        <w:left w:val="none" w:sz="0" w:space="0" w:color="auto"/>
        <w:bottom w:val="none" w:sz="0" w:space="0" w:color="auto"/>
        <w:right w:val="none" w:sz="0" w:space="0" w:color="auto"/>
      </w:divBdr>
      <w:divsChild>
        <w:div w:id="653410278">
          <w:marLeft w:val="0"/>
          <w:marRight w:val="0"/>
          <w:marTop w:val="0"/>
          <w:marBottom w:val="0"/>
          <w:divBdr>
            <w:top w:val="none" w:sz="0" w:space="0" w:color="auto"/>
            <w:left w:val="none" w:sz="0" w:space="0" w:color="auto"/>
            <w:bottom w:val="none" w:sz="0" w:space="0" w:color="auto"/>
            <w:right w:val="none" w:sz="0" w:space="0" w:color="auto"/>
          </w:divBdr>
          <w:divsChild>
            <w:div w:id="4967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68126">
      <w:bodyDiv w:val="1"/>
      <w:marLeft w:val="0"/>
      <w:marRight w:val="0"/>
      <w:marTop w:val="0"/>
      <w:marBottom w:val="0"/>
      <w:divBdr>
        <w:top w:val="none" w:sz="0" w:space="0" w:color="auto"/>
        <w:left w:val="none" w:sz="0" w:space="0" w:color="auto"/>
        <w:bottom w:val="none" w:sz="0" w:space="0" w:color="auto"/>
        <w:right w:val="none" w:sz="0" w:space="0" w:color="auto"/>
      </w:divBdr>
      <w:divsChild>
        <w:div w:id="283773547">
          <w:marLeft w:val="0"/>
          <w:marRight w:val="0"/>
          <w:marTop w:val="0"/>
          <w:marBottom w:val="0"/>
          <w:divBdr>
            <w:top w:val="none" w:sz="0" w:space="0" w:color="auto"/>
            <w:left w:val="none" w:sz="0" w:space="0" w:color="auto"/>
            <w:bottom w:val="none" w:sz="0" w:space="0" w:color="auto"/>
            <w:right w:val="none" w:sz="0" w:space="0" w:color="auto"/>
          </w:divBdr>
          <w:divsChild>
            <w:div w:id="624040569">
              <w:marLeft w:val="0"/>
              <w:marRight w:val="0"/>
              <w:marTop w:val="0"/>
              <w:marBottom w:val="0"/>
              <w:divBdr>
                <w:top w:val="none" w:sz="0" w:space="0" w:color="auto"/>
                <w:left w:val="none" w:sz="0" w:space="0" w:color="auto"/>
                <w:bottom w:val="none" w:sz="0" w:space="0" w:color="auto"/>
                <w:right w:val="none" w:sz="0" w:space="0" w:color="auto"/>
              </w:divBdr>
            </w:div>
            <w:div w:id="859007865">
              <w:marLeft w:val="0"/>
              <w:marRight w:val="0"/>
              <w:marTop w:val="120"/>
              <w:marBottom w:val="0"/>
              <w:divBdr>
                <w:top w:val="none" w:sz="0" w:space="0" w:color="auto"/>
                <w:left w:val="none" w:sz="0" w:space="0" w:color="auto"/>
                <w:bottom w:val="none" w:sz="0" w:space="0" w:color="auto"/>
                <w:right w:val="none" w:sz="0" w:space="0" w:color="auto"/>
              </w:divBdr>
            </w:div>
          </w:divsChild>
        </w:div>
        <w:div w:id="1180966827">
          <w:marLeft w:val="0"/>
          <w:marRight w:val="0"/>
          <w:marTop w:val="0"/>
          <w:marBottom w:val="0"/>
          <w:divBdr>
            <w:top w:val="none" w:sz="0" w:space="0" w:color="auto"/>
            <w:left w:val="none" w:sz="0" w:space="0" w:color="auto"/>
            <w:bottom w:val="none" w:sz="0" w:space="0" w:color="auto"/>
            <w:right w:val="none" w:sz="0" w:space="0" w:color="auto"/>
          </w:divBdr>
          <w:divsChild>
            <w:div w:id="954099046">
              <w:marLeft w:val="0"/>
              <w:marRight w:val="0"/>
              <w:marTop w:val="120"/>
              <w:marBottom w:val="0"/>
              <w:divBdr>
                <w:top w:val="none" w:sz="0" w:space="0" w:color="auto"/>
                <w:left w:val="none" w:sz="0" w:space="0" w:color="auto"/>
                <w:bottom w:val="none" w:sz="0" w:space="0" w:color="auto"/>
                <w:right w:val="none" w:sz="0" w:space="0" w:color="auto"/>
              </w:divBdr>
            </w:div>
            <w:div w:id="1710714502">
              <w:marLeft w:val="0"/>
              <w:marRight w:val="0"/>
              <w:marTop w:val="0"/>
              <w:marBottom w:val="0"/>
              <w:divBdr>
                <w:top w:val="none" w:sz="0" w:space="0" w:color="auto"/>
                <w:left w:val="none" w:sz="0" w:space="0" w:color="auto"/>
                <w:bottom w:val="none" w:sz="0" w:space="0" w:color="auto"/>
                <w:right w:val="none" w:sz="0" w:space="0" w:color="auto"/>
              </w:divBdr>
              <w:divsChild>
                <w:div w:id="131600494">
                  <w:marLeft w:val="0"/>
                  <w:marRight w:val="0"/>
                  <w:marTop w:val="0"/>
                  <w:marBottom w:val="0"/>
                  <w:divBdr>
                    <w:top w:val="none" w:sz="0" w:space="0" w:color="auto"/>
                    <w:left w:val="none" w:sz="0" w:space="0" w:color="auto"/>
                    <w:bottom w:val="none" w:sz="0" w:space="0" w:color="auto"/>
                    <w:right w:val="none" w:sz="0" w:space="0" w:color="auto"/>
                  </w:divBdr>
                  <w:divsChild>
                    <w:div w:id="488055612">
                      <w:marLeft w:val="0"/>
                      <w:marRight w:val="0"/>
                      <w:marTop w:val="120"/>
                      <w:marBottom w:val="0"/>
                      <w:divBdr>
                        <w:top w:val="none" w:sz="0" w:space="0" w:color="auto"/>
                        <w:left w:val="none" w:sz="0" w:space="0" w:color="auto"/>
                        <w:bottom w:val="none" w:sz="0" w:space="0" w:color="auto"/>
                        <w:right w:val="none" w:sz="0" w:space="0" w:color="auto"/>
                      </w:divBdr>
                    </w:div>
                    <w:div w:id="1485199807">
                      <w:marLeft w:val="0"/>
                      <w:marRight w:val="0"/>
                      <w:marTop w:val="0"/>
                      <w:marBottom w:val="0"/>
                      <w:divBdr>
                        <w:top w:val="none" w:sz="0" w:space="0" w:color="auto"/>
                        <w:left w:val="none" w:sz="0" w:space="0" w:color="auto"/>
                        <w:bottom w:val="none" w:sz="0" w:space="0" w:color="auto"/>
                        <w:right w:val="none" w:sz="0" w:space="0" w:color="auto"/>
                      </w:divBdr>
                    </w:div>
                  </w:divsChild>
                </w:div>
                <w:div w:id="1833108640">
                  <w:marLeft w:val="0"/>
                  <w:marRight w:val="0"/>
                  <w:marTop w:val="0"/>
                  <w:marBottom w:val="0"/>
                  <w:divBdr>
                    <w:top w:val="none" w:sz="0" w:space="0" w:color="auto"/>
                    <w:left w:val="none" w:sz="0" w:space="0" w:color="auto"/>
                    <w:bottom w:val="none" w:sz="0" w:space="0" w:color="auto"/>
                    <w:right w:val="none" w:sz="0" w:space="0" w:color="auto"/>
                  </w:divBdr>
                  <w:divsChild>
                    <w:div w:id="297230062">
                      <w:marLeft w:val="0"/>
                      <w:marRight w:val="0"/>
                      <w:marTop w:val="0"/>
                      <w:marBottom w:val="0"/>
                      <w:divBdr>
                        <w:top w:val="none" w:sz="0" w:space="0" w:color="auto"/>
                        <w:left w:val="none" w:sz="0" w:space="0" w:color="auto"/>
                        <w:bottom w:val="none" w:sz="0" w:space="0" w:color="auto"/>
                        <w:right w:val="none" w:sz="0" w:space="0" w:color="auto"/>
                      </w:divBdr>
                    </w:div>
                    <w:div w:id="17519301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11676065">
          <w:marLeft w:val="0"/>
          <w:marRight w:val="0"/>
          <w:marTop w:val="0"/>
          <w:marBottom w:val="0"/>
          <w:divBdr>
            <w:top w:val="none" w:sz="0" w:space="0" w:color="auto"/>
            <w:left w:val="none" w:sz="0" w:space="0" w:color="auto"/>
            <w:bottom w:val="none" w:sz="0" w:space="0" w:color="auto"/>
            <w:right w:val="none" w:sz="0" w:space="0" w:color="auto"/>
          </w:divBdr>
          <w:divsChild>
            <w:div w:id="83434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71294">
      <w:bodyDiv w:val="1"/>
      <w:marLeft w:val="0"/>
      <w:marRight w:val="0"/>
      <w:marTop w:val="0"/>
      <w:marBottom w:val="0"/>
      <w:divBdr>
        <w:top w:val="none" w:sz="0" w:space="0" w:color="auto"/>
        <w:left w:val="none" w:sz="0" w:space="0" w:color="auto"/>
        <w:bottom w:val="none" w:sz="0" w:space="0" w:color="auto"/>
        <w:right w:val="none" w:sz="0" w:space="0" w:color="auto"/>
      </w:divBdr>
      <w:divsChild>
        <w:div w:id="1994795364">
          <w:marLeft w:val="0"/>
          <w:marRight w:val="0"/>
          <w:marTop w:val="0"/>
          <w:marBottom w:val="0"/>
          <w:divBdr>
            <w:top w:val="none" w:sz="0" w:space="0" w:color="auto"/>
            <w:left w:val="none" w:sz="0" w:space="0" w:color="auto"/>
            <w:bottom w:val="none" w:sz="0" w:space="0" w:color="auto"/>
            <w:right w:val="none" w:sz="0" w:space="0" w:color="auto"/>
          </w:divBdr>
        </w:div>
      </w:divsChild>
    </w:div>
    <w:div w:id="1904944571">
      <w:bodyDiv w:val="1"/>
      <w:marLeft w:val="0"/>
      <w:marRight w:val="0"/>
      <w:marTop w:val="0"/>
      <w:marBottom w:val="0"/>
      <w:divBdr>
        <w:top w:val="none" w:sz="0" w:space="0" w:color="auto"/>
        <w:left w:val="none" w:sz="0" w:space="0" w:color="auto"/>
        <w:bottom w:val="none" w:sz="0" w:space="0" w:color="auto"/>
        <w:right w:val="none" w:sz="0" w:space="0" w:color="auto"/>
      </w:divBdr>
      <w:divsChild>
        <w:div w:id="1067844494">
          <w:marLeft w:val="0"/>
          <w:marRight w:val="0"/>
          <w:marTop w:val="0"/>
          <w:marBottom w:val="0"/>
          <w:divBdr>
            <w:top w:val="none" w:sz="0" w:space="0" w:color="auto"/>
            <w:left w:val="none" w:sz="0" w:space="0" w:color="auto"/>
            <w:bottom w:val="none" w:sz="0" w:space="0" w:color="auto"/>
            <w:right w:val="none" w:sz="0" w:space="0" w:color="auto"/>
          </w:divBdr>
          <w:divsChild>
            <w:div w:id="11314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93058">
      <w:bodyDiv w:val="1"/>
      <w:marLeft w:val="0"/>
      <w:marRight w:val="0"/>
      <w:marTop w:val="0"/>
      <w:marBottom w:val="0"/>
      <w:divBdr>
        <w:top w:val="none" w:sz="0" w:space="0" w:color="auto"/>
        <w:left w:val="none" w:sz="0" w:space="0" w:color="auto"/>
        <w:bottom w:val="none" w:sz="0" w:space="0" w:color="auto"/>
        <w:right w:val="none" w:sz="0" w:space="0" w:color="auto"/>
      </w:divBdr>
      <w:divsChild>
        <w:div w:id="2075352310">
          <w:marLeft w:val="0"/>
          <w:marRight w:val="0"/>
          <w:marTop w:val="0"/>
          <w:marBottom w:val="0"/>
          <w:divBdr>
            <w:top w:val="none" w:sz="0" w:space="0" w:color="auto"/>
            <w:left w:val="none" w:sz="0" w:space="0" w:color="auto"/>
            <w:bottom w:val="none" w:sz="0" w:space="0" w:color="auto"/>
            <w:right w:val="none" w:sz="0" w:space="0" w:color="auto"/>
          </w:divBdr>
        </w:div>
      </w:divsChild>
    </w:div>
    <w:div w:id="1917086013">
      <w:bodyDiv w:val="1"/>
      <w:marLeft w:val="0"/>
      <w:marRight w:val="0"/>
      <w:marTop w:val="0"/>
      <w:marBottom w:val="0"/>
      <w:divBdr>
        <w:top w:val="none" w:sz="0" w:space="0" w:color="auto"/>
        <w:left w:val="none" w:sz="0" w:space="0" w:color="auto"/>
        <w:bottom w:val="none" w:sz="0" w:space="0" w:color="auto"/>
        <w:right w:val="none" w:sz="0" w:space="0" w:color="auto"/>
      </w:divBdr>
      <w:divsChild>
        <w:div w:id="1120106477">
          <w:marLeft w:val="0"/>
          <w:marRight w:val="0"/>
          <w:marTop w:val="0"/>
          <w:marBottom w:val="0"/>
          <w:divBdr>
            <w:top w:val="none" w:sz="0" w:space="0" w:color="auto"/>
            <w:left w:val="none" w:sz="0" w:space="0" w:color="auto"/>
            <w:bottom w:val="none" w:sz="0" w:space="0" w:color="auto"/>
            <w:right w:val="none" w:sz="0" w:space="0" w:color="auto"/>
          </w:divBdr>
          <w:divsChild>
            <w:div w:id="49228731">
              <w:marLeft w:val="0"/>
              <w:marRight w:val="0"/>
              <w:marTop w:val="0"/>
              <w:marBottom w:val="0"/>
              <w:divBdr>
                <w:top w:val="none" w:sz="0" w:space="0" w:color="auto"/>
                <w:left w:val="none" w:sz="0" w:space="0" w:color="auto"/>
                <w:bottom w:val="none" w:sz="0" w:space="0" w:color="auto"/>
                <w:right w:val="none" w:sz="0" w:space="0" w:color="auto"/>
              </w:divBdr>
              <w:divsChild>
                <w:div w:id="14117191">
                  <w:marLeft w:val="0"/>
                  <w:marRight w:val="0"/>
                  <w:marTop w:val="0"/>
                  <w:marBottom w:val="0"/>
                  <w:divBdr>
                    <w:top w:val="none" w:sz="0" w:space="0" w:color="auto"/>
                    <w:left w:val="none" w:sz="0" w:space="0" w:color="auto"/>
                    <w:bottom w:val="none" w:sz="0" w:space="0" w:color="auto"/>
                    <w:right w:val="none" w:sz="0" w:space="0" w:color="auto"/>
                  </w:divBdr>
                </w:div>
                <w:div w:id="214660728">
                  <w:marLeft w:val="0"/>
                  <w:marRight w:val="0"/>
                  <w:marTop w:val="120"/>
                  <w:marBottom w:val="0"/>
                  <w:divBdr>
                    <w:top w:val="none" w:sz="0" w:space="0" w:color="auto"/>
                    <w:left w:val="none" w:sz="0" w:space="0" w:color="auto"/>
                    <w:bottom w:val="none" w:sz="0" w:space="0" w:color="auto"/>
                    <w:right w:val="none" w:sz="0" w:space="0" w:color="auto"/>
                  </w:divBdr>
                </w:div>
              </w:divsChild>
            </w:div>
            <w:div w:id="703529910">
              <w:marLeft w:val="0"/>
              <w:marRight w:val="0"/>
              <w:marTop w:val="0"/>
              <w:marBottom w:val="0"/>
              <w:divBdr>
                <w:top w:val="none" w:sz="0" w:space="0" w:color="auto"/>
                <w:left w:val="none" w:sz="0" w:space="0" w:color="auto"/>
                <w:bottom w:val="none" w:sz="0" w:space="0" w:color="auto"/>
                <w:right w:val="none" w:sz="0" w:space="0" w:color="auto"/>
              </w:divBdr>
              <w:divsChild>
                <w:div w:id="1971282011">
                  <w:marLeft w:val="0"/>
                  <w:marRight w:val="0"/>
                  <w:marTop w:val="0"/>
                  <w:marBottom w:val="0"/>
                  <w:divBdr>
                    <w:top w:val="none" w:sz="0" w:space="0" w:color="auto"/>
                    <w:left w:val="none" w:sz="0" w:space="0" w:color="auto"/>
                    <w:bottom w:val="none" w:sz="0" w:space="0" w:color="auto"/>
                    <w:right w:val="none" w:sz="0" w:space="0" w:color="auto"/>
                  </w:divBdr>
                  <w:divsChild>
                    <w:div w:id="101847591">
                      <w:marLeft w:val="0"/>
                      <w:marRight w:val="0"/>
                      <w:marTop w:val="0"/>
                      <w:marBottom w:val="0"/>
                      <w:divBdr>
                        <w:top w:val="none" w:sz="0" w:space="0" w:color="auto"/>
                        <w:left w:val="none" w:sz="0" w:space="0" w:color="auto"/>
                        <w:bottom w:val="none" w:sz="0" w:space="0" w:color="auto"/>
                        <w:right w:val="none" w:sz="0" w:space="0" w:color="auto"/>
                      </w:divBdr>
                      <w:divsChild>
                        <w:div w:id="549193178">
                          <w:marLeft w:val="0"/>
                          <w:marRight w:val="0"/>
                          <w:marTop w:val="0"/>
                          <w:marBottom w:val="0"/>
                          <w:divBdr>
                            <w:top w:val="none" w:sz="0" w:space="0" w:color="auto"/>
                            <w:left w:val="none" w:sz="0" w:space="0" w:color="auto"/>
                            <w:bottom w:val="none" w:sz="0" w:space="0" w:color="auto"/>
                            <w:right w:val="none" w:sz="0" w:space="0" w:color="auto"/>
                          </w:divBdr>
                        </w:div>
                        <w:div w:id="1453286201">
                          <w:marLeft w:val="0"/>
                          <w:marRight w:val="0"/>
                          <w:marTop w:val="120"/>
                          <w:marBottom w:val="0"/>
                          <w:divBdr>
                            <w:top w:val="none" w:sz="0" w:space="0" w:color="auto"/>
                            <w:left w:val="none" w:sz="0" w:space="0" w:color="auto"/>
                            <w:bottom w:val="none" w:sz="0" w:space="0" w:color="auto"/>
                            <w:right w:val="none" w:sz="0" w:space="0" w:color="auto"/>
                          </w:divBdr>
                        </w:div>
                      </w:divsChild>
                    </w:div>
                    <w:div w:id="1102990427">
                      <w:marLeft w:val="0"/>
                      <w:marRight w:val="0"/>
                      <w:marTop w:val="0"/>
                      <w:marBottom w:val="0"/>
                      <w:divBdr>
                        <w:top w:val="none" w:sz="0" w:space="0" w:color="auto"/>
                        <w:left w:val="none" w:sz="0" w:space="0" w:color="auto"/>
                        <w:bottom w:val="none" w:sz="0" w:space="0" w:color="auto"/>
                        <w:right w:val="none" w:sz="0" w:space="0" w:color="auto"/>
                      </w:divBdr>
                      <w:divsChild>
                        <w:div w:id="69619125">
                          <w:marLeft w:val="0"/>
                          <w:marRight w:val="0"/>
                          <w:marTop w:val="0"/>
                          <w:marBottom w:val="0"/>
                          <w:divBdr>
                            <w:top w:val="none" w:sz="0" w:space="0" w:color="auto"/>
                            <w:left w:val="none" w:sz="0" w:space="0" w:color="auto"/>
                            <w:bottom w:val="none" w:sz="0" w:space="0" w:color="auto"/>
                            <w:right w:val="none" w:sz="0" w:space="0" w:color="auto"/>
                          </w:divBdr>
                        </w:div>
                        <w:div w:id="1150056917">
                          <w:marLeft w:val="0"/>
                          <w:marRight w:val="0"/>
                          <w:marTop w:val="120"/>
                          <w:marBottom w:val="0"/>
                          <w:divBdr>
                            <w:top w:val="none" w:sz="0" w:space="0" w:color="auto"/>
                            <w:left w:val="none" w:sz="0" w:space="0" w:color="auto"/>
                            <w:bottom w:val="none" w:sz="0" w:space="0" w:color="auto"/>
                            <w:right w:val="none" w:sz="0" w:space="0" w:color="auto"/>
                          </w:divBdr>
                        </w:div>
                      </w:divsChild>
                    </w:div>
                    <w:div w:id="1258175372">
                      <w:marLeft w:val="0"/>
                      <w:marRight w:val="0"/>
                      <w:marTop w:val="0"/>
                      <w:marBottom w:val="0"/>
                      <w:divBdr>
                        <w:top w:val="none" w:sz="0" w:space="0" w:color="auto"/>
                        <w:left w:val="none" w:sz="0" w:space="0" w:color="auto"/>
                        <w:bottom w:val="none" w:sz="0" w:space="0" w:color="auto"/>
                        <w:right w:val="none" w:sz="0" w:space="0" w:color="auto"/>
                      </w:divBdr>
                      <w:divsChild>
                        <w:div w:id="626787143">
                          <w:marLeft w:val="0"/>
                          <w:marRight w:val="0"/>
                          <w:marTop w:val="0"/>
                          <w:marBottom w:val="0"/>
                          <w:divBdr>
                            <w:top w:val="none" w:sz="0" w:space="0" w:color="auto"/>
                            <w:left w:val="none" w:sz="0" w:space="0" w:color="auto"/>
                            <w:bottom w:val="none" w:sz="0" w:space="0" w:color="auto"/>
                            <w:right w:val="none" w:sz="0" w:space="0" w:color="auto"/>
                          </w:divBdr>
                        </w:div>
                        <w:div w:id="20519558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6517685">
                  <w:marLeft w:val="0"/>
                  <w:marRight w:val="0"/>
                  <w:marTop w:val="120"/>
                  <w:marBottom w:val="0"/>
                  <w:divBdr>
                    <w:top w:val="none" w:sz="0" w:space="0" w:color="auto"/>
                    <w:left w:val="none" w:sz="0" w:space="0" w:color="auto"/>
                    <w:bottom w:val="none" w:sz="0" w:space="0" w:color="auto"/>
                    <w:right w:val="none" w:sz="0" w:space="0" w:color="auto"/>
                  </w:divBdr>
                </w:div>
              </w:divsChild>
            </w:div>
            <w:div w:id="1157500392">
              <w:marLeft w:val="0"/>
              <w:marRight w:val="0"/>
              <w:marTop w:val="0"/>
              <w:marBottom w:val="0"/>
              <w:divBdr>
                <w:top w:val="none" w:sz="0" w:space="0" w:color="auto"/>
                <w:left w:val="none" w:sz="0" w:space="0" w:color="auto"/>
                <w:bottom w:val="none" w:sz="0" w:space="0" w:color="auto"/>
                <w:right w:val="none" w:sz="0" w:space="0" w:color="auto"/>
              </w:divBdr>
              <w:divsChild>
                <w:div w:id="1344747215">
                  <w:marLeft w:val="0"/>
                  <w:marRight w:val="0"/>
                  <w:marTop w:val="0"/>
                  <w:marBottom w:val="0"/>
                  <w:divBdr>
                    <w:top w:val="none" w:sz="0" w:space="0" w:color="auto"/>
                    <w:left w:val="none" w:sz="0" w:space="0" w:color="auto"/>
                    <w:bottom w:val="none" w:sz="0" w:space="0" w:color="auto"/>
                    <w:right w:val="none" w:sz="0" w:space="0" w:color="auto"/>
                  </w:divBdr>
                </w:div>
                <w:div w:id="20082439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106251">
      <w:bodyDiv w:val="1"/>
      <w:marLeft w:val="0"/>
      <w:marRight w:val="0"/>
      <w:marTop w:val="0"/>
      <w:marBottom w:val="0"/>
      <w:divBdr>
        <w:top w:val="none" w:sz="0" w:space="0" w:color="auto"/>
        <w:left w:val="none" w:sz="0" w:space="0" w:color="auto"/>
        <w:bottom w:val="none" w:sz="0" w:space="0" w:color="auto"/>
        <w:right w:val="none" w:sz="0" w:space="0" w:color="auto"/>
      </w:divBdr>
      <w:divsChild>
        <w:div w:id="1829831219">
          <w:marLeft w:val="0"/>
          <w:marRight w:val="0"/>
          <w:marTop w:val="0"/>
          <w:marBottom w:val="0"/>
          <w:divBdr>
            <w:top w:val="none" w:sz="0" w:space="0" w:color="auto"/>
            <w:left w:val="none" w:sz="0" w:space="0" w:color="auto"/>
            <w:bottom w:val="none" w:sz="0" w:space="0" w:color="auto"/>
            <w:right w:val="none" w:sz="0" w:space="0" w:color="auto"/>
          </w:divBdr>
        </w:div>
      </w:divsChild>
    </w:div>
    <w:div w:id="1923639199">
      <w:bodyDiv w:val="1"/>
      <w:marLeft w:val="0"/>
      <w:marRight w:val="0"/>
      <w:marTop w:val="0"/>
      <w:marBottom w:val="0"/>
      <w:divBdr>
        <w:top w:val="none" w:sz="0" w:space="0" w:color="auto"/>
        <w:left w:val="none" w:sz="0" w:space="0" w:color="auto"/>
        <w:bottom w:val="none" w:sz="0" w:space="0" w:color="auto"/>
        <w:right w:val="none" w:sz="0" w:space="0" w:color="auto"/>
      </w:divBdr>
      <w:divsChild>
        <w:div w:id="268587000">
          <w:marLeft w:val="0"/>
          <w:marRight w:val="0"/>
          <w:marTop w:val="0"/>
          <w:marBottom w:val="0"/>
          <w:divBdr>
            <w:top w:val="none" w:sz="0" w:space="0" w:color="auto"/>
            <w:left w:val="none" w:sz="0" w:space="0" w:color="auto"/>
            <w:bottom w:val="none" w:sz="0" w:space="0" w:color="auto"/>
            <w:right w:val="none" w:sz="0" w:space="0" w:color="auto"/>
          </w:divBdr>
          <w:divsChild>
            <w:div w:id="7406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0655">
      <w:bodyDiv w:val="1"/>
      <w:marLeft w:val="0"/>
      <w:marRight w:val="0"/>
      <w:marTop w:val="0"/>
      <w:marBottom w:val="0"/>
      <w:divBdr>
        <w:top w:val="none" w:sz="0" w:space="0" w:color="auto"/>
        <w:left w:val="none" w:sz="0" w:space="0" w:color="auto"/>
        <w:bottom w:val="none" w:sz="0" w:space="0" w:color="auto"/>
        <w:right w:val="none" w:sz="0" w:space="0" w:color="auto"/>
      </w:divBdr>
      <w:divsChild>
        <w:div w:id="1148670795">
          <w:marLeft w:val="0"/>
          <w:marRight w:val="0"/>
          <w:marTop w:val="0"/>
          <w:marBottom w:val="0"/>
          <w:divBdr>
            <w:top w:val="none" w:sz="0" w:space="0" w:color="auto"/>
            <w:left w:val="none" w:sz="0" w:space="0" w:color="auto"/>
            <w:bottom w:val="none" w:sz="0" w:space="0" w:color="auto"/>
            <w:right w:val="none" w:sz="0" w:space="0" w:color="auto"/>
          </w:divBdr>
        </w:div>
      </w:divsChild>
    </w:div>
    <w:div w:id="1928808830">
      <w:bodyDiv w:val="1"/>
      <w:marLeft w:val="0"/>
      <w:marRight w:val="0"/>
      <w:marTop w:val="0"/>
      <w:marBottom w:val="0"/>
      <w:divBdr>
        <w:top w:val="none" w:sz="0" w:space="0" w:color="auto"/>
        <w:left w:val="none" w:sz="0" w:space="0" w:color="auto"/>
        <w:bottom w:val="none" w:sz="0" w:space="0" w:color="auto"/>
        <w:right w:val="none" w:sz="0" w:space="0" w:color="auto"/>
      </w:divBdr>
      <w:divsChild>
        <w:div w:id="2033412600">
          <w:marLeft w:val="0"/>
          <w:marRight w:val="0"/>
          <w:marTop w:val="0"/>
          <w:marBottom w:val="0"/>
          <w:divBdr>
            <w:top w:val="none" w:sz="0" w:space="0" w:color="auto"/>
            <w:left w:val="none" w:sz="0" w:space="0" w:color="auto"/>
            <w:bottom w:val="none" w:sz="0" w:space="0" w:color="auto"/>
            <w:right w:val="none" w:sz="0" w:space="0" w:color="auto"/>
          </w:divBdr>
          <w:divsChild>
            <w:div w:id="1348945003">
              <w:marLeft w:val="0"/>
              <w:marRight w:val="0"/>
              <w:marTop w:val="0"/>
              <w:marBottom w:val="0"/>
              <w:divBdr>
                <w:top w:val="none" w:sz="0" w:space="0" w:color="auto"/>
                <w:left w:val="none" w:sz="0" w:space="0" w:color="auto"/>
                <w:bottom w:val="none" w:sz="0" w:space="0" w:color="auto"/>
                <w:right w:val="none" w:sz="0" w:space="0" w:color="auto"/>
              </w:divBdr>
              <w:divsChild>
                <w:div w:id="296448003">
                  <w:marLeft w:val="0"/>
                  <w:marRight w:val="0"/>
                  <w:marTop w:val="0"/>
                  <w:marBottom w:val="0"/>
                  <w:divBdr>
                    <w:top w:val="none" w:sz="0" w:space="0" w:color="auto"/>
                    <w:left w:val="none" w:sz="0" w:space="0" w:color="auto"/>
                    <w:bottom w:val="none" w:sz="0" w:space="0" w:color="auto"/>
                    <w:right w:val="none" w:sz="0" w:space="0" w:color="auto"/>
                  </w:divBdr>
                </w:div>
                <w:div w:id="1471484536">
                  <w:marLeft w:val="0"/>
                  <w:marRight w:val="0"/>
                  <w:marTop w:val="120"/>
                  <w:marBottom w:val="0"/>
                  <w:divBdr>
                    <w:top w:val="none" w:sz="0" w:space="0" w:color="auto"/>
                    <w:left w:val="none" w:sz="0" w:space="0" w:color="auto"/>
                    <w:bottom w:val="none" w:sz="0" w:space="0" w:color="auto"/>
                    <w:right w:val="none" w:sz="0" w:space="0" w:color="auto"/>
                  </w:divBdr>
                </w:div>
              </w:divsChild>
            </w:div>
            <w:div w:id="2144350421">
              <w:marLeft w:val="0"/>
              <w:marRight w:val="0"/>
              <w:marTop w:val="0"/>
              <w:marBottom w:val="0"/>
              <w:divBdr>
                <w:top w:val="none" w:sz="0" w:space="0" w:color="auto"/>
                <w:left w:val="none" w:sz="0" w:space="0" w:color="auto"/>
                <w:bottom w:val="none" w:sz="0" w:space="0" w:color="auto"/>
                <w:right w:val="none" w:sz="0" w:space="0" w:color="auto"/>
              </w:divBdr>
              <w:divsChild>
                <w:div w:id="648678964">
                  <w:marLeft w:val="0"/>
                  <w:marRight w:val="0"/>
                  <w:marTop w:val="0"/>
                  <w:marBottom w:val="0"/>
                  <w:divBdr>
                    <w:top w:val="none" w:sz="0" w:space="0" w:color="auto"/>
                    <w:left w:val="none" w:sz="0" w:space="0" w:color="auto"/>
                    <w:bottom w:val="none" w:sz="0" w:space="0" w:color="auto"/>
                    <w:right w:val="none" w:sz="0" w:space="0" w:color="auto"/>
                  </w:divBdr>
                </w:div>
                <w:div w:id="1602294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32934710">
      <w:bodyDiv w:val="1"/>
      <w:marLeft w:val="0"/>
      <w:marRight w:val="0"/>
      <w:marTop w:val="0"/>
      <w:marBottom w:val="0"/>
      <w:divBdr>
        <w:top w:val="none" w:sz="0" w:space="0" w:color="auto"/>
        <w:left w:val="none" w:sz="0" w:space="0" w:color="auto"/>
        <w:bottom w:val="none" w:sz="0" w:space="0" w:color="auto"/>
        <w:right w:val="none" w:sz="0" w:space="0" w:color="auto"/>
      </w:divBdr>
      <w:divsChild>
        <w:div w:id="244459092">
          <w:marLeft w:val="0"/>
          <w:marRight w:val="0"/>
          <w:marTop w:val="0"/>
          <w:marBottom w:val="0"/>
          <w:divBdr>
            <w:top w:val="none" w:sz="0" w:space="0" w:color="auto"/>
            <w:left w:val="none" w:sz="0" w:space="0" w:color="auto"/>
            <w:bottom w:val="none" w:sz="0" w:space="0" w:color="auto"/>
            <w:right w:val="none" w:sz="0" w:space="0" w:color="auto"/>
          </w:divBdr>
        </w:div>
      </w:divsChild>
    </w:div>
    <w:div w:id="1937520620">
      <w:bodyDiv w:val="1"/>
      <w:marLeft w:val="0"/>
      <w:marRight w:val="0"/>
      <w:marTop w:val="0"/>
      <w:marBottom w:val="0"/>
      <w:divBdr>
        <w:top w:val="none" w:sz="0" w:space="0" w:color="auto"/>
        <w:left w:val="none" w:sz="0" w:space="0" w:color="auto"/>
        <w:bottom w:val="none" w:sz="0" w:space="0" w:color="auto"/>
        <w:right w:val="none" w:sz="0" w:space="0" w:color="auto"/>
      </w:divBdr>
      <w:divsChild>
        <w:div w:id="1251041516">
          <w:marLeft w:val="0"/>
          <w:marRight w:val="0"/>
          <w:marTop w:val="0"/>
          <w:marBottom w:val="0"/>
          <w:divBdr>
            <w:top w:val="none" w:sz="0" w:space="0" w:color="auto"/>
            <w:left w:val="none" w:sz="0" w:space="0" w:color="auto"/>
            <w:bottom w:val="none" w:sz="0" w:space="0" w:color="auto"/>
            <w:right w:val="none" w:sz="0" w:space="0" w:color="auto"/>
          </w:divBdr>
          <w:divsChild>
            <w:div w:id="1875003265">
              <w:marLeft w:val="0"/>
              <w:marRight w:val="0"/>
              <w:marTop w:val="0"/>
              <w:marBottom w:val="0"/>
              <w:divBdr>
                <w:top w:val="none" w:sz="0" w:space="0" w:color="auto"/>
                <w:left w:val="none" w:sz="0" w:space="0" w:color="auto"/>
                <w:bottom w:val="none" w:sz="0" w:space="0" w:color="auto"/>
                <w:right w:val="none" w:sz="0" w:space="0" w:color="auto"/>
              </w:divBdr>
              <w:divsChild>
                <w:div w:id="19301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6683">
      <w:bodyDiv w:val="1"/>
      <w:marLeft w:val="0"/>
      <w:marRight w:val="0"/>
      <w:marTop w:val="0"/>
      <w:marBottom w:val="0"/>
      <w:divBdr>
        <w:top w:val="none" w:sz="0" w:space="0" w:color="auto"/>
        <w:left w:val="none" w:sz="0" w:space="0" w:color="auto"/>
        <w:bottom w:val="none" w:sz="0" w:space="0" w:color="auto"/>
        <w:right w:val="none" w:sz="0" w:space="0" w:color="auto"/>
      </w:divBdr>
      <w:divsChild>
        <w:div w:id="1479106620">
          <w:marLeft w:val="0"/>
          <w:marRight w:val="0"/>
          <w:marTop w:val="0"/>
          <w:marBottom w:val="0"/>
          <w:divBdr>
            <w:top w:val="none" w:sz="0" w:space="0" w:color="auto"/>
            <w:left w:val="none" w:sz="0" w:space="0" w:color="auto"/>
            <w:bottom w:val="none" w:sz="0" w:space="0" w:color="auto"/>
            <w:right w:val="none" w:sz="0" w:space="0" w:color="auto"/>
          </w:divBdr>
        </w:div>
      </w:divsChild>
    </w:div>
    <w:div w:id="1939294611">
      <w:bodyDiv w:val="1"/>
      <w:marLeft w:val="0"/>
      <w:marRight w:val="0"/>
      <w:marTop w:val="0"/>
      <w:marBottom w:val="0"/>
      <w:divBdr>
        <w:top w:val="none" w:sz="0" w:space="0" w:color="auto"/>
        <w:left w:val="none" w:sz="0" w:space="0" w:color="auto"/>
        <w:bottom w:val="none" w:sz="0" w:space="0" w:color="auto"/>
        <w:right w:val="none" w:sz="0" w:space="0" w:color="auto"/>
      </w:divBdr>
      <w:divsChild>
        <w:div w:id="1533349318">
          <w:marLeft w:val="0"/>
          <w:marRight w:val="0"/>
          <w:marTop w:val="0"/>
          <w:marBottom w:val="0"/>
          <w:divBdr>
            <w:top w:val="none" w:sz="0" w:space="0" w:color="auto"/>
            <w:left w:val="none" w:sz="0" w:space="0" w:color="auto"/>
            <w:bottom w:val="none" w:sz="0" w:space="0" w:color="auto"/>
            <w:right w:val="none" w:sz="0" w:space="0" w:color="auto"/>
          </w:divBdr>
          <w:divsChild>
            <w:div w:id="1899704489">
              <w:marLeft w:val="0"/>
              <w:marRight w:val="0"/>
              <w:marTop w:val="0"/>
              <w:marBottom w:val="0"/>
              <w:divBdr>
                <w:top w:val="none" w:sz="0" w:space="0" w:color="auto"/>
                <w:left w:val="none" w:sz="0" w:space="0" w:color="auto"/>
                <w:bottom w:val="none" w:sz="0" w:space="0" w:color="auto"/>
                <w:right w:val="none" w:sz="0" w:space="0" w:color="auto"/>
              </w:divBdr>
            </w:div>
          </w:divsChild>
        </w:div>
        <w:div w:id="1577662467">
          <w:marLeft w:val="0"/>
          <w:marRight w:val="0"/>
          <w:marTop w:val="0"/>
          <w:marBottom w:val="0"/>
          <w:divBdr>
            <w:top w:val="none" w:sz="0" w:space="0" w:color="auto"/>
            <w:left w:val="none" w:sz="0" w:space="0" w:color="auto"/>
            <w:bottom w:val="none" w:sz="0" w:space="0" w:color="auto"/>
            <w:right w:val="none" w:sz="0" w:space="0" w:color="auto"/>
          </w:divBdr>
          <w:divsChild>
            <w:div w:id="19472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792">
      <w:bodyDiv w:val="1"/>
      <w:marLeft w:val="0"/>
      <w:marRight w:val="0"/>
      <w:marTop w:val="0"/>
      <w:marBottom w:val="0"/>
      <w:divBdr>
        <w:top w:val="none" w:sz="0" w:space="0" w:color="auto"/>
        <w:left w:val="none" w:sz="0" w:space="0" w:color="auto"/>
        <w:bottom w:val="none" w:sz="0" w:space="0" w:color="auto"/>
        <w:right w:val="none" w:sz="0" w:space="0" w:color="auto"/>
      </w:divBdr>
      <w:divsChild>
        <w:div w:id="1539734343">
          <w:marLeft w:val="0"/>
          <w:marRight w:val="0"/>
          <w:marTop w:val="0"/>
          <w:marBottom w:val="0"/>
          <w:divBdr>
            <w:top w:val="none" w:sz="0" w:space="0" w:color="auto"/>
            <w:left w:val="none" w:sz="0" w:space="0" w:color="auto"/>
            <w:bottom w:val="none" w:sz="0" w:space="0" w:color="auto"/>
            <w:right w:val="none" w:sz="0" w:space="0" w:color="auto"/>
          </w:divBdr>
        </w:div>
      </w:divsChild>
    </w:div>
    <w:div w:id="1942031131">
      <w:bodyDiv w:val="1"/>
      <w:marLeft w:val="0"/>
      <w:marRight w:val="0"/>
      <w:marTop w:val="0"/>
      <w:marBottom w:val="0"/>
      <w:divBdr>
        <w:top w:val="none" w:sz="0" w:space="0" w:color="auto"/>
        <w:left w:val="none" w:sz="0" w:space="0" w:color="auto"/>
        <w:bottom w:val="none" w:sz="0" w:space="0" w:color="auto"/>
        <w:right w:val="none" w:sz="0" w:space="0" w:color="auto"/>
      </w:divBdr>
      <w:divsChild>
        <w:div w:id="1248075658">
          <w:marLeft w:val="0"/>
          <w:marRight w:val="0"/>
          <w:marTop w:val="0"/>
          <w:marBottom w:val="0"/>
          <w:divBdr>
            <w:top w:val="none" w:sz="0" w:space="0" w:color="auto"/>
            <w:left w:val="none" w:sz="0" w:space="0" w:color="auto"/>
            <w:bottom w:val="none" w:sz="0" w:space="0" w:color="auto"/>
            <w:right w:val="none" w:sz="0" w:space="0" w:color="auto"/>
          </w:divBdr>
          <w:divsChild>
            <w:div w:id="1942638403">
              <w:marLeft w:val="0"/>
              <w:marRight w:val="0"/>
              <w:marTop w:val="0"/>
              <w:marBottom w:val="0"/>
              <w:divBdr>
                <w:top w:val="none" w:sz="0" w:space="0" w:color="auto"/>
                <w:left w:val="none" w:sz="0" w:space="0" w:color="auto"/>
                <w:bottom w:val="none" w:sz="0" w:space="0" w:color="auto"/>
                <w:right w:val="none" w:sz="0" w:space="0" w:color="auto"/>
              </w:divBdr>
              <w:divsChild>
                <w:div w:id="1027681046">
                  <w:marLeft w:val="0"/>
                  <w:marRight w:val="0"/>
                  <w:marTop w:val="0"/>
                  <w:marBottom w:val="0"/>
                  <w:divBdr>
                    <w:top w:val="none" w:sz="0" w:space="0" w:color="auto"/>
                    <w:left w:val="none" w:sz="0" w:space="0" w:color="auto"/>
                    <w:bottom w:val="none" w:sz="0" w:space="0" w:color="auto"/>
                    <w:right w:val="none" w:sz="0" w:space="0" w:color="auto"/>
                  </w:divBdr>
                  <w:divsChild>
                    <w:div w:id="812411176">
                      <w:marLeft w:val="0"/>
                      <w:marRight w:val="0"/>
                      <w:marTop w:val="0"/>
                      <w:marBottom w:val="0"/>
                      <w:divBdr>
                        <w:top w:val="none" w:sz="0" w:space="0" w:color="auto"/>
                        <w:left w:val="none" w:sz="0" w:space="0" w:color="auto"/>
                        <w:bottom w:val="none" w:sz="0" w:space="0" w:color="auto"/>
                        <w:right w:val="none" w:sz="0" w:space="0" w:color="auto"/>
                      </w:divBdr>
                    </w:div>
                    <w:div w:id="1612127652">
                      <w:marLeft w:val="0"/>
                      <w:marRight w:val="0"/>
                      <w:marTop w:val="120"/>
                      <w:marBottom w:val="0"/>
                      <w:divBdr>
                        <w:top w:val="none" w:sz="0" w:space="0" w:color="auto"/>
                        <w:left w:val="none" w:sz="0" w:space="0" w:color="auto"/>
                        <w:bottom w:val="none" w:sz="0" w:space="0" w:color="auto"/>
                        <w:right w:val="none" w:sz="0" w:space="0" w:color="auto"/>
                      </w:divBdr>
                    </w:div>
                  </w:divsChild>
                </w:div>
                <w:div w:id="2037608789">
                  <w:marLeft w:val="0"/>
                  <w:marRight w:val="0"/>
                  <w:marTop w:val="0"/>
                  <w:marBottom w:val="0"/>
                  <w:divBdr>
                    <w:top w:val="none" w:sz="0" w:space="0" w:color="auto"/>
                    <w:left w:val="none" w:sz="0" w:space="0" w:color="auto"/>
                    <w:bottom w:val="none" w:sz="0" w:space="0" w:color="auto"/>
                    <w:right w:val="none" w:sz="0" w:space="0" w:color="auto"/>
                  </w:divBdr>
                  <w:divsChild>
                    <w:div w:id="510723265">
                      <w:marLeft w:val="0"/>
                      <w:marRight w:val="0"/>
                      <w:marTop w:val="0"/>
                      <w:marBottom w:val="0"/>
                      <w:divBdr>
                        <w:top w:val="none" w:sz="0" w:space="0" w:color="auto"/>
                        <w:left w:val="none" w:sz="0" w:space="0" w:color="auto"/>
                        <w:bottom w:val="none" w:sz="0" w:space="0" w:color="auto"/>
                        <w:right w:val="none" w:sz="0" w:space="0" w:color="auto"/>
                      </w:divBdr>
                    </w:div>
                    <w:div w:id="18225802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44141476">
      <w:bodyDiv w:val="1"/>
      <w:marLeft w:val="0"/>
      <w:marRight w:val="0"/>
      <w:marTop w:val="0"/>
      <w:marBottom w:val="0"/>
      <w:divBdr>
        <w:top w:val="none" w:sz="0" w:space="0" w:color="auto"/>
        <w:left w:val="none" w:sz="0" w:space="0" w:color="auto"/>
        <w:bottom w:val="none" w:sz="0" w:space="0" w:color="auto"/>
        <w:right w:val="none" w:sz="0" w:space="0" w:color="auto"/>
      </w:divBdr>
      <w:divsChild>
        <w:div w:id="896211582">
          <w:marLeft w:val="0"/>
          <w:marRight w:val="0"/>
          <w:marTop w:val="0"/>
          <w:marBottom w:val="0"/>
          <w:divBdr>
            <w:top w:val="none" w:sz="0" w:space="0" w:color="auto"/>
            <w:left w:val="none" w:sz="0" w:space="0" w:color="auto"/>
            <w:bottom w:val="none" w:sz="0" w:space="0" w:color="auto"/>
            <w:right w:val="none" w:sz="0" w:space="0" w:color="auto"/>
          </w:divBdr>
          <w:divsChild>
            <w:div w:id="189801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37664">
      <w:bodyDiv w:val="1"/>
      <w:marLeft w:val="0"/>
      <w:marRight w:val="0"/>
      <w:marTop w:val="0"/>
      <w:marBottom w:val="0"/>
      <w:divBdr>
        <w:top w:val="none" w:sz="0" w:space="0" w:color="auto"/>
        <w:left w:val="none" w:sz="0" w:space="0" w:color="auto"/>
        <w:bottom w:val="none" w:sz="0" w:space="0" w:color="auto"/>
        <w:right w:val="none" w:sz="0" w:space="0" w:color="auto"/>
      </w:divBdr>
      <w:divsChild>
        <w:div w:id="483468924">
          <w:marLeft w:val="0"/>
          <w:marRight w:val="0"/>
          <w:marTop w:val="0"/>
          <w:marBottom w:val="0"/>
          <w:divBdr>
            <w:top w:val="none" w:sz="0" w:space="0" w:color="auto"/>
            <w:left w:val="none" w:sz="0" w:space="0" w:color="auto"/>
            <w:bottom w:val="none" w:sz="0" w:space="0" w:color="auto"/>
            <w:right w:val="none" w:sz="0" w:space="0" w:color="auto"/>
          </w:divBdr>
          <w:divsChild>
            <w:div w:id="2002417453">
              <w:marLeft w:val="0"/>
              <w:marRight w:val="0"/>
              <w:marTop w:val="0"/>
              <w:marBottom w:val="0"/>
              <w:divBdr>
                <w:top w:val="none" w:sz="0" w:space="0" w:color="auto"/>
                <w:left w:val="none" w:sz="0" w:space="0" w:color="auto"/>
                <w:bottom w:val="none" w:sz="0" w:space="0" w:color="auto"/>
                <w:right w:val="none" w:sz="0" w:space="0" w:color="auto"/>
              </w:divBdr>
              <w:divsChild>
                <w:div w:id="1117791081">
                  <w:marLeft w:val="0"/>
                  <w:marRight w:val="0"/>
                  <w:marTop w:val="0"/>
                  <w:marBottom w:val="0"/>
                  <w:divBdr>
                    <w:top w:val="none" w:sz="0" w:space="0" w:color="auto"/>
                    <w:left w:val="none" w:sz="0" w:space="0" w:color="auto"/>
                    <w:bottom w:val="none" w:sz="0" w:space="0" w:color="auto"/>
                    <w:right w:val="none" w:sz="0" w:space="0" w:color="auto"/>
                  </w:divBdr>
                  <w:divsChild>
                    <w:div w:id="622807554">
                      <w:marLeft w:val="0"/>
                      <w:marRight w:val="0"/>
                      <w:marTop w:val="120"/>
                      <w:marBottom w:val="0"/>
                      <w:divBdr>
                        <w:top w:val="none" w:sz="0" w:space="0" w:color="auto"/>
                        <w:left w:val="none" w:sz="0" w:space="0" w:color="auto"/>
                        <w:bottom w:val="none" w:sz="0" w:space="0" w:color="auto"/>
                        <w:right w:val="none" w:sz="0" w:space="0" w:color="auto"/>
                      </w:divBdr>
                    </w:div>
                    <w:div w:id="1092354713">
                      <w:marLeft w:val="0"/>
                      <w:marRight w:val="0"/>
                      <w:marTop w:val="0"/>
                      <w:marBottom w:val="0"/>
                      <w:divBdr>
                        <w:top w:val="none" w:sz="0" w:space="0" w:color="auto"/>
                        <w:left w:val="none" w:sz="0" w:space="0" w:color="auto"/>
                        <w:bottom w:val="none" w:sz="0" w:space="0" w:color="auto"/>
                        <w:right w:val="none" w:sz="0" w:space="0" w:color="auto"/>
                      </w:divBdr>
                    </w:div>
                  </w:divsChild>
                </w:div>
                <w:div w:id="1727414034">
                  <w:marLeft w:val="0"/>
                  <w:marRight w:val="0"/>
                  <w:marTop w:val="0"/>
                  <w:marBottom w:val="0"/>
                  <w:divBdr>
                    <w:top w:val="none" w:sz="0" w:space="0" w:color="auto"/>
                    <w:left w:val="none" w:sz="0" w:space="0" w:color="auto"/>
                    <w:bottom w:val="none" w:sz="0" w:space="0" w:color="auto"/>
                    <w:right w:val="none" w:sz="0" w:space="0" w:color="auto"/>
                  </w:divBdr>
                  <w:divsChild>
                    <w:div w:id="36197966">
                      <w:marLeft w:val="0"/>
                      <w:marRight w:val="0"/>
                      <w:marTop w:val="120"/>
                      <w:marBottom w:val="0"/>
                      <w:divBdr>
                        <w:top w:val="none" w:sz="0" w:space="0" w:color="auto"/>
                        <w:left w:val="none" w:sz="0" w:space="0" w:color="auto"/>
                        <w:bottom w:val="none" w:sz="0" w:space="0" w:color="auto"/>
                        <w:right w:val="none" w:sz="0" w:space="0" w:color="auto"/>
                      </w:divBdr>
                    </w:div>
                    <w:div w:id="21187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502326">
      <w:bodyDiv w:val="1"/>
      <w:marLeft w:val="0"/>
      <w:marRight w:val="0"/>
      <w:marTop w:val="0"/>
      <w:marBottom w:val="0"/>
      <w:divBdr>
        <w:top w:val="none" w:sz="0" w:space="0" w:color="auto"/>
        <w:left w:val="none" w:sz="0" w:space="0" w:color="auto"/>
        <w:bottom w:val="none" w:sz="0" w:space="0" w:color="auto"/>
        <w:right w:val="none" w:sz="0" w:space="0" w:color="auto"/>
      </w:divBdr>
      <w:divsChild>
        <w:div w:id="2004164413">
          <w:marLeft w:val="0"/>
          <w:marRight w:val="0"/>
          <w:marTop w:val="0"/>
          <w:marBottom w:val="0"/>
          <w:divBdr>
            <w:top w:val="none" w:sz="0" w:space="0" w:color="auto"/>
            <w:left w:val="none" w:sz="0" w:space="0" w:color="auto"/>
            <w:bottom w:val="none" w:sz="0" w:space="0" w:color="auto"/>
            <w:right w:val="none" w:sz="0" w:space="0" w:color="auto"/>
          </w:divBdr>
          <w:divsChild>
            <w:div w:id="64481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78525">
      <w:bodyDiv w:val="1"/>
      <w:marLeft w:val="0"/>
      <w:marRight w:val="0"/>
      <w:marTop w:val="0"/>
      <w:marBottom w:val="0"/>
      <w:divBdr>
        <w:top w:val="none" w:sz="0" w:space="0" w:color="auto"/>
        <w:left w:val="none" w:sz="0" w:space="0" w:color="auto"/>
        <w:bottom w:val="none" w:sz="0" w:space="0" w:color="auto"/>
        <w:right w:val="none" w:sz="0" w:space="0" w:color="auto"/>
      </w:divBdr>
      <w:divsChild>
        <w:div w:id="765002735">
          <w:marLeft w:val="0"/>
          <w:marRight w:val="0"/>
          <w:marTop w:val="0"/>
          <w:marBottom w:val="0"/>
          <w:divBdr>
            <w:top w:val="none" w:sz="0" w:space="0" w:color="auto"/>
            <w:left w:val="none" w:sz="0" w:space="0" w:color="auto"/>
            <w:bottom w:val="none" w:sz="0" w:space="0" w:color="auto"/>
            <w:right w:val="none" w:sz="0" w:space="0" w:color="auto"/>
          </w:divBdr>
          <w:divsChild>
            <w:div w:id="904757168">
              <w:marLeft w:val="0"/>
              <w:marRight w:val="0"/>
              <w:marTop w:val="0"/>
              <w:marBottom w:val="0"/>
              <w:divBdr>
                <w:top w:val="none" w:sz="0" w:space="0" w:color="auto"/>
                <w:left w:val="none" w:sz="0" w:space="0" w:color="auto"/>
                <w:bottom w:val="none" w:sz="0" w:space="0" w:color="auto"/>
                <w:right w:val="none" w:sz="0" w:space="0" w:color="auto"/>
              </w:divBdr>
            </w:div>
          </w:divsChild>
        </w:div>
        <w:div w:id="1897202019">
          <w:marLeft w:val="0"/>
          <w:marRight w:val="0"/>
          <w:marTop w:val="0"/>
          <w:marBottom w:val="0"/>
          <w:divBdr>
            <w:top w:val="none" w:sz="0" w:space="0" w:color="auto"/>
            <w:left w:val="none" w:sz="0" w:space="0" w:color="auto"/>
            <w:bottom w:val="none" w:sz="0" w:space="0" w:color="auto"/>
            <w:right w:val="none" w:sz="0" w:space="0" w:color="auto"/>
          </w:divBdr>
        </w:div>
      </w:divsChild>
    </w:div>
    <w:div w:id="1950699927">
      <w:bodyDiv w:val="1"/>
      <w:marLeft w:val="0"/>
      <w:marRight w:val="0"/>
      <w:marTop w:val="0"/>
      <w:marBottom w:val="0"/>
      <w:divBdr>
        <w:top w:val="none" w:sz="0" w:space="0" w:color="auto"/>
        <w:left w:val="none" w:sz="0" w:space="0" w:color="auto"/>
        <w:bottom w:val="none" w:sz="0" w:space="0" w:color="auto"/>
        <w:right w:val="none" w:sz="0" w:space="0" w:color="auto"/>
      </w:divBdr>
      <w:divsChild>
        <w:div w:id="674528865">
          <w:marLeft w:val="0"/>
          <w:marRight w:val="0"/>
          <w:marTop w:val="0"/>
          <w:marBottom w:val="0"/>
          <w:divBdr>
            <w:top w:val="none" w:sz="0" w:space="0" w:color="auto"/>
            <w:left w:val="none" w:sz="0" w:space="0" w:color="auto"/>
            <w:bottom w:val="none" w:sz="0" w:space="0" w:color="auto"/>
            <w:right w:val="none" w:sz="0" w:space="0" w:color="auto"/>
          </w:divBdr>
          <w:divsChild>
            <w:div w:id="148570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49151">
      <w:bodyDiv w:val="1"/>
      <w:marLeft w:val="0"/>
      <w:marRight w:val="0"/>
      <w:marTop w:val="0"/>
      <w:marBottom w:val="0"/>
      <w:divBdr>
        <w:top w:val="none" w:sz="0" w:space="0" w:color="auto"/>
        <w:left w:val="none" w:sz="0" w:space="0" w:color="auto"/>
        <w:bottom w:val="none" w:sz="0" w:space="0" w:color="auto"/>
        <w:right w:val="none" w:sz="0" w:space="0" w:color="auto"/>
      </w:divBdr>
      <w:divsChild>
        <w:div w:id="938371759">
          <w:marLeft w:val="0"/>
          <w:marRight w:val="0"/>
          <w:marTop w:val="0"/>
          <w:marBottom w:val="0"/>
          <w:divBdr>
            <w:top w:val="none" w:sz="0" w:space="0" w:color="auto"/>
            <w:left w:val="none" w:sz="0" w:space="0" w:color="auto"/>
            <w:bottom w:val="none" w:sz="0" w:space="0" w:color="auto"/>
            <w:right w:val="none" w:sz="0" w:space="0" w:color="auto"/>
          </w:divBdr>
          <w:divsChild>
            <w:div w:id="1011688448">
              <w:marLeft w:val="0"/>
              <w:marRight w:val="0"/>
              <w:marTop w:val="0"/>
              <w:marBottom w:val="0"/>
              <w:divBdr>
                <w:top w:val="none" w:sz="0" w:space="0" w:color="auto"/>
                <w:left w:val="none" w:sz="0" w:space="0" w:color="auto"/>
                <w:bottom w:val="none" w:sz="0" w:space="0" w:color="auto"/>
                <w:right w:val="none" w:sz="0" w:space="0" w:color="auto"/>
              </w:divBdr>
              <w:divsChild>
                <w:div w:id="221605329">
                  <w:marLeft w:val="0"/>
                  <w:marRight w:val="0"/>
                  <w:marTop w:val="0"/>
                  <w:marBottom w:val="0"/>
                  <w:divBdr>
                    <w:top w:val="none" w:sz="0" w:space="0" w:color="auto"/>
                    <w:left w:val="none" w:sz="0" w:space="0" w:color="auto"/>
                    <w:bottom w:val="none" w:sz="0" w:space="0" w:color="auto"/>
                    <w:right w:val="none" w:sz="0" w:space="0" w:color="auto"/>
                  </w:divBdr>
                  <w:divsChild>
                    <w:div w:id="578171998">
                      <w:marLeft w:val="0"/>
                      <w:marRight w:val="0"/>
                      <w:marTop w:val="0"/>
                      <w:marBottom w:val="0"/>
                      <w:divBdr>
                        <w:top w:val="none" w:sz="0" w:space="0" w:color="auto"/>
                        <w:left w:val="none" w:sz="0" w:space="0" w:color="auto"/>
                        <w:bottom w:val="none" w:sz="0" w:space="0" w:color="auto"/>
                        <w:right w:val="none" w:sz="0" w:space="0" w:color="auto"/>
                      </w:divBdr>
                    </w:div>
                    <w:div w:id="1556313774">
                      <w:marLeft w:val="0"/>
                      <w:marRight w:val="0"/>
                      <w:marTop w:val="120"/>
                      <w:marBottom w:val="0"/>
                      <w:divBdr>
                        <w:top w:val="none" w:sz="0" w:space="0" w:color="auto"/>
                        <w:left w:val="none" w:sz="0" w:space="0" w:color="auto"/>
                        <w:bottom w:val="none" w:sz="0" w:space="0" w:color="auto"/>
                        <w:right w:val="none" w:sz="0" w:space="0" w:color="auto"/>
                      </w:divBdr>
                    </w:div>
                  </w:divsChild>
                </w:div>
                <w:div w:id="747313866">
                  <w:marLeft w:val="0"/>
                  <w:marRight w:val="0"/>
                  <w:marTop w:val="0"/>
                  <w:marBottom w:val="0"/>
                  <w:divBdr>
                    <w:top w:val="none" w:sz="0" w:space="0" w:color="auto"/>
                    <w:left w:val="none" w:sz="0" w:space="0" w:color="auto"/>
                    <w:bottom w:val="none" w:sz="0" w:space="0" w:color="auto"/>
                    <w:right w:val="none" w:sz="0" w:space="0" w:color="auto"/>
                  </w:divBdr>
                  <w:divsChild>
                    <w:div w:id="133522876">
                      <w:marLeft w:val="0"/>
                      <w:marRight w:val="0"/>
                      <w:marTop w:val="120"/>
                      <w:marBottom w:val="0"/>
                      <w:divBdr>
                        <w:top w:val="none" w:sz="0" w:space="0" w:color="auto"/>
                        <w:left w:val="none" w:sz="0" w:space="0" w:color="auto"/>
                        <w:bottom w:val="none" w:sz="0" w:space="0" w:color="auto"/>
                        <w:right w:val="none" w:sz="0" w:space="0" w:color="auto"/>
                      </w:divBdr>
                    </w:div>
                    <w:div w:id="366028280">
                      <w:marLeft w:val="0"/>
                      <w:marRight w:val="0"/>
                      <w:marTop w:val="0"/>
                      <w:marBottom w:val="0"/>
                      <w:divBdr>
                        <w:top w:val="none" w:sz="0" w:space="0" w:color="auto"/>
                        <w:left w:val="none" w:sz="0" w:space="0" w:color="auto"/>
                        <w:bottom w:val="none" w:sz="0" w:space="0" w:color="auto"/>
                        <w:right w:val="none" w:sz="0" w:space="0" w:color="auto"/>
                      </w:divBdr>
                    </w:div>
                  </w:divsChild>
                </w:div>
                <w:div w:id="991175430">
                  <w:marLeft w:val="0"/>
                  <w:marRight w:val="0"/>
                  <w:marTop w:val="0"/>
                  <w:marBottom w:val="0"/>
                  <w:divBdr>
                    <w:top w:val="none" w:sz="0" w:space="0" w:color="auto"/>
                    <w:left w:val="none" w:sz="0" w:space="0" w:color="auto"/>
                    <w:bottom w:val="none" w:sz="0" w:space="0" w:color="auto"/>
                    <w:right w:val="none" w:sz="0" w:space="0" w:color="auto"/>
                  </w:divBdr>
                  <w:divsChild>
                    <w:div w:id="561216382">
                      <w:marLeft w:val="0"/>
                      <w:marRight w:val="0"/>
                      <w:marTop w:val="0"/>
                      <w:marBottom w:val="0"/>
                      <w:divBdr>
                        <w:top w:val="none" w:sz="0" w:space="0" w:color="auto"/>
                        <w:left w:val="none" w:sz="0" w:space="0" w:color="auto"/>
                        <w:bottom w:val="none" w:sz="0" w:space="0" w:color="auto"/>
                        <w:right w:val="none" w:sz="0" w:space="0" w:color="auto"/>
                      </w:divBdr>
                    </w:div>
                    <w:div w:id="1292201352">
                      <w:marLeft w:val="0"/>
                      <w:marRight w:val="0"/>
                      <w:marTop w:val="120"/>
                      <w:marBottom w:val="0"/>
                      <w:divBdr>
                        <w:top w:val="none" w:sz="0" w:space="0" w:color="auto"/>
                        <w:left w:val="none" w:sz="0" w:space="0" w:color="auto"/>
                        <w:bottom w:val="none" w:sz="0" w:space="0" w:color="auto"/>
                        <w:right w:val="none" w:sz="0" w:space="0" w:color="auto"/>
                      </w:divBdr>
                    </w:div>
                  </w:divsChild>
                </w:div>
                <w:div w:id="1989819318">
                  <w:marLeft w:val="0"/>
                  <w:marRight w:val="0"/>
                  <w:marTop w:val="0"/>
                  <w:marBottom w:val="0"/>
                  <w:divBdr>
                    <w:top w:val="none" w:sz="0" w:space="0" w:color="auto"/>
                    <w:left w:val="none" w:sz="0" w:space="0" w:color="auto"/>
                    <w:bottom w:val="none" w:sz="0" w:space="0" w:color="auto"/>
                    <w:right w:val="none" w:sz="0" w:space="0" w:color="auto"/>
                  </w:divBdr>
                  <w:divsChild>
                    <w:div w:id="528445908">
                      <w:marLeft w:val="0"/>
                      <w:marRight w:val="0"/>
                      <w:marTop w:val="0"/>
                      <w:marBottom w:val="0"/>
                      <w:divBdr>
                        <w:top w:val="none" w:sz="0" w:space="0" w:color="auto"/>
                        <w:left w:val="none" w:sz="0" w:space="0" w:color="auto"/>
                        <w:bottom w:val="none" w:sz="0" w:space="0" w:color="auto"/>
                        <w:right w:val="none" w:sz="0" w:space="0" w:color="auto"/>
                      </w:divBdr>
                    </w:div>
                    <w:div w:id="6667851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57058023">
      <w:bodyDiv w:val="1"/>
      <w:marLeft w:val="0"/>
      <w:marRight w:val="0"/>
      <w:marTop w:val="0"/>
      <w:marBottom w:val="0"/>
      <w:divBdr>
        <w:top w:val="none" w:sz="0" w:space="0" w:color="auto"/>
        <w:left w:val="none" w:sz="0" w:space="0" w:color="auto"/>
        <w:bottom w:val="none" w:sz="0" w:space="0" w:color="auto"/>
        <w:right w:val="none" w:sz="0" w:space="0" w:color="auto"/>
      </w:divBdr>
      <w:divsChild>
        <w:div w:id="1672680709">
          <w:marLeft w:val="0"/>
          <w:marRight w:val="0"/>
          <w:marTop w:val="0"/>
          <w:marBottom w:val="0"/>
          <w:divBdr>
            <w:top w:val="none" w:sz="0" w:space="0" w:color="auto"/>
            <w:left w:val="none" w:sz="0" w:space="0" w:color="auto"/>
            <w:bottom w:val="none" w:sz="0" w:space="0" w:color="auto"/>
            <w:right w:val="none" w:sz="0" w:space="0" w:color="auto"/>
          </w:divBdr>
        </w:div>
      </w:divsChild>
    </w:div>
    <w:div w:id="1961522010">
      <w:bodyDiv w:val="1"/>
      <w:marLeft w:val="0"/>
      <w:marRight w:val="0"/>
      <w:marTop w:val="0"/>
      <w:marBottom w:val="0"/>
      <w:divBdr>
        <w:top w:val="none" w:sz="0" w:space="0" w:color="auto"/>
        <w:left w:val="none" w:sz="0" w:space="0" w:color="auto"/>
        <w:bottom w:val="none" w:sz="0" w:space="0" w:color="auto"/>
        <w:right w:val="none" w:sz="0" w:space="0" w:color="auto"/>
      </w:divBdr>
      <w:divsChild>
        <w:div w:id="166987706">
          <w:marLeft w:val="0"/>
          <w:marRight w:val="0"/>
          <w:marTop w:val="0"/>
          <w:marBottom w:val="0"/>
          <w:divBdr>
            <w:top w:val="none" w:sz="0" w:space="0" w:color="auto"/>
            <w:left w:val="none" w:sz="0" w:space="0" w:color="auto"/>
            <w:bottom w:val="none" w:sz="0" w:space="0" w:color="auto"/>
            <w:right w:val="none" w:sz="0" w:space="0" w:color="auto"/>
          </w:divBdr>
        </w:div>
      </w:divsChild>
    </w:div>
    <w:div w:id="1967587437">
      <w:bodyDiv w:val="1"/>
      <w:marLeft w:val="0"/>
      <w:marRight w:val="0"/>
      <w:marTop w:val="0"/>
      <w:marBottom w:val="0"/>
      <w:divBdr>
        <w:top w:val="none" w:sz="0" w:space="0" w:color="auto"/>
        <w:left w:val="none" w:sz="0" w:space="0" w:color="auto"/>
        <w:bottom w:val="none" w:sz="0" w:space="0" w:color="auto"/>
        <w:right w:val="none" w:sz="0" w:space="0" w:color="auto"/>
      </w:divBdr>
      <w:divsChild>
        <w:div w:id="88084126">
          <w:marLeft w:val="0"/>
          <w:marRight w:val="0"/>
          <w:marTop w:val="0"/>
          <w:marBottom w:val="0"/>
          <w:divBdr>
            <w:top w:val="none" w:sz="0" w:space="0" w:color="auto"/>
            <w:left w:val="none" w:sz="0" w:space="0" w:color="auto"/>
            <w:bottom w:val="none" w:sz="0" w:space="0" w:color="auto"/>
            <w:right w:val="none" w:sz="0" w:space="0" w:color="auto"/>
          </w:divBdr>
        </w:div>
        <w:div w:id="161430662">
          <w:marLeft w:val="0"/>
          <w:marRight w:val="0"/>
          <w:marTop w:val="0"/>
          <w:marBottom w:val="0"/>
          <w:divBdr>
            <w:top w:val="none" w:sz="0" w:space="0" w:color="auto"/>
            <w:left w:val="none" w:sz="0" w:space="0" w:color="auto"/>
            <w:bottom w:val="none" w:sz="0" w:space="0" w:color="auto"/>
            <w:right w:val="none" w:sz="0" w:space="0" w:color="auto"/>
          </w:divBdr>
          <w:divsChild>
            <w:div w:id="16124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2112">
      <w:bodyDiv w:val="1"/>
      <w:marLeft w:val="0"/>
      <w:marRight w:val="0"/>
      <w:marTop w:val="0"/>
      <w:marBottom w:val="0"/>
      <w:divBdr>
        <w:top w:val="none" w:sz="0" w:space="0" w:color="auto"/>
        <w:left w:val="none" w:sz="0" w:space="0" w:color="auto"/>
        <w:bottom w:val="none" w:sz="0" w:space="0" w:color="auto"/>
        <w:right w:val="none" w:sz="0" w:space="0" w:color="auto"/>
      </w:divBdr>
      <w:divsChild>
        <w:div w:id="1345984892">
          <w:marLeft w:val="0"/>
          <w:marRight w:val="0"/>
          <w:marTop w:val="0"/>
          <w:marBottom w:val="0"/>
          <w:divBdr>
            <w:top w:val="none" w:sz="0" w:space="0" w:color="auto"/>
            <w:left w:val="none" w:sz="0" w:space="0" w:color="auto"/>
            <w:bottom w:val="none" w:sz="0" w:space="0" w:color="auto"/>
            <w:right w:val="none" w:sz="0" w:space="0" w:color="auto"/>
          </w:divBdr>
          <w:divsChild>
            <w:div w:id="900754285">
              <w:marLeft w:val="0"/>
              <w:marRight w:val="0"/>
              <w:marTop w:val="0"/>
              <w:marBottom w:val="0"/>
              <w:divBdr>
                <w:top w:val="none" w:sz="0" w:space="0" w:color="auto"/>
                <w:left w:val="none" w:sz="0" w:space="0" w:color="auto"/>
                <w:bottom w:val="none" w:sz="0" w:space="0" w:color="auto"/>
                <w:right w:val="none" w:sz="0" w:space="0" w:color="auto"/>
              </w:divBdr>
            </w:div>
          </w:divsChild>
        </w:div>
        <w:div w:id="2043553484">
          <w:marLeft w:val="0"/>
          <w:marRight w:val="0"/>
          <w:marTop w:val="0"/>
          <w:marBottom w:val="0"/>
          <w:divBdr>
            <w:top w:val="none" w:sz="0" w:space="0" w:color="auto"/>
            <w:left w:val="none" w:sz="0" w:space="0" w:color="auto"/>
            <w:bottom w:val="none" w:sz="0" w:space="0" w:color="auto"/>
            <w:right w:val="none" w:sz="0" w:space="0" w:color="auto"/>
          </w:divBdr>
          <w:divsChild>
            <w:div w:id="991177107">
              <w:marLeft w:val="0"/>
              <w:marRight w:val="0"/>
              <w:marTop w:val="0"/>
              <w:marBottom w:val="0"/>
              <w:divBdr>
                <w:top w:val="none" w:sz="0" w:space="0" w:color="auto"/>
                <w:left w:val="none" w:sz="0" w:space="0" w:color="auto"/>
                <w:bottom w:val="none" w:sz="0" w:space="0" w:color="auto"/>
                <w:right w:val="none" w:sz="0" w:space="0" w:color="auto"/>
              </w:divBdr>
              <w:divsChild>
                <w:div w:id="8570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51358">
      <w:bodyDiv w:val="1"/>
      <w:marLeft w:val="0"/>
      <w:marRight w:val="0"/>
      <w:marTop w:val="0"/>
      <w:marBottom w:val="0"/>
      <w:divBdr>
        <w:top w:val="none" w:sz="0" w:space="0" w:color="auto"/>
        <w:left w:val="none" w:sz="0" w:space="0" w:color="auto"/>
        <w:bottom w:val="none" w:sz="0" w:space="0" w:color="auto"/>
        <w:right w:val="none" w:sz="0" w:space="0" w:color="auto"/>
      </w:divBdr>
      <w:divsChild>
        <w:div w:id="679116795">
          <w:marLeft w:val="0"/>
          <w:marRight w:val="0"/>
          <w:marTop w:val="0"/>
          <w:marBottom w:val="0"/>
          <w:divBdr>
            <w:top w:val="none" w:sz="0" w:space="0" w:color="auto"/>
            <w:left w:val="none" w:sz="0" w:space="0" w:color="auto"/>
            <w:bottom w:val="none" w:sz="0" w:space="0" w:color="auto"/>
            <w:right w:val="none" w:sz="0" w:space="0" w:color="auto"/>
          </w:divBdr>
          <w:divsChild>
            <w:div w:id="1787891193">
              <w:marLeft w:val="0"/>
              <w:marRight w:val="0"/>
              <w:marTop w:val="0"/>
              <w:marBottom w:val="0"/>
              <w:divBdr>
                <w:top w:val="none" w:sz="0" w:space="0" w:color="auto"/>
                <w:left w:val="none" w:sz="0" w:space="0" w:color="auto"/>
                <w:bottom w:val="none" w:sz="0" w:space="0" w:color="auto"/>
                <w:right w:val="none" w:sz="0" w:space="0" w:color="auto"/>
              </w:divBdr>
            </w:div>
          </w:divsChild>
        </w:div>
        <w:div w:id="2102097444">
          <w:marLeft w:val="0"/>
          <w:marRight w:val="0"/>
          <w:marTop w:val="0"/>
          <w:marBottom w:val="0"/>
          <w:divBdr>
            <w:top w:val="none" w:sz="0" w:space="0" w:color="auto"/>
            <w:left w:val="none" w:sz="0" w:space="0" w:color="auto"/>
            <w:bottom w:val="none" w:sz="0" w:space="0" w:color="auto"/>
            <w:right w:val="none" w:sz="0" w:space="0" w:color="auto"/>
          </w:divBdr>
        </w:div>
      </w:divsChild>
    </w:div>
    <w:div w:id="1982153041">
      <w:bodyDiv w:val="1"/>
      <w:marLeft w:val="0"/>
      <w:marRight w:val="0"/>
      <w:marTop w:val="0"/>
      <w:marBottom w:val="0"/>
      <w:divBdr>
        <w:top w:val="none" w:sz="0" w:space="0" w:color="auto"/>
        <w:left w:val="none" w:sz="0" w:space="0" w:color="auto"/>
        <w:bottom w:val="none" w:sz="0" w:space="0" w:color="auto"/>
        <w:right w:val="none" w:sz="0" w:space="0" w:color="auto"/>
      </w:divBdr>
      <w:divsChild>
        <w:div w:id="936521327">
          <w:marLeft w:val="0"/>
          <w:marRight w:val="0"/>
          <w:marTop w:val="0"/>
          <w:marBottom w:val="0"/>
          <w:divBdr>
            <w:top w:val="none" w:sz="0" w:space="0" w:color="auto"/>
            <w:left w:val="none" w:sz="0" w:space="0" w:color="auto"/>
            <w:bottom w:val="none" w:sz="0" w:space="0" w:color="auto"/>
            <w:right w:val="none" w:sz="0" w:space="0" w:color="auto"/>
          </w:divBdr>
          <w:divsChild>
            <w:div w:id="1186139602">
              <w:marLeft w:val="0"/>
              <w:marRight w:val="0"/>
              <w:marTop w:val="0"/>
              <w:marBottom w:val="0"/>
              <w:divBdr>
                <w:top w:val="none" w:sz="0" w:space="0" w:color="auto"/>
                <w:left w:val="none" w:sz="0" w:space="0" w:color="auto"/>
                <w:bottom w:val="none" w:sz="0" w:space="0" w:color="auto"/>
                <w:right w:val="none" w:sz="0" w:space="0" w:color="auto"/>
              </w:divBdr>
              <w:divsChild>
                <w:div w:id="1209489202">
                  <w:marLeft w:val="0"/>
                  <w:marRight w:val="0"/>
                  <w:marTop w:val="0"/>
                  <w:marBottom w:val="0"/>
                  <w:divBdr>
                    <w:top w:val="none" w:sz="0" w:space="0" w:color="auto"/>
                    <w:left w:val="none" w:sz="0" w:space="0" w:color="auto"/>
                    <w:bottom w:val="none" w:sz="0" w:space="0" w:color="auto"/>
                    <w:right w:val="none" w:sz="0" w:space="0" w:color="auto"/>
                  </w:divBdr>
                  <w:divsChild>
                    <w:div w:id="1217007068">
                      <w:marLeft w:val="0"/>
                      <w:marRight w:val="0"/>
                      <w:marTop w:val="0"/>
                      <w:marBottom w:val="0"/>
                      <w:divBdr>
                        <w:top w:val="none" w:sz="0" w:space="0" w:color="auto"/>
                        <w:left w:val="none" w:sz="0" w:space="0" w:color="auto"/>
                        <w:bottom w:val="none" w:sz="0" w:space="0" w:color="auto"/>
                        <w:right w:val="none" w:sz="0" w:space="0" w:color="auto"/>
                      </w:divBdr>
                    </w:div>
                    <w:div w:id="1971789081">
                      <w:marLeft w:val="0"/>
                      <w:marRight w:val="0"/>
                      <w:marTop w:val="120"/>
                      <w:marBottom w:val="0"/>
                      <w:divBdr>
                        <w:top w:val="none" w:sz="0" w:space="0" w:color="auto"/>
                        <w:left w:val="none" w:sz="0" w:space="0" w:color="auto"/>
                        <w:bottom w:val="none" w:sz="0" w:space="0" w:color="auto"/>
                        <w:right w:val="none" w:sz="0" w:space="0" w:color="auto"/>
                      </w:divBdr>
                    </w:div>
                  </w:divsChild>
                </w:div>
                <w:div w:id="1306160672">
                  <w:marLeft w:val="0"/>
                  <w:marRight w:val="0"/>
                  <w:marTop w:val="0"/>
                  <w:marBottom w:val="0"/>
                  <w:divBdr>
                    <w:top w:val="none" w:sz="0" w:space="0" w:color="auto"/>
                    <w:left w:val="none" w:sz="0" w:space="0" w:color="auto"/>
                    <w:bottom w:val="none" w:sz="0" w:space="0" w:color="auto"/>
                    <w:right w:val="none" w:sz="0" w:space="0" w:color="auto"/>
                  </w:divBdr>
                  <w:divsChild>
                    <w:div w:id="1533614341">
                      <w:marLeft w:val="0"/>
                      <w:marRight w:val="0"/>
                      <w:marTop w:val="120"/>
                      <w:marBottom w:val="0"/>
                      <w:divBdr>
                        <w:top w:val="none" w:sz="0" w:space="0" w:color="auto"/>
                        <w:left w:val="none" w:sz="0" w:space="0" w:color="auto"/>
                        <w:bottom w:val="none" w:sz="0" w:space="0" w:color="auto"/>
                        <w:right w:val="none" w:sz="0" w:space="0" w:color="auto"/>
                      </w:divBdr>
                    </w:div>
                    <w:div w:id="198688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38543">
      <w:bodyDiv w:val="1"/>
      <w:marLeft w:val="0"/>
      <w:marRight w:val="0"/>
      <w:marTop w:val="0"/>
      <w:marBottom w:val="0"/>
      <w:divBdr>
        <w:top w:val="none" w:sz="0" w:space="0" w:color="auto"/>
        <w:left w:val="none" w:sz="0" w:space="0" w:color="auto"/>
        <w:bottom w:val="none" w:sz="0" w:space="0" w:color="auto"/>
        <w:right w:val="none" w:sz="0" w:space="0" w:color="auto"/>
      </w:divBdr>
      <w:divsChild>
        <w:div w:id="1121454464">
          <w:marLeft w:val="0"/>
          <w:marRight w:val="0"/>
          <w:marTop w:val="0"/>
          <w:marBottom w:val="0"/>
          <w:divBdr>
            <w:top w:val="none" w:sz="0" w:space="0" w:color="auto"/>
            <w:left w:val="none" w:sz="0" w:space="0" w:color="auto"/>
            <w:bottom w:val="none" w:sz="0" w:space="0" w:color="auto"/>
            <w:right w:val="none" w:sz="0" w:space="0" w:color="auto"/>
          </w:divBdr>
        </w:div>
      </w:divsChild>
    </w:div>
    <w:div w:id="1987856994">
      <w:bodyDiv w:val="1"/>
      <w:marLeft w:val="0"/>
      <w:marRight w:val="0"/>
      <w:marTop w:val="0"/>
      <w:marBottom w:val="0"/>
      <w:divBdr>
        <w:top w:val="none" w:sz="0" w:space="0" w:color="auto"/>
        <w:left w:val="none" w:sz="0" w:space="0" w:color="auto"/>
        <w:bottom w:val="none" w:sz="0" w:space="0" w:color="auto"/>
        <w:right w:val="none" w:sz="0" w:space="0" w:color="auto"/>
      </w:divBdr>
      <w:divsChild>
        <w:div w:id="1671903512">
          <w:marLeft w:val="0"/>
          <w:marRight w:val="0"/>
          <w:marTop w:val="0"/>
          <w:marBottom w:val="0"/>
          <w:divBdr>
            <w:top w:val="none" w:sz="0" w:space="0" w:color="auto"/>
            <w:left w:val="none" w:sz="0" w:space="0" w:color="auto"/>
            <w:bottom w:val="none" w:sz="0" w:space="0" w:color="auto"/>
            <w:right w:val="none" w:sz="0" w:space="0" w:color="auto"/>
          </w:divBdr>
        </w:div>
      </w:divsChild>
    </w:div>
    <w:div w:id="1995571392">
      <w:bodyDiv w:val="1"/>
      <w:marLeft w:val="0"/>
      <w:marRight w:val="0"/>
      <w:marTop w:val="0"/>
      <w:marBottom w:val="0"/>
      <w:divBdr>
        <w:top w:val="none" w:sz="0" w:space="0" w:color="auto"/>
        <w:left w:val="none" w:sz="0" w:space="0" w:color="auto"/>
        <w:bottom w:val="none" w:sz="0" w:space="0" w:color="auto"/>
        <w:right w:val="none" w:sz="0" w:space="0" w:color="auto"/>
      </w:divBdr>
      <w:divsChild>
        <w:div w:id="1478107435">
          <w:marLeft w:val="0"/>
          <w:marRight w:val="0"/>
          <w:marTop w:val="0"/>
          <w:marBottom w:val="0"/>
          <w:divBdr>
            <w:top w:val="none" w:sz="0" w:space="0" w:color="auto"/>
            <w:left w:val="none" w:sz="0" w:space="0" w:color="auto"/>
            <w:bottom w:val="none" w:sz="0" w:space="0" w:color="auto"/>
            <w:right w:val="none" w:sz="0" w:space="0" w:color="auto"/>
          </w:divBdr>
        </w:div>
      </w:divsChild>
    </w:div>
    <w:div w:id="1999337270">
      <w:bodyDiv w:val="1"/>
      <w:marLeft w:val="0"/>
      <w:marRight w:val="0"/>
      <w:marTop w:val="0"/>
      <w:marBottom w:val="0"/>
      <w:divBdr>
        <w:top w:val="none" w:sz="0" w:space="0" w:color="auto"/>
        <w:left w:val="none" w:sz="0" w:space="0" w:color="auto"/>
        <w:bottom w:val="none" w:sz="0" w:space="0" w:color="auto"/>
        <w:right w:val="none" w:sz="0" w:space="0" w:color="auto"/>
      </w:divBdr>
      <w:divsChild>
        <w:div w:id="335811635">
          <w:marLeft w:val="0"/>
          <w:marRight w:val="0"/>
          <w:marTop w:val="0"/>
          <w:marBottom w:val="0"/>
          <w:divBdr>
            <w:top w:val="none" w:sz="0" w:space="0" w:color="auto"/>
            <w:left w:val="none" w:sz="0" w:space="0" w:color="auto"/>
            <w:bottom w:val="none" w:sz="0" w:space="0" w:color="auto"/>
            <w:right w:val="none" w:sz="0" w:space="0" w:color="auto"/>
          </w:divBdr>
          <w:divsChild>
            <w:div w:id="107480108">
              <w:marLeft w:val="0"/>
              <w:marRight w:val="0"/>
              <w:marTop w:val="0"/>
              <w:marBottom w:val="0"/>
              <w:divBdr>
                <w:top w:val="none" w:sz="0" w:space="0" w:color="auto"/>
                <w:left w:val="none" w:sz="0" w:space="0" w:color="auto"/>
                <w:bottom w:val="none" w:sz="0" w:space="0" w:color="auto"/>
                <w:right w:val="none" w:sz="0" w:space="0" w:color="auto"/>
              </w:divBdr>
              <w:divsChild>
                <w:div w:id="1001276639">
                  <w:marLeft w:val="0"/>
                  <w:marRight w:val="0"/>
                  <w:marTop w:val="120"/>
                  <w:marBottom w:val="0"/>
                  <w:divBdr>
                    <w:top w:val="none" w:sz="0" w:space="0" w:color="auto"/>
                    <w:left w:val="none" w:sz="0" w:space="0" w:color="auto"/>
                    <w:bottom w:val="none" w:sz="0" w:space="0" w:color="auto"/>
                    <w:right w:val="none" w:sz="0" w:space="0" w:color="auto"/>
                  </w:divBdr>
                </w:div>
                <w:div w:id="1221985280">
                  <w:marLeft w:val="0"/>
                  <w:marRight w:val="0"/>
                  <w:marTop w:val="0"/>
                  <w:marBottom w:val="0"/>
                  <w:divBdr>
                    <w:top w:val="none" w:sz="0" w:space="0" w:color="auto"/>
                    <w:left w:val="none" w:sz="0" w:space="0" w:color="auto"/>
                    <w:bottom w:val="none" w:sz="0" w:space="0" w:color="auto"/>
                    <w:right w:val="none" w:sz="0" w:space="0" w:color="auto"/>
                  </w:divBdr>
                </w:div>
              </w:divsChild>
            </w:div>
            <w:div w:id="1440684818">
              <w:marLeft w:val="0"/>
              <w:marRight w:val="0"/>
              <w:marTop w:val="0"/>
              <w:marBottom w:val="0"/>
              <w:divBdr>
                <w:top w:val="none" w:sz="0" w:space="0" w:color="auto"/>
                <w:left w:val="none" w:sz="0" w:space="0" w:color="auto"/>
                <w:bottom w:val="none" w:sz="0" w:space="0" w:color="auto"/>
                <w:right w:val="none" w:sz="0" w:space="0" w:color="auto"/>
              </w:divBdr>
              <w:divsChild>
                <w:div w:id="1836147174">
                  <w:marLeft w:val="0"/>
                  <w:marRight w:val="0"/>
                  <w:marTop w:val="0"/>
                  <w:marBottom w:val="0"/>
                  <w:divBdr>
                    <w:top w:val="none" w:sz="0" w:space="0" w:color="auto"/>
                    <w:left w:val="none" w:sz="0" w:space="0" w:color="auto"/>
                    <w:bottom w:val="none" w:sz="0" w:space="0" w:color="auto"/>
                    <w:right w:val="none" w:sz="0" w:space="0" w:color="auto"/>
                  </w:divBdr>
                </w:div>
                <w:div w:id="1905212967">
                  <w:marLeft w:val="0"/>
                  <w:marRight w:val="0"/>
                  <w:marTop w:val="120"/>
                  <w:marBottom w:val="0"/>
                  <w:divBdr>
                    <w:top w:val="none" w:sz="0" w:space="0" w:color="auto"/>
                    <w:left w:val="none" w:sz="0" w:space="0" w:color="auto"/>
                    <w:bottom w:val="none" w:sz="0" w:space="0" w:color="auto"/>
                    <w:right w:val="none" w:sz="0" w:space="0" w:color="auto"/>
                  </w:divBdr>
                </w:div>
              </w:divsChild>
            </w:div>
            <w:div w:id="1869290144">
              <w:marLeft w:val="0"/>
              <w:marRight w:val="0"/>
              <w:marTop w:val="0"/>
              <w:marBottom w:val="0"/>
              <w:divBdr>
                <w:top w:val="none" w:sz="0" w:space="0" w:color="auto"/>
                <w:left w:val="none" w:sz="0" w:space="0" w:color="auto"/>
                <w:bottom w:val="none" w:sz="0" w:space="0" w:color="auto"/>
                <w:right w:val="none" w:sz="0" w:space="0" w:color="auto"/>
              </w:divBdr>
              <w:divsChild>
                <w:div w:id="211232463">
                  <w:marLeft w:val="0"/>
                  <w:marRight w:val="0"/>
                  <w:marTop w:val="120"/>
                  <w:marBottom w:val="0"/>
                  <w:divBdr>
                    <w:top w:val="none" w:sz="0" w:space="0" w:color="auto"/>
                    <w:left w:val="none" w:sz="0" w:space="0" w:color="auto"/>
                    <w:bottom w:val="none" w:sz="0" w:space="0" w:color="auto"/>
                    <w:right w:val="none" w:sz="0" w:space="0" w:color="auto"/>
                  </w:divBdr>
                </w:div>
                <w:div w:id="1483306856">
                  <w:marLeft w:val="0"/>
                  <w:marRight w:val="0"/>
                  <w:marTop w:val="0"/>
                  <w:marBottom w:val="0"/>
                  <w:divBdr>
                    <w:top w:val="none" w:sz="0" w:space="0" w:color="auto"/>
                    <w:left w:val="none" w:sz="0" w:space="0" w:color="auto"/>
                    <w:bottom w:val="none" w:sz="0" w:space="0" w:color="auto"/>
                    <w:right w:val="none" w:sz="0" w:space="0" w:color="auto"/>
                  </w:divBdr>
                </w:div>
              </w:divsChild>
            </w:div>
            <w:div w:id="1918860193">
              <w:marLeft w:val="0"/>
              <w:marRight w:val="0"/>
              <w:marTop w:val="0"/>
              <w:marBottom w:val="0"/>
              <w:divBdr>
                <w:top w:val="none" w:sz="0" w:space="0" w:color="auto"/>
                <w:left w:val="none" w:sz="0" w:space="0" w:color="auto"/>
                <w:bottom w:val="none" w:sz="0" w:space="0" w:color="auto"/>
                <w:right w:val="none" w:sz="0" w:space="0" w:color="auto"/>
              </w:divBdr>
              <w:divsChild>
                <w:div w:id="1879048452">
                  <w:marLeft w:val="0"/>
                  <w:marRight w:val="0"/>
                  <w:marTop w:val="0"/>
                  <w:marBottom w:val="0"/>
                  <w:divBdr>
                    <w:top w:val="none" w:sz="0" w:space="0" w:color="auto"/>
                    <w:left w:val="none" w:sz="0" w:space="0" w:color="auto"/>
                    <w:bottom w:val="none" w:sz="0" w:space="0" w:color="auto"/>
                    <w:right w:val="none" w:sz="0" w:space="0" w:color="auto"/>
                  </w:divBdr>
                </w:div>
                <w:div w:id="19738251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02846776">
      <w:bodyDiv w:val="1"/>
      <w:marLeft w:val="0"/>
      <w:marRight w:val="0"/>
      <w:marTop w:val="0"/>
      <w:marBottom w:val="0"/>
      <w:divBdr>
        <w:top w:val="none" w:sz="0" w:space="0" w:color="auto"/>
        <w:left w:val="none" w:sz="0" w:space="0" w:color="auto"/>
        <w:bottom w:val="none" w:sz="0" w:space="0" w:color="auto"/>
        <w:right w:val="none" w:sz="0" w:space="0" w:color="auto"/>
      </w:divBdr>
      <w:divsChild>
        <w:div w:id="442841198">
          <w:marLeft w:val="0"/>
          <w:marRight w:val="0"/>
          <w:marTop w:val="0"/>
          <w:marBottom w:val="0"/>
          <w:divBdr>
            <w:top w:val="none" w:sz="0" w:space="0" w:color="auto"/>
            <w:left w:val="none" w:sz="0" w:space="0" w:color="auto"/>
            <w:bottom w:val="none" w:sz="0" w:space="0" w:color="auto"/>
            <w:right w:val="none" w:sz="0" w:space="0" w:color="auto"/>
          </w:divBdr>
          <w:divsChild>
            <w:div w:id="7284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5630">
      <w:bodyDiv w:val="1"/>
      <w:marLeft w:val="0"/>
      <w:marRight w:val="0"/>
      <w:marTop w:val="0"/>
      <w:marBottom w:val="0"/>
      <w:divBdr>
        <w:top w:val="none" w:sz="0" w:space="0" w:color="auto"/>
        <w:left w:val="none" w:sz="0" w:space="0" w:color="auto"/>
        <w:bottom w:val="none" w:sz="0" w:space="0" w:color="auto"/>
        <w:right w:val="none" w:sz="0" w:space="0" w:color="auto"/>
      </w:divBdr>
      <w:divsChild>
        <w:div w:id="1115754690">
          <w:marLeft w:val="0"/>
          <w:marRight w:val="0"/>
          <w:marTop w:val="0"/>
          <w:marBottom w:val="0"/>
          <w:divBdr>
            <w:top w:val="none" w:sz="0" w:space="0" w:color="auto"/>
            <w:left w:val="none" w:sz="0" w:space="0" w:color="auto"/>
            <w:bottom w:val="none" w:sz="0" w:space="0" w:color="auto"/>
            <w:right w:val="none" w:sz="0" w:space="0" w:color="auto"/>
          </w:divBdr>
        </w:div>
      </w:divsChild>
    </w:div>
    <w:div w:id="2004237627">
      <w:bodyDiv w:val="1"/>
      <w:marLeft w:val="0"/>
      <w:marRight w:val="0"/>
      <w:marTop w:val="0"/>
      <w:marBottom w:val="0"/>
      <w:divBdr>
        <w:top w:val="none" w:sz="0" w:space="0" w:color="auto"/>
        <w:left w:val="none" w:sz="0" w:space="0" w:color="auto"/>
        <w:bottom w:val="none" w:sz="0" w:space="0" w:color="auto"/>
        <w:right w:val="none" w:sz="0" w:space="0" w:color="auto"/>
      </w:divBdr>
      <w:divsChild>
        <w:div w:id="1641494545">
          <w:marLeft w:val="0"/>
          <w:marRight w:val="0"/>
          <w:marTop w:val="0"/>
          <w:marBottom w:val="0"/>
          <w:divBdr>
            <w:top w:val="none" w:sz="0" w:space="0" w:color="auto"/>
            <w:left w:val="none" w:sz="0" w:space="0" w:color="auto"/>
            <w:bottom w:val="none" w:sz="0" w:space="0" w:color="auto"/>
            <w:right w:val="none" w:sz="0" w:space="0" w:color="auto"/>
          </w:divBdr>
          <w:divsChild>
            <w:div w:id="9158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74790">
      <w:bodyDiv w:val="1"/>
      <w:marLeft w:val="0"/>
      <w:marRight w:val="0"/>
      <w:marTop w:val="0"/>
      <w:marBottom w:val="0"/>
      <w:divBdr>
        <w:top w:val="none" w:sz="0" w:space="0" w:color="auto"/>
        <w:left w:val="none" w:sz="0" w:space="0" w:color="auto"/>
        <w:bottom w:val="none" w:sz="0" w:space="0" w:color="auto"/>
        <w:right w:val="none" w:sz="0" w:space="0" w:color="auto"/>
      </w:divBdr>
      <w:divsChild>
        <w:div w:id="846404609">
          <w:marLeft w:val="0"/>
          <w:marRight w:val="0"/>
          <w:marTop w:val="0"/>
          <w:marBottom w:val="0"/>
          <w:divBdr>
            <w:top w:val="none" w:sz="0" w:space="0" w:color="auto"/>
            <w:left w:val="none" w:sz="0" w:space="0" w:color="auto"/>
            <w:bottom w:val="none" w:sz="0" w:space="0" w:color="auto"/>
            <w:right w:val="none" w:sz="0" w:space="0" w:color="auto"/>
          </w:divBdr>
          <w:divsChild>
            <w:div w:id="1578708723">
              <w:marLeft w:val="0"/>
              <w:marRight w:val="0"/>
              <w:marTop w:val="0"/>
              <w:marBottom w:val="0"/>
              <w:divBdr>
                <w:top w:val="none" w:sz="0" w:space="0" w:color="auto"/>
                <w:left w:val="none" w:sz="0" w:space="0" w:color="auto"/>
                <w:bottom w:val="none" w:sz="0" w:space="0" w:color="auto"/>
                <w:right w:val="none" w:sz="0" w:space="0" w:color="auto"/>
              </w:divBdr>
            </w:div>
          </w:divsChild>
        </w:div>
        <w:div w:id="875582039">
          <w:marLeft w:val="0"/>
          <w:marRight w:val="0"/>
          <w:marTop w:val="0"/>
          <w:marBottom w:val="0"/>
          <w:divBdr>
            <w:top w:val="none" w:sz="0" w:space="0" w:color="auto"/>
            <w:left w:val="none" w:sz="0" w:space="0" w:color="auto"/>
            <w:bottom w:val="none" w:sz="0" w:space="0" w:color="auto"/>
            <w:right w:val="none" w:sz="0" w:space="0" w:color="auto"/>
          </w:divBdr>
          <w:divsChild>
            <w:div w:id="1098135924">
              <w:marLeft w:val="0"/>
              <w:marRight w:val="0"/>
              <w:marTop w:val="0"/>
              <w:marBottom w:val="0"/>
              <w:divBdr>
                <w:top w:val="none" w:sz="0" w:space="0" w:color="auto"/>
                <w:left w:val="none" w:sz="0" w:space="0" w:color="auto"/>
                <w:bottom w:val="none" w:sz="0" w:space="0" w:color="auto"/>
                <w:right w:val="none" w:sz="0" w:space="0" w:color="auto"/>
              </w:divBdr>
              <w:divsChild>
                <w:div w:id="803625457">
                  <w:marLeft w:val="0"/>
                  <w:marRight w:val="0"/>
                  <w:marTop w:val="0"/>
                  <w:marBottom w:val="0"/>
                  <w:divBdr>
                    <w:top w:val="none" w:sz="0" w:space="0" w:color="auto"/>
                    <w:left w:val="none" w:sz="0" w:space="0" w:color="auto"/>
                    <w:bottom w:val="none" w:sz="0" w:space="0" w:color="auto"/>
                    <w:right w:val="none" w:sz="0" w:space="0" w:color="auto"/>
                  </w:divBdr>
                  <w:divsChild>
                    <w:div w:id="1805079130">
                      <w:marLeft w:val="0"/>
                      <w:marRight w:val="0"/>
                      <w:marTop w:val="120"/>
                      <w:marBottom w:val="0"/>
                      <w:divBdr>
                        <w:top w:val="none" w:sz="0" w:space="0" w:color="auto"/>
                        <w:left w:val="none" w:sz="0" w:space="0" w:color="auto"/>
                        <w:bottom w:val="none" w:sz="0" w:space="0" w:color="auto"/>
                        <w:right w:val="none" w:sz="0" w:space="0" w:color="auto"/>
                      </w:divBdr>
                    </w:div>
                    <w:div w:id="1822042179">
                      <w:marLeft w:val="0"/>
                      <w:marRight w:val="0"/>
                      <w:marTop w:val="0"/>
                      <w:marBottom w:val="0"/>
                      <w:divBdr>
                        <w:top w:val="none" w:sz="0" w:space="0" w:color="auto"/>
                        <w:left w:val="none" w:sz="0" w:space="0" w:color="auto"/>
                        <w:bottom w:val="none" w:sz="0" w:space="0" w:color="auto"/>
                        <w:right w:val="none" w:sz="0" w:space="0" w:color="auto"/>
                      </w:divBdr>
                    </w:div>
                  </w:divsChild>
                </w:div>
                <w:div w:id="1634747051">
                  <w:marLeft w:val="0"/>
                  <w:marRight w:val="0"/>
                  <w:marTop w:val="0"/>
                  <w:marBottom w:val="0"/>
                  <w:divBdr>
                    <w:top w:val="none" w:sz="0" w:space="0" w:color="auto"/>
                    <w:left w:val="none" w:sz="0" w:space="0" w:color="auto"/>
                    <w:bottom w:val="none" w:sz="0" w:space="0" w:color="auto"/>
                    <w:right w:val="none" w:sz="0" w:space="0" w:color="auto"/>
                  </w:divBdr>
                  <w:divsChild>
                    <w:div w:id="128977029">
                      <w:marLeft w:val="0"/>
                      <w:marRight w:val="0"/>
                      <w:marTop w:val="0"/>
                      <w:marBottom w:val="0"/>
                      <w:divBdr>
                        <w:top w:val="none" w:sz="0" w:space="0" w:color="auto"/>
                        <w:left w:val="none" w:sz="0" w:space="0" w:color="auto"/>
                        <w:bottom w:val="none" w:sz="0" w:space="0" w:color="auto"/>
                        <w:right w:val="none" w:sz="0" w:space="0" w:color="auto"/>
                      </w:divBdr>
                      <w:divsChild>
                        <w:div w:id="518618042">
                          <w:marLeft w:val="0"/>
                          <w:marRight w:val="0"/>
                          <w:marTop w:val="0"/>
                          <w:marBottom w:val="0"/>
                          <w:divBdr>
                            <w:top w:val="none" w:sz="0" w:space="0" w:color="auto"/>
                            <w:left w:val="none" w:sz="0" w:space="0" w:color="auto"/>
                            <w:bottom w:val="none" w:sz="0" w:space="0" w:color="auto"/>
                            <w:right w:val="none" w:sz="0" w:space="0" w:color="auto"/>
                          </w:divBdr>
                          <w:divsChild>
                            <w:div w:id="125857644">
                              <w:marLeft w:val="0"/>
                              <w:marRight w:val="0"/>
                              <w:marTop w:val="0"/>
                              <w:marBottom w:val="0"/>
                              <w:divBdr>
                                <w:top w:val="none" w:sz="0" w:space="0" w:color="auto"/>
                                <w:left w:val="none" w:sz="0" w:space="0" w:color="auto"/>
                                <w:bottom w:val="none" w:sz="0" w:space="0" w:color="auto"/>
                                <w:right w:val="none" w:sz="0" w:space="0" w:color="auto"/>
                              </w:divBdr>
                            </w:div>
                            <w:div w:id="315035422">
                              <w:marLeft w:val="0"/>
                              <w:marRight w:val="0"/>
                              <w:marTop w:val="120"/>
                              <w:marBottom w:val="0"/>
                              <w:divBdr>
                                <w:top w:val="none" w:sz="0" w:space="0" w:color="auto"/>
                                <w:left w:val="none" w:sz="0" w:space="0" w:color="auto"/>
                                <w:bottom w:val="none" w:sz="0" w:space="0" w:color="auto"/>
                                <w:right w:val="none" w:sz="0" w:space="0" w:color="auto"/>
                              </w:divBdr>
                            </w:div>
                          </w:divsChild>
                        </w:div>
                        <w:div w:id="1038434196">
                          <w:marLeft w:val="0"/>
                          <w:marRight w:val="0"/>
                          <w:marTop w:val="0"/>
                          <w:marBottom w:val="0"/>
                          <w:divBdr>
                            <w:top w:val="none" w:sz="0" w:space="0" w:color="auto"/>
                            <w:left w:val="none" w:sz="0" w:space="0" w:color="auto"/>
                            <w:bottom w:val="none" w:sz="0" w:space="0" w:color="auto"/>
                            <w:right w:val="none" w:sz="0" w:space="0" w:color="auto"/>
                          </w:divBdr>
                          <w:divsChild>
                            <w:div w:id="1022049170">
                              <w:marLeft w:val="0"/>
                              <w:marRight w:val="0"/>
                              <w:marTop w:val="120"/>
                              <w:marBottom w:val="0"/>
                              <w:divBdr>
                                <w:top w:val="none" w:sz="0" w:space="0" w:color="auto"/>
                                <w:left w:val="none" w:sz="0" w:space="0" w:color="auto"/>
                                <w:bottom w:val="none" w:sz="0" w:space="0" w:color="auto"/>
                                <w:right w:val="none" w:sz="0" w:space="0" w:color="auto"/>
                              </w:divBdr>
                            </w:div>
                            <w:div w:id="1803186459">
                              <w:marLeft w:val="0"/>
                              <w:marRight w:val="0"/>
                              <w:marTop w:val="0"/>
                              <w:marBottom w:val="0"/>
                              <w:divBdr>
                                <w:top w:val="none" w:sz="0" w:space="0" w:color="auto"/>
                                <w:left w:val="none" w:sz="0" w:space="0" w:color="auto"/>
                                <w:bottom w:val="none" w:sz="0" w:space="0" w:color="auto"/>
                                <w:right w:val="none" w:sz="0" w:space="0" w:color="auto"/>
                              </w:divBdr>
                            </w:div>
                          </w:divsChild>
                        </w:div>
                        <w:div w:id="1961716794">
                          <w:marLeft w:val="0"/>
                          <w:marRight w:val="0"/>
                          <w:marTop w:val="0"/>
                          <w:marBottom w:val="0"/>
                          <w:divBdr>
                            <w:top w:val="none" w:sz="0" w:space="0" w:color="auto"/>
                            <w:left w:val="none" w:sz="0" w:space="0" w:color="auto"/>
                            <w:bottom w:val="none" w:sz="0" w:space="0" w:color="auto"/>
                            <w:right w:val="none" w:sz="0" w:space="0" w:color="auto"/>
                          </w:divBdr>
                          <w:divsChild>
                            <w:div w:id="655576698">
                              <w:marLeft w:val="0"/>
                              <w:marRight w:val="0"/>
                              <w:marTop w:val="120"/>
                              <w:marBottom w:val="0"/>
                              <w:divBdr>
                                <w:top w:val="none" w:sz="0" w:space="0" w:color="auto"/>
                                <w:left w:val="none" w:sz="0" w:space="0" w:color="auto"/>
                                <w:bottom w:val="none" w:sz="0" w:space="0" w:color="auto"/>
                                <w:right w:val="none" w:sz="0" w:space="0" w:color="auto"/>
                              </w:divBdr>
                            </w:div>
                            <w:div w:id="10963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60369">
                      <w:marLeft w:val="0"/>
                      <w:marRight w:val="0"/>
                      <w:marTop w:val="120"/>
                      <w:marBottom w:val="0"/>
                      <w:divBdr>
                        <w:top w:val="none" w:sz="0" w:space="0" w:color="auto"/>
                        <w:left w:val="none" w:sz="0" w:space="0" w:color="auto"/>
                        <w:bottom w:val="none" w:sz="0" w:space="0" w:color="auto"/>
                        <w:right w:val="none" w:sz="0" w:space="0" w:color="auto"/>
                      </w:divBdr>
                    </w:div>
                  </w:divsChild>
                </w:div>
                <w:div w:id="1854762247">
                  <w:marLeft w:val="0"/>
                  <w:marRight w:val="0"/>
                  <w:marTop w:val="0"/>
                  <w:marBottom w:val="0"/>
                  <w:divBdr>
                    <w:top w:val="none" w:sz="0" w:space="0" w:color="auto"/>
                    <w:left w:val="none" w:sz="0" w:space="0" w:color="auto"/>
                    <w:bottom w:val="none" w:sz="0" w:space="0" w:color="auto"/>
                    <w:right w:val="none" w:sz="0" w:space="0" w:color="auto"/>
                  </w:divBdr>
                  <w:divsChild>
                    <w:div w:id="658847714">
                      <w:marLeft w:val="0"/>
                      <w:marRight w:val="0"/>
                      <w:marTop w:val="120"/>
                      <w:marBottom w:val="0"/>
                      <w:divBdr>
                        <w:top w:val="none" w:sz="0" w:space="0" w:color="auto"/>
                        <w:left w:val="none" w:sz="0" w:space="0" w:color="auto"/>
                        <w:bottom w:val="none" w:sz="0" w:space="0" w:color="auto"/>
                        <w:right w:val="none" w:sz="0" w:space="0" w:color="auto"/>
                      </w:divBdr>
                    </w:div>
                    <w:div w:id="20409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339354">
      <w:bodyDiv w:val="1"/>
      <w:marLeft w:val="0"/>
      <w:marRight w:val="0"/>
      <w:marTop w:val="0"/>
      <w:marBottom w:val="0"/>
      <w:divBdr>
        <w:top w:val="none" w:sz="0" w:space="0" w:color="auto"/>
        <w:left w:val="none" w:sz="0" w:space="0" w:color="auto"/>
        <w:bottom w:val="none" w:sz="0" w:space="0" w:color="auto"/>
        <w:right w:val="none" w:sz="0" w:space="0" w:color="auto"/>
      </w:divBdr>
      <w:divsChild>
        <w:div w:id="1022826334">
          <w:marLeft w:val="0"/>
          <w:marRight w:val="0"/>
          <w:marTop w:val="0"/>
          <w:marBottom w:val="0"/>
          <w:divBdr>
            <w:top w:val="none" w:sz="0" w:space="0" w:color="auto"/>
            <w:left w:val="none" w:sz="0" w:space="0" w:color="auto"/>
            <w:bottom w:val="none" w:sz="0" w:space="0" w:color="auto"/>
            <w:right w:val="none" w:sz="0" w:space="0" w:color="auto"/>
          </w:divBdr>
        </w:div>
      </w:divsChild>
    </w:div>
    <w:div w:id="2015061364">
      <w:bodyDiv w:val="1"/>
      <w:marLeft w:val="0"/>
      <w:marRight w:val="0"/>
      <w:marTop w:val="0"/>
      <w:marBottom w:val="0"/>
      <w:divBdr>
        <w:top w:val="none" w:sz="0" w:space="0" w:color="auto"/>
        <w:left w:val="none" w:sz="0" w:space="0" w:color="auto"/>
        <w:bottom w:val="none" w:sz="0" w:space="0" w:color="auto"/>
        <w:right w:val="none" w:sz="0" w:space="0" w:color="auto"/>
      </w:divBdr>
      <w:divsChild>
        <w:div w:id="1273173287">
          <w:marLeft w:val="0"/>
          <w:marRight w:val="0"/>
          <w:marTop w:val="0"/>
          <w:marBottom w:val="0"/>
          <w:divBdr>
            <w:top w:val="none" w:sz="0" w:space="0" w:color="auto"/>
            <w:left w:val="none" w:sz="0" w:space="0" w:color="auto"/>
            <w:bottom w:val="none" w:sz="0" w:space="0" w:color="auto"/>
            <w:right w:val="none" w:sz="0" w:space="0" w:color="auto"/>
          </w:divBdr>
        </w:div>
      </w:divsChild>
    </w:div>
    <w:div w:id="2015836660">
      <w:bodyDiv w:val="1"/>
      <w:marLeft w:val="0"/>
      <w:marRight w:val="0"/>
      <w:marTop w:val="0"/>
      <w:marBottom w:val="0"/>
      <w:divBdr>
        <w:top w:val="none" w:sz="0" w:space="0" w:color="auto"/>
        <w:left w:val="none" w:sz="0" w:space="0" w:color="auto"/>
        <w:bottom w:val="none" w:sz="0" w:space="0" w:color="auto"/>
        <w:right w:val="none" w:sz="0" w:space="0" w:color="auto"/>
      </w:divBdr>
      <w:divsChild>
        <w:div w:id="872812311">
          <w:marLeft w:val="0"/>
          <w:marRight w:val="0"/>
          <w:marTop w:val="0"/>
          <w:marBottom w:val="0"/>
          <w:divBdr>
            <w:top w:val="none" w:sz="0" w:space="0" w:color="auto"/>
            <w:left w:val="none" w:sz="0" w:space="0" w:color="auto"/>
            <w:bottom w:val="none" w:sz="0" w:space="0" w:color="auto"/>
            <w:right w:val="none" w:sz="0" w:space="0" w:color="auto"/>
          </w:divBdr>
          <w:divsChild>
            <w:div w:id="20257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3415">
      <w:bodyDiv w:val="1"/>
      <w:marLeft w:val="0"/>
      <w:marRight w:val="0"/>
      <w:marTop w:val="0"/>
      <w:marBottom w:val="0"/>
      <w:divBdr>
        <w:top w:val="none" w:sz="0" w:space="0" w:color="auto"/>
        <w:left w:val="none" w:sz="0" w:space="0" w:color="auto"/>
        <w:bottom w:val="none" w:sz="0" w:space="0" w:color="auto"/>
        <w:right w:val="none" w:sz="0" w:space="0" w:color="auto"/>
      </w:divBdr>
      <w:divsChild>
        <w:div w:id="1958638109">
          <w:marLeft w:val="0"/>
          <w:marRight w:val="0"/>
          <w:marTop w:val="0"/>
          <w:marBottom w:val="0"/>
          <w:divBdr>
            <w:top w:val="none" w:sz="0" w:space="0" w:color="auto"/>
            <w:left w:val="none" w:sz="0" w:space="0" w:color="auto"/>
            <w:bottom w:val="none" w:sz="0" w:space="0" w:color="auto"/>
            <w:right w:val="none" w:sz="0" w:space="0" w:color="auto"/>
          </w:divBdr>
          <w:divsChild>
            <w:div w:id="304164507">
              <w:marLeft w:val="0"/>
              <w:marRight w:val="0"/>
              <w:marTop w:val="120"/>
              <w:marBottom w:val="0"/>
              <w:divBdr>
                <w:top w:val="none" w:sz="0" w:space="0" w:color="auto"/>
                <w:left w:val="none" w:sz="0" w:space="0" w:color="auto"/>
                <w:bottom w:val="none" w:sz="0" w:space="0" w:color="auto"/>
                <w:right w:val="none" w:sz="0" w:space="0" w:color="auto"/>
              </w:divBdr>
              <w:divsChild>
                <w:div w:id="498008219">
                  <w:marLeft w:val="0"/>
                  <w:marRight w:val="0"/>
                  <w:marTop w:val="120"/>
                  <w:marBottom w:val="0"/>
                  <w:divBdr>
                    <w:top w:val="none" w:sz="0" w:space="0" w:color="auto"/>
                    <w:left w:val="none" w:sz="0" w:space="0" w:color="auto"/>
                    <w:bottom w:val="none" w:sz="0" w:space="0" w:color="auto"/>
                    <w:right w:val="none" w:sz="0" w:space="0" w:color="auto"/>
                  </w:divBdr>
                </w:div>
                <w:div w:id="802163226">
                  <w:marLeft w:val="0"/>
                  <w:marRight w:val="0"/>
                  <w:marTop w:val="120"/>
                  <w:marBottom w:val="0"/>
                  <w:divBdr>
                    <w:top w:val="none" w:sz="0" w:space="0" w:color="auto"/>
                    <w:left w:val="none" w:sz="0" w:space="0" w:color="auto"/>
                    <w:bottom w:val="none" w:sz="0" w:space="0" w:color="auto"/>
                    <w:right w:val="none" w:sz="0" w:space="0" w:color="auto"/>
                  </w:divBdr>
                </w:div>
                <w:div w:id="1401173427">
                  <w:marLeft w:val="0"/>
                  <w:marRight w:val="0"/>
                  <w:marTop w:val="120"/>
                  <w:marBottom w:val="0"/>
                  <w:divBdr>
                    <w:top w:val="none" w:sz="0" w:space="0" w:color="auto"/>
                    <w:left w:val="none" w:sz="0" w:space="0" w:color="auto"/>
                    <w:bottom w:val="none" w:sz="0" w:space="0" w:color="auto"/>
                    <w:right w:val="none" w:sz="0" w:space="0" w:color="auto"/>
                  </w:divBdr>
                </w:div>
              </w:divsChild>
            </w:div>
            <w:div w:id="1817801685">
              <w:marLeft w:val="0"/>
              <w:marRight w:val="0"/>
              <w:marTop w:val="120"/>
              <w:marBottom w:val="0"/>
              <w:divBdr>
                <w:top w:val="none" w:sz="0" w:space="0" w:color="auto"/>
                <w:left w:val="none" w:sz="0" w:space="0" w:color="auto"/>
                <w:bottom w:val="none" w:sz="0" w:space="0" w:color="auto"/>
                <w:right w:val="none" w:sz="0" w:space="0" w:color="auto"/>
              </w:divBdr>
            </w:div>
            <w:div w:id="20356912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1294181">
      <w:bodyDiv w:val="1"/>
      <w:marLeft w:val="0"/>
      <w:marRight w:val="0"/>
      <w:marTop w:val="0"/>
      <w:marBottom w:val="0"/>
      <w:divBdr>
        <w:top w:val="none" w:sz="0" w:space="0" w:color="auto"/>
        <w:left w:val="none" w:sz="0" w:space="0" w:color="auto"/>
        <w:bottom w:val="none" w:sz="0" w:space="0" w:color="auto"/>
        <w:right w:val="none" w:sz="0" w:space="0" w:color="auto"/>
      </w:divBdr>
      <w:divsChild>
        <w:div w:id="232588932">
          <w:marLeft w:val="0"/>
          <w:marRight w:val="0"/>
          <w:marTop w:val="0"/>
          <w:marBottom w:val="0"/>
          <w:divBdr>
            <w:top w:val="none" w:sz="0" w:space="0" w:color="auto"/>
            <w:left w:val="none" w:sz="0" w:space="0" w:color="auto"/>
            <w:bottom w:val="none" w:sz="0" w:space="0" w:color="auto"/>
            <w:right w:val="none" w:sz="0" w:space="0" w:color="auto"/>
          </w:divBdr>
          <w:divsChild>
            <w:div w:id="836770085">
              <w:marLeft w:val="0"/>
              <w:marRight w:val="0"/>
              <w:marTop w:val="0"/>
              <w:marBottom w:val="0"/>
              <w:divBdr>
                <w:top w:val="none" w:sz="0" w:space="0" w:color="auto"/>
                <w:left w:val="none" w:sz="0" w:space="0" w:color="auto"/>
                <w:bottom w:val="none" w:sz="0" w:space="0" w:color="auto"/>
                <w:right w:val="none" w:sz="0" w:space="0" w:color="auto"/>
              </w:divBdr>
              <w:divsChild>
                <w:div w:id="992949243">
                  <w:marLeft w:val="0"/>
                  <w:marRight w:val="0"/>
                  <w:marTop w:val="0"/>
                  <w:marBottom w:val="0"/>
                  <w:divBdr>
                    <w:top w:val="none" w:sz="0" w:space="0" w:color="auto"/>
                    <w:left w:val="none" w:sz="0" w:space="0" w:color="auto"/>
                    <w:bottom w:val="none" w:sz="0" w:space="0" w:color="auto"/>
                    <w:right w:val="none" w:sz="0" w:space="0" w:color="auto"/>
                  </w:divBdr>
                </w:div>
                <w:div w:id="1755392391">
                  <w:marLeft w:val="0"/>
                  <w:marRight w:val="0"/>
                  <w:marTop w:val="120"/>
                  <w:marBottom w:val="0"/>
                  <w:divBdr>
                    <w:top w:val="none" w:sz="0" w:space="0" w:color="auto"/>
                    <w:left w:val="none" w:sz="0" w:space="0" w:color="auto"/>
                    <w:bottom w:val="none" w:sz="0" w:space="0" w:color="auto"/>
                    <w:right w:val="none" w:sz="0" w:space="0" w:color="auto"/>
                  </w:divBdr>
                </w:div>
              </w:divsChild>
            </w:div>
            <w:div w:id="1254629461">
              <w:marLeft w:val="0"/>
              <w:marRight w:val="0"/>
              <w:marTop w:val="0"/>
              <w:marBottom w:val="0"/>
              <w:divBdr>
                <w:top w:val="none" w:sz="0" w:space="0" w:color="auto"/>
                <w:left w:val="none" w:sz="0" w:space="0" w:color="auto"/>
                <w:bottom w:val="none" w:sz="0" w:space="0" w:color="auto"/>
                <w:right w:val="none" w:sz="0" w:space="0" w:color="auto"/>
              </w:divBdr>
              <w:divsChild>
                <w:div w:id="472211247">
                  <w:marLeft w:val="0"/>
                  <w:marRight w:val="0"/>
                  <w:marTop w:val="120"/>
                  <w:marBottom w:val="0"/>
                  <w:divBdr>
                    <w:top w:val="none" w:sz="0" w:space="0" w:color="auto"/>
                    <w:left w:val="none" w:sz="0" w:space="0" w:color="auto"/>
                    <w:bottom w:val="none" w:sz="0" w:space="0" w:color="auto"/>
                    <w:right w:val="none" w:sz="0" w:space="0" w:color="auto"/>
                  </w:divBdr>
                </w:div>
                <w:div w:id="601449467">
                  <w:marLeft w:val="0"/>
                  <w:marRight w:val="0"/>
                  <w:marTop w:val="0"/>
                  <w:marBottom w:val="0"/>
                  <w:divBdr>
                    <w:top w:val="none" w:sz="0" w:space="0" w:color="auto"/>
                    <w:left w:val="none" w:sz="0" w:space="0" w:color="auto"/>
                    <w:bottom w:val="none" w:sz="0" w:space="0" w:color="auto"/>
                    <w:right w:val="none" w:sz="0" w:space="0" w:color="auto"/>
                  </w:divBdr>
                </w:div>
              </w:divsChild>
            </w:div>
            <w:div w:id="1718629797">
              <w:marLeft w:val="0"/>
              <w:marRight w:val="0"/>
              <w:marTop w:val="0"/>
              <w:marBottom w:val="0"/>
              <w:divBdr>
                <w:top w:val="none" w:sz="0" w:space="0" w:color="auto"/>
                <w:left w:val="none" w:sz="0" w:space="0" w:color="auto"/>
                <w:bottom w:val="none" w:sz="0" w:space="0" w:color="auto"/>
                <w:right w:val="none" w:sz="0" w:space="0" w:color="auto"/>
              </w:divBdr>
              <w:divsChild>
                <w:div w:id="975448276">
                  <w:marLeft w:val="0"/>
                  <w:marRight w:val="0"/>
                  <w:marTop w:val="120"/>
                  <w:marBottom w:val="0"/>
                  <w:divBdr>
                    <w:top w:val="none" w:sz="0" w:space="0" w:color="auto"/>
                    <w:left w:val="none" w:sz="0" w:space="0" w:color="auto"/>
                    <w:bottom w:val="none" w:sz="0" w:space="0" w:color="auto"/>
                    <w:right w:val="none" w:sz="0" w:space="0" w:color="auto"/>
                  </w:divBdr>
                </w:div>
                <w:div w:id="13668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79271">
      <w:bodyDiv w:val="1"/>
      <w:marLeft w:val="0"/>
      <w:marRight w:val="0"/>
      <w:marTop w:val="0"/>
      <w:marBottom w:val="0"/>
      <w:divBdr>
        <w:top w:val="none" w:sz="0" w:space="0" w:color="auto"/>
        <w:left w:val="none" w:sz="0" w:space="0" w:color="auto"/>
        <w:bottom w:val="none" w:sz="0" w:space="0" w:color="auto"/>
        <w:right w:val="none" w:sz="0" w:space="0" w:color="auto"/>
      </w:divBdr>
      <w:divsChild>
        <w:div w:id="534386546">
          <w:marLeft w:val="0"/>
          <w:marRight w:val="0"/>
          <w:marTop w:val="0"/>
          <w:marBottom w:val="0"/>
          <w:divBdr>
            <w:top w:val="none" w:sz="0" w:space="0" w:color="auto"/>
            <w:left w:val="none" w:sz="0" w:space="0" w:color="auto"/>
            <w:bottom w:val="none" w:sz="0" w:space="0" w:color="auto"/>
            <w:right w:val="none" w:sz="0" w:space="0" w:color="auto"/>
          </w:divBdr>
        </w:div>
      </w:divsChild>
    </w:div>
    <w:div w:id="2046296638">
      <w:bodyDiv w:val="1"/>
      <w:marLeft w:val="0"/>
      <w:marRight w:val="0"/>
      <w:marTop w:val="0"/>
      <w:marBottom w:val="0"/>
      <w:divBdr>
        <w:top w:val="none" w:sz="0" w:space="0" w:color="auto"/>
        <w:left w:val="none" w:sz="0" w:space="0" w:color="auto"/>
        <w:bottom w:val="none" w:sz="0" w:space="0" w:color="auto"/>
        <w:right w:val="none" w:sz="0" w:space="0" w:color="auto"/>
      </w:divBdr>
      <w:divsChild>
        <w:div w:id="2112436751">
          <w:marLeft w:val="0"/>
          <w:marRight w:val="0"/>
          <w:marTop w:val="0"/>
          <w:marBottom w:val="0"/>
          <w:divBdr>
            <w:top w:val="none" w:sz="0" w:space="0" w:color="auto"/>
            <w:left w:val="none" w:sz="0" w:space="0" w:color="auto"/>
            <w:bottom w:val="none" w:sz="0" w:space="0" w:color="auto"/>
            <w:right w:val="none" w:sz="0" w:space="0" w:color="auto"/>
          </w:divBdr>
        </w:div>
      </w:divsChild>
    </w:div>
    <w:div w:id="2047216369">
      <w:bodyDiv w:val="1"/>
      <w:marLeft w:val="0"/>
      <w:marRight w:val="0"/>
      <w:marTop w:val="0"/>
      <w:marBottom w:val="0"/>
      <w:divBdr>
        <w:top w:val="none" w:sz="0" w:space="0" w:color="auto"/>
        <w:left w:val="none" w:sz="0" w:space="0" w:color="auto"/>
        <w:bottom w:val="none" w:sz="0" w:space="0" w:color="auto"/>
        <w:right w:val="none" w:sz="0" w:space="0" w:color="auto"/>
      </w:divBdr>
      <w:divsChild>
        <w:div w:id="365641729">
          <w:marLeft w:val="0"/>
          <w:marRight w:val="0"/>
          <w:marTop w:val="0"/>
          <w:marBottom w:val="0"/>
          <w:divBdr>
            <w:top w:val="none" w:sz="0" w:space="0" w:color="auto"/>
            <w:left w:val="none" w:sz="0" w:space="0" w:color="auto"/>
            <w:bottom w:val="none" w:sz="0" w:space="0" w:color="auto"/>
            <w:right w:val="none" w:sz="0" w:space="0" w:color="auto"/>
          </w:divBdr>
          <w:divsChild>
            <w:div w:id="1544321080">
              <w:marLeft w:val="0"/>
              <w:marRight w:val="0"/>
              <w:marTop w:val="0"/>
              <w:marBottom w:val="0"/>
              <w:divBdr>
                <w:top w:val="none" w:sz="0" w:space="0" w:color="auto"/>
                <w:left w:val="none" w:sz="0" w:space="0" w:color="auto"/>
                <w:bottom w:val="none" w:sz="0" w:space="0" w:color="auto"/>
                <w:right w:val="none" w:sz="0" w:space="0" w:color="auto"/>
              </w:divBdr>
            </w:div>
          </w:divsChild>
        </w:div>
        <w:div w:id="1090466658">
          <w:marLeft w:val="0"/>
          <w:marRight w:val="0"/>
          <w:marTop w:val="0"/>
          <w:marBottom w:val="0"/>
          <w:divBdr>
            <w:top w:val="none" w:sz="0" w:space="0" w:color="auto"/>
            <w:left w:val="none" w:sz="0" w:space="0" w:color="auto"/>
            <w:bottom w:val="none" w:sz="0" w:space="0" w:color="auto"/>
            <w:right w:val="none" w:sz="0" w:space="0" w:color="auto"/>
          </w:divBdr>
          <w:divsChild>
            <w:div w:id="1051156178">
              <w:marLeft w:val="0"/>
              <w:marRight w:val="0"/>
              <w:marTop w:val="120"/>
              <w:marBottom w:val="0"/>
              <w:divBdr>
                <w:top w:val="none" w:sz="0" w:space="0" w:color="auto"/>
                <w:left w:val="none" w:sz="0" w:space="0" w:color="auto"/>
                <w:bottom w:val="none" w:sz="0" w:space="0" w:color="auto"/>
                <w:right w:val="none" w:sz="0" w:space="0" w:color="auto"/>
              </w:divBdr>
              <w:divsChild>
                <w:div w:id="15761642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47216498">
      <w:bodyDiv w:val="1"/>
      <w:marLeft w:val="0"/>
      <w:marRight w:val="0"/>
      <w:marTop w:val="0"/>
      <w:marBottom w:val="0"/>
      <w:divBdr>
        <w:top w:val="none" w:sz="0" w:space="0" w:color="auto"/>
        <w:left w:val="none" w:sz="0" w:space="0" w:color="auto"/>
        <w:bottom w:val="none" w:sz="0" w:space="0" w:color="auto"/>
        <w:right w:val="none" w:sz="0" w:space="0" w:color="auto"/>
      </w:divBdr>
      <w:divsChild>
        <w:div w:id="1306006549">
          <w:marLeft w:val="0"/>
          <w:marRight w:val="0"/>
          <w:marTop w:val="0"/>
          <w:marBottom w:val="0"/>
          <w:divBdr>
            <w:top w:val="none" w:sz="0" w:space="0" w:color="auto"/>
            <w:left w:val="none" w:sz="0" w:space="0" w:color="auto"/>
            <w:bottom w:val="none" w:sz="0" w:space="0" w:color="auto"/>
            <w:right w:val="none" w:sz="0" w:space="0" w:color="auto"/>
          </w:divBdr>
          <w:divsChild>
            <w:div w:id="1290671209">
              <w:marLeft w:val="0"/>
              <w:marRight w:val="0"/>
              <w:marTop w:val="120"/>
              <w:marBottom w:val="0"/>
              <w:divBdr>
                <w:top w:val="none" w:sz="0" w:space="0" w:color="auto"/>
                <w:left w:val="none" w:sz="0" w:space="0" w:color="auto"/>
                <w:bottom w:val="none" w:sz="0" w:space="0" w:color="auto"/>
                <w:right w:val="none" w:sz="0" w:space="0" w:color="auto"/>
              </w:divBdr>
            </w:div>
            <w:div w:id="1720274908">
              <w:marLeft w:val="0"/>
              <w:marRight w:val="0"/>
              <w:marTop w:val="120"/>
              <w:marBottom w:val="0"/>
              <w:divBdr>
                <w:top w:val="none" w:sz="0" w:space="0" w:color="auto"/>
                <w:left w:val="none" w:sz="0" w:space="0" w:color="auto"/>
                <w:bottom w:val="none" w:sz="0" w:space="0" w:color="auto"/>
                <w:right w:val="none" w:sz="0" w:space="0" w:color="auto"/>
              </w:divBdr>
            </w:div>
            <w:div w:id="20965854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47217636">
      <w:bodyDiv w:val="1"/>
      <w:marLeft w:val="0"/>
      <w:marRight w:val="0"/>
      <w:marTop w:val="0"/>
      <w:marBottom w:val="0"/>
      <w:divBdr>
        <w:top w:val="none" w:sz="0" w:space="0" w:color="auto"/>
        <w:left w:val="none" w:sz="0" w:space="0" w:color="auto"/>
        <w:bottom w:val="none" w:sz="0" w:space="0" w:color="auto"/>
        <w:right w:val="none" w:sz="0" w:space="0" w:color="auto"/>
      </w:divBdr>
      <w:divsChild>
        <w:div w:id="736974477">
          <w:marLeft w:val="0"/>
          <w:marRight w:val="0"/>
          <w:marTop w:val="0"/>
          <w:marBottom w:val="0"/>
          <w:divBdr>
            <w:top w:val="none" w:sz="0" w:space="0" w:color="auto"/>
            <w:left w:val="none" w:sz="0" w:space="0" w:color="auto"/>
            <w:bottom w:val="none" w:sz="0" w:space="0" w:color="auto"/>
            <w:right w:val="none" w:sz="0" w:space="0" w:color="auto"/>
          </w:divBdr>
        </w:div>
      </w:divsChild>
    </w:div>
    <w:div w:id="2049068831">
      <w:bodyDiv w:val="1"/>
      <w:marLeft w:val="0"/>
      <w:marRight w:val="0"/>
      <w:marTop w:val="0"/>
      <w:marBottom w:val="0"/>
      <w:divBdr>
        <w:top w:val="none" w:sz="0" w:space="0" w:color="auto"/>
        <w:left w:val="none" w:sz="0" w:space="0" w:color="auto"/>
        <w:bottom w:val="none" w:sz="0" w:space="0" w:color="auto"/>
        <w:right w:val="none" w:sz="0" w:space="0" w:color="auto"/>
      </w:divBdr>
    </w:div>
    <w:div w:id="2049598314">
      <w:bodyDiv w:val="1"/>
      <w:marLeft w:val="0"/>
      <w:marRight w:val="0"/>
      <w:marTop w:val="0"/>
      <w:marBottom w:val="0"/>
      <w:divBdr>
        <w:top w:val="none" w:sz="0" w:space="0" w:color="auto"/>
        <w:left w:val="none" w:sz="0" w:space="0" w:color="auto"/>
        <w:bottom w:val="none" w:sz="0" w:space="0" w:color="auto"/>
        <w:right w:val="none" w:sz="0" w:space="0" w:color="auto"/>
      </w:divBdr>
      <w:divsChild>
        <w:div w:id="1900943275">
          <w:marLeft w:val="0"/>
          <w:marRight w:val="0"/>
          <w:marTop w:val="0"/>
          <w:marBottom w:val="0"/>
          <w:divBdr>
            <w:top w:val="none" w:sz="0" w:space="0" w:color="auto"/>
            <w:left w:val="none" w:sz="0" w:space="0" w:color="auto"/>
            <w:bottom w:val="none" w:sz="0" w:space="0" w:color="auto"/>
            <w:right w:val="none" w:sz="0" w:space="0" w:color="auto"/>
          </w:divBdr>
          <w:divsChild>
            <w:div w:id="989674378">
              <w:marLeft w:val="0"/>
              <w:marRight w:val="0"/>
              <w:marTop w:val="0"/>
              <w:marBottom w:val="0"/>
              <w:divBdr>
                <w:top w:val="none" w:sz="0" w:space="0" w:color="auto"/>
                <w:left w:val="none" w:sz="0" w:space="0" w:color="auto"/>
                <w:bottom w:val="none" w:sz="0" w:space="0" w:color="auto"/>
                <w:right w:val="none" w:sz="0" w:space="0" w:color="auto"/>
              </w:divBdr>
              <w:divsChild>
                <w:div w:id="899944210">
                  <w:marLeft w:val="0"/>
                  <w:marRight w:val="0"/>
                  <w:marTop w:val="0"/>
                  <w:marBottom w:val="0"/>
                  <w:divBdr>
                    <w:top w:val="none" w:sz="0" w:space="0" w:color="auto"/>
                    <w:left w:val="none" w:sz="0" w:space="0" w:color="auto"/>
                    <w:bottom w:val="none" w:sz="0" w:space="0" w:color="auto"/>
                    <w:right w:val="none" w:sz="0" w:space="0" w:color="auto"/>
                  </w:divBdr>
                </w:div>
                <w:div w:id="1784495944">
                  <w:marLeft w:val="0"/>
                  <w:marRight w:val="0"/>
                  <w:marTop w:val="120"/>
                  <w:marBottom w:val="0"/>
                  <w:divBdr>
                    <w:top w:val="none" w:sz="0" w:space="0" w:color="auto"/>
                    <w:left w:val="none" w:sz="0" w:space="0" w:color="auto"/>
                    <w:bottom w:val="none" w:sz="0" w:space="0" w:color="auto"/>
                    <w:right w:val="none" w:sz="0" w:space="0" w:color="auto"/>
                  </w:divBdr>
                </w:div>
              </w:divsChild>
            </w:div>
            <w:div w:id="1106778236">
              <w:marLeft w:val="0"/>
              <w:marRight w:val="0"/>
              <w:marTop w:val="0"/>
              <w:marBottom w:val="0"/>
              <w:divBdr>
                <w:top w:val="none" w:sz="0" w:space="0" w:color="auto"/>
                <w:left w:val="none" w:sz="0" w:space="0" w:color="auto"/>
                <w:bottom w:val="none" w:sz="0" w:space="0" w:color="auto"/>
                <w:right w:val="none" w:sz="0" w:space="0" w:color="auto"/>
              </w:divBdr>
              <w:divsChild>
                <w:div w:id="587235113">
                  <w:marLeft w:val="0"/>
                  <w:marRight w:val="0"/>
                  <w:marTop w:val="120"/>
                  <w:marBottom w:val="0"/>
                  <w:divBdr>
                    <w:top w:val="none" w:sz="0" w:space="0" w:color="auto"/>
                    <w:left w:val="none" w:sz="0" w:space="0" w:color="auto"/>
                    <w:bottom w:val="none" w:sz="0" w:space="0" w:color="auto"/>
                    <w:right w:val="none" w:sz="0" w:space="0" w:color="auto"/>
                  </w:divBdr>
                </w:div>
                <w:div w:id="2029522967">
                  <w:marLeft w:val="0"/>
                  <w:marRight w:val="0"/>
                  <w:marTop w:val="0"/>
                  <w:marBottom w:val="0"/>
                  <w:divBdr>
                    <w:top w:val="none" w:sz="0" w:space="0" w:color="auto"/>
                    <w:left w:val="none" w:sz="0" w:space="0" w:color="auto"/>
                    <w:bottom w:val="none" w:sz="0" w:space="0" w:color="auto"/>
                    <w:right w:val="none" w:sz="0" w:space="0" w:color="auto"/>
                  </w:divBdr>
                </w:div>
              </w:divsChild>
            </w:div>
            <w:div w:id="1615601826">
              <w:marLeft w:val="0"/>
              <w:marRight w:val="0"/>
              <w:marTop w:val="0"/>
              <w:marBottom w:val="0"/>
              <w:divBdr>
                <w:top w:val="none" w:sz="0" w:space="0" w:color="auto"/>
                <w:left w:val="none" w:sz="0" w:space="0" w:color="auto"/>
                <w:bottom w:val="none" w:sz="0" w:space="0" w:color="auto"/>
                <w:right w:val="none" w:sz="0" w:space="0" w:color="auto"/>
              </w:divBdr>
              <w:divsChild>
                <w:div w:id="810293688">
                  <w:marLeft w:val="0"/>
                  <w:marRight w:val="0"/>
                  <w:marTop w:val="120"/>
                  <w:marBottom w:val="0"/>
                  <w:divBdr>
                    <w:top w:val="none" w:sz="0" w:space="0" w:color="auto"/>
                    <w:left w:val="none" w:sz="0" w:space="0" w:color="auto"/>
                    <w:bottom w:val="none" w:sz="0" w:space="0" w:color="auto"/>
                    <w:right w:val="none" w:sz="0" w:space="0" w:color="auto"/>
                  </w:divBdr>
                </w:div>
                <w:div w:id="109663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6341">
      <w:bodyDiv w:val="1"/>
      <w:marLeft w:val="0"/>
      <w:marRight w:val="0"/>
      <w:marTop w:val="0"/>
      <w:marBottom w:val="0"/>
      <w:divBdr>
        <w:top w:val="none" w:sz="0" w:space="0" w:color="auto"/>
        <w:left w:val="none" w:sz="0" w:space="0" w:color="auto"/>
        <w:bottom w:val="none" w:sz="0" w:space="0" w:color="auto"/>
        <w:right w:val="none" w:sz="0" w:space="0" w:color="auto"/>
      </w:divBdr>
      <w:divsChild>
        <w:div w:id="1914117766">
          <w:marLeft w:val="0"/>
          <w:marRight w:val="0"/>
          <w:marTop w:val="0"/>
          <w:marBottom w:val="0"/>
          <w:divBdr>
            <w:top w:val="none" w:sz="0" w:space="0" w:color="auto"/>
            <w:left w:val="none" w:sz="0" w:space="0" w:color="auto"/>
            <w:bottom w:val="none" w:sz="0" w:space="0" w:color="auto"/>
            <w:right w:val="none" w:sz="0" w:space="0" w:color="auto"/>
          </w:divBdr>
        </w:div>
      </w:divsChild>
    </w:div>
    <w:div w:id="2055080123">
      <w:bodyDiv w:val="1"/>
      <w:marLeft w:val="0"/>
      <w:marRight w:val="0"/>
      <w:marTop w:val="0"/>
      <w:marBottom w:val="0"/>
      <w:divBdr>
        <w:top w:val="none" w:sz="0" w:space="0" w:color="auto"/>
        <w:left w:val="none" w:sz="0" w:space="0" w:color="auto"/>
        <w:bottom w:val="none" w:sz="0" w:space="0" w:color="auto"/>
        <w:right w:val="none" w:sz="0" w:space="0" w:color="auto"/>
      </w:divBdr>
      <w:divsChild>
        <w:div w:id="1903708925">
          <w:marLeft w:val="0"/>
          <w:marRight w:val="0"/>
          <w:marTop w:val="0"/>
          <w:marBottom w:val="0"/>
          <w:divBdr>
            <w:top w:val="none" w:sz="0" w:space="0" w:color="auto"/>
            <w:left w:val="none" w:sz="0" w:space="0" w:color="auto"/>
            <w:bottom w:val="none" w:sz="0" w:space="0" w:color="auto"/>
            <w:right w:val="none" w:sz="0" w:space="0" w:color="auto"/>
          </w:divBdr>
        </w:div>
      </w:divsChild>
    </w:div>
    <w:div w:id="2059157455">
      <w:bodyDiv w:val="1"/>
      <w:marLeft w:val="0"/>
      <w:marRight w:val="0"/>
      <w:marTop w:val="0"/>
      <w:marBottom w:val="0"/>
      <w:divBdr>
        <w:top w:val="none" w:sz="0" w:space="0" w:color="auto"/>
        <w:left w:val="none" w:sz="0" w:space="0" w:color="auto"/>
        <w:bottom w:val="none" w:sz="0" w:space="0" w:color="auto"/>
        <w:right w:val="none" w:sz="0" w:space="0" w:color="auto"/>
      </w:divBdr>
      <w:divsChild>
        <w:div w:id="300773821">
          <w:marLeft w:val="0"/>
          <w:marRight w:val="0"/>
          <w:marTop w:val="0"/>
          <w:marBottom w:val="0"/>
          <w:divBdr>
            <w:top w:val="none" w:sz="0" w:space="0" w:color="auto"/>
            <w:left w:val="none" w:sz="0" w:space="0" w:color="auto"/>
            <w:bottom w:val="none" w:sz="0" w:space="0" w:color="auto"/>
            <w:right w:val="none" w:sz="0" w:space="0" w:color="auto"/>
          </w:divBdr>
          <w:divsChild>
            <w:div w:id="1527063762">
              <w:marLeft w:val="0"/>
              <w:marRight w:val="0"/>
              <w:marTop w:val="0"/>
              <w:marBottom w:val="0"/>
              <w:divBdr>
                <w:top w:val="none" w:sz="0" w:space="0" w:color="auto"/>
                <w:left w:val="none" w:sz="0" w:space="0" w:color="auto"/>
                <w:bottom w:val="none" w:sz="0" w:space="0" w:color="auto"/>
                <w:right w:val="none" w:sz="0" w:space="0" w:color="auto"/>
              </w:divBdr>
            </w:div>
          </w:divsChild>
        </w:div>
        <w:div w:id="461384069">
          <w:marLeft w:val="0"/>
          <w:marRight w:val="0"/>
          <w:marTop w:val="0"/>
          <w:marBottom w:val="0"/>
          <w:divBdr>
            <w:top w:val="none" w:sz="0" w:space="0" w:color="auto"/>
            <w:left w:val="none" w:sz="0" w:space="0" w:color="auto"/>
            <w:bottom w:val="none" w:sz="0" w:space="0" w:color="auto"/>
            <w:right w:val="none" w:sz="0" w:space="0" w:color="auto"/>
          </w:divBdr>
          <w:divsChild>
            <w:div w:id="210888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4272">
      <w:bodyDiv w:val="1"/>
      <w:marLeft w:val="0"/>
      <w:marRight w:val="0"/>
      <w:marTop w:val="0"/>
      <w:marBottom w:val="0"/>
      <w:divBdr>
        <w:top w:val="none" w:sz="0" w:space="0" w:color="auto"/>
        <w:left w:val="none" w:sz="0" w:space="0" w:color="auto"/>
        <w:bottom w:val="none" w:sz="0" w:space="0" w:color="auto"/>
        <w:right w:val="none" w:sz="0" w:space="0" w:color="auto"/>
      </w:divBdr>
      <w:divsChild>
        <w:div w:id="281307754">
          <w:marLeft w:val="0"/>
          <w:marRight w:val="0"/>
          <w:marTop w:val="0"/>
          <w:marBottom w:val="0"/>
          <w:divBdr>
            <w:top w:val="none" w:sz="0" w:space="0" w:color="auto"/>
            <w:left w:val="none" w:sz="0" w:space="0" w:color="auto"/>
            <w:bottom w:val="none" w:sz="0" w:space="0" w:color="auto"/>
            <w:right w:val="none" w:sz="0" w:space="0" w:color="auto"/>
          </w:divBdr>
        </w:div>
      </w:divsChild>
    </w:div>
    <w:div w:id="2064332727">
      <w:bodyDiv w:val="1"/>
      <w:marLeft w:val="0"/>
      <w:marRight w:val="0"/>
      <w:marTop w:val="0"/>
      <w:marBottom w:val="0"/>
      <w:divBdr>
        <w:top w:val="none" w:sz="0" w:space="0" w:color="auto"/>
        <w:left w:val="none" w:sz="0" w:space="0" w:color="auto"/>
        <w:bottom w:val="none" w:sz="0" w:space="0" w:color="auto"/>
        <w:right w:val="none" w:sz="0" w:space="0" w:color="auto"/>
      </w:divBdr>
      <w:divsChild>
        <w:div w:id="1805345165">
          <w:marLeft w:val="0"/>
          <w:marRight w:val="0"/>
          <w:marTop w:val="0"/>
          <w:marBottom w:val="0"/>
          <w:divBdr>
            <w:top w:val="none" w:sz="0" w:space="0" w:color="auto"/>
            <w:left w:val="none" w:sz="0" w:space="0" w:color="auto"/>
            <w:bottom w:val="none" w:sz="0" w:space="0" w:color="auto"/>
            <w:right w:val="none" w:sz="0" w:space="0" w:color="auto"/>
          </w:divBdr>
          <w:divsChild>
            <w:div w:id="3731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2166">
      <w:bodyDiv w:val="1"/>
      <w:marLeft w:val="0"/>
      <w:marRight w:val="0"/>
      <w:marTop w:val="0"/>
      <w:marBottom w:val="0"/>
      <w:divBdr>
        <w:top w:val="none" w:sz="0" w:space="0" w:color="auto"/>
        <w:left w:val="none" w:sz="0" w:space="0" w:color="auto"/>
        <w:bottom w:val="none" w:sz="0" w:space="0" w:color="auto"/>
        <w:right w:val="none" w:sz="0" w:space="0" w:color="auto"/>
      </w:divBdr>
      <w:divsChild>
        <w:div w:id="1662542056">
          <w:marLeft w:val="0"/>
          <w:marRight w:val="0"/>
          <w:marTop w:val="0"/>
          <w:marBottom w:val="0"/>
          <w:divBdr>
            <w:top w:val="none" w:sz="0" w:space="0" w:color="auto"/>
            <w:left w:val="none" w:sz="0" w:space="0" w:color="auto"/>
            <w:bottom w:val="none" w:sz="0" w:space="0" w:color="auto"/>
            <w:right w:val="none" w:sz="0" w:space="0" w:color="auto"/>
          </w:divBdr>
          <w:divsChild>
            <w:div w:id="769786250">
              <w:marLeft w:val="0"/>
              <w:marRight w:val="0"/>
              <w:marTop w:val="0"/>
              <w:marBottom w:val="0"/>
              <w:divBdr>
                <w:top w:val="none" w:sz="0" w:space="0" w:color="auto"/>
                <w:left w:val="none" w:sz="0" w:space="0" w:color="auto"/>
                <w:bottom w:val="none" w:sz="0" w:space="0" w:color="auto"/>
                <w:right w:val="none" w:sz="0" w:space="0" w:color="auto"/>
              </w:divBdr>
              <w:divsChild>
                <w:div w:id="127205867">
                  <w:marLeft w:val="0"/>
                  <w:marRight w:val="0"/>
                  <w:marTop w:val="0"/>
                  <w:marBottom w:val="0"/>
                  <w:divBdr>
                    <w:top w:val="none" w:sz="0" w:space="0" w:color="auto"/>
                    <w:left w:val="none" w:sz="0" w:space="0" w:color="auto"/>
                    <w:bottom w:val="none" w:sz="0" w:space="0" w:color="auto"/>
                    <w:right w:val="none" w:sz="0" w:space="0" w:color="auto"/>
                  </w:divBdr>
                  <w:divsChild>
                    <w:div w:id="1397166265">
                      <w:marLeft w:val="0"/>
                      <w:marRight w:val="0"/>
                      <w:marTop w:val="0"/>
                      <w:marBottom w:val="0"/>
                      <w:divBdr>
                        <w:top w:val="none" w:sz="0" w:space="0" w:color="auto"/>
                        <w:left w:val="none" w:sz="0" w:space="0" w:color="auto"/>
                        <w:bottom w:val="none" w:sz="0" w:space="0" w:color="auto"/>
                        <w:right w:val="none" w:sz="0" w:space="0" w:color="auto"/>
                      </w:divBdr>
                      <w:divsChild>
                        <w:div w:id="978340951">
                          <w:marLeft w:val="0"/>
                          <w:marRight w:val="0"/>
                          <w:marTop w:val="120"/>
                          <w:marBottom w:val="0"/>
                          <w:divBdr>
                            <w:top w:val="none" w:sz="0" w:space="0" w:color="auto"/>
                            <w:left w:val="none" w:sz="0" w:space="0" w:color="auto"/>
                            <w:bottom w:val="none" w:sz="0" w:space="0" w:color="auto"/>
                            <w:right w:val="none" w:sz="0" w:space="0" w:color="auto"/>
                          </w:divBdr>
                        </w:div>
                        <w:div w:id="1351686541">
                          <w:marLeft w:val="0"/>
                          <w:marRight w:val="0"/>
                          <w:marTop w:val="0"/>
                          <w:marBottom w:val="0"/>
                          <w:divBdr>
                            <w:top w:val="none" w:sz="0" w:space="0" w:color="auto"/>
                            <w:left w:val="none" w:sz="0" w:space="0" w:color="auto"/>
                            <w:bottom w:val="none" w:sz="0" w:space="0" w:color="auto"/>
                            <w:right w:val="none" w:sz="0" w:space="0" w:color="auto"/>
                          </w:divBdr>
                        </w:div>
                      </w:divsChild>
                    </w:div>
                    <w:div w:id="1694067199">
                      <w:marLeft w:val="0"/>
                      <w:marRight w:val="0"/>
                      <w:marTop w:val="0"/>
                      <w:marBottom w:val="0"/>
                      <w:divBdr>
                        <w:top w:val="none" w:sz="0" w:space="0" w:color="auto"/>
                        <w:left w:val="none" w:sz="0" w:space="0" w:color="auto"/>
                        <w:bottom w:val="none" w:sz="0" w:space="0" w:color="auto"/>
                        <w:right w:val="none" w:sz="0" w:space="0" w:color="auto"/>
                      </w:divBdr>
                      <w:divsChild>
                        <w:div w:id="538707554">
                          <w:marLeft w:val="0"/>
                          <w:marRight w:val="0"/>
                          <w:marTop w:val="120"/>
                          <w:marBottom w:val="0"/>
                          <w:divBdr>
                            <w:top w:val="none" w:sz="0" w:space="0" w:color="auto"/>
                            <w:left w:val="none" w:sz="0" w:space="0" w:color="auto"/>
                            <w:bottom w:val="none" w:sz="0" w:space="0" w:color="auto"/>
                            <w:right w:val="none" w:sz="0" w:space="0" w:color="auto"/>
                          </w:divBdr>
                        </w:div>
                        <w:div w:id="1563520807">
                          <w:marLeft w:val="0"/>
                          <w:marRight w:val="0"/>
                          <w:marTop w:val="0"/>
                          <w:marBottom w:val="0"/>
                          <w:divBdr>
                            <w:top w:val="none" w:sz="0" w:space="0" w:color="auto"/>
                            <w:left w:val="none" w:sz="0" w:space="0" w:color="auto"/>
                            <w:bottom w:val="none" w:sz="0" w:space="0" w:color="auto"/>
                            <w:right w:val="none" w:sz="0" w:space="0" w:color="auto"/>
                          </w:divBdr>
                        </w:div>
                      </w:divsChild>
                    </w:div>
                    <w:div w:id="1706831449">
                      <w:marLeft w:val="0"/>
                      <w:marRight w:val="0"/>
                      <w:marTop w:val="0"/>
                      <w:marBottom w:val="0"/>
                      <w:divBdr>
                        <w:top w:val="none" w:sz="0" w:space="0" w:color="auto"/>
                        <w:left w:val="none" w:sz="0" w:space="0" w:color="auto"/>
                        <w:bottom w:val="none" w:sz="0" w:space="0" w:color="auto"/>
                        <w:right w:val="none" w:sz="0" w:space="0" w:color="auto"/>
                      </w:divBdr>
                      <w:divsChild>
                        <w:div w:id="298463014">
                          <w:marLeft w:val="0"/>
                          <w:marRight w:val="0"/>
                          <w:marTop w:val="0"/>
                          <w:marBottom w:val="0"/>
                          <w:divBdr>
                            <w:top w:val="none" w:sz="0" w:space="0" w:color="auto"/>
                            <w:left w:val="none" w:sz="0" w:space="0" w:color="auto"/>
                            <w:bottom w:val="none" w:sz="0" w:space="0" w:color="auto"/>
                            <w:right w:val="none" w:sz="0" w:space="0" w:color="auto"/>
                          </w:divBdr>
                        </w:div>
                        <w:div w:id="1098332158">
                          <w:marLeft w:val="0"/>
                          <w:marRight w:val="0"/>
                          <w:marTop w:val="120"/>
                          <w:marBottom w:val="0"/>
                          <w:divBdr>
                            <w:top w:val="none" w:sz="0" w:space="0" w:color="auto"/>
                            <w:left w:val="none" w:sz="0" w:space="0" w:color="auto"/>
                            <w:bottom w:val="none" w:sz="0" w:space="0" w:color="auto"/>
                            <w:right w:val="none" w:sz="0" w:space="0" w:color="auto"/>
                          </w:divBdr>
                        </w:div>
                      </w:divsChild>
                    </w:div>
                    <w:div w:id="1847860121">
                      <w:marLeft w:val="0"/>
                      <w:marRight w:val="0"/>
                      <w:marTop w:val="0"/>
                      <w:marBottom w:val="0"/>
                      <w:divBdr>
                        <w:top w:val="none" w:sz="0" w:space="0" w:color="auto"/>
                        <w:left w:val="none" w:sz="0" w:space="0" w:color="auto"/>
                        <w:bottom w:val="none" w:sz="0" w:space="0" w:color="auto"/>
                        <w:right w:val="none" w:sz="0" w:space="0" w:color="auto"/>
                      </w:divBdr>
                      <w:divsChild>
                        <w:div w:id="446199715">
                          <w:marLeft w:val="0"/>
                          <w:marRight w:val="0"/>
                          <w:marTop w:val="120"/>
                          <w:marBottom w:val="0"/>
                          <w:divBdr>
                            <w:top w:val="none" w:sz="0" w:space="0" w:color="auto"/>
                            <w:left w:val="none" w:sz="0" w:space="0" w:color="auto"/>
                            <w:bottom w:val="none" w:sz="0" w:space="0" w:color="auto"/>
                            <w:right w:val="none" w:sz="0" w:space="0" w:color="auto"/>
                          </w:divBdr>
                        </w:div>
                        <w:div w:id="13756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727999">
      <w:bodyDiv w:val="1"/>
      <w:marLeft w:val="0"/>
      <w:marRight w:val="0"/>
      <w:marTop w:val="0"/>
      <w:marBottom w:val="0"/>
      <w:divBdr>
        <w:top w:val="none" w:sz="0" w:space="0" w:color="auto"/>
        <w:left w:val="none" w:sz="0" w:space="0" w:color="auto"/>
        <w:bottom w:val="none" w:sz="0" w:space="0" w:color="auto"/>
        <w:right w:val="none" w:sz="0" w:space="0" w:color="auto"/>
      </w:divBdr>
      <w:divsChild>
        <w:div w:id="356659296">
          <w:marLeft w:val="0"/>
          <w:marRight w:val="0"/>
          <w:marTop w:val="0"/>
          <w:marBottom w:val="0"/>
          <w:divBdr>
            <w:top w:val="none" w:sz="0" w:space="0" w:color="auto"/>
            <w:left w:val="none" w:sz="0" w:space="0" w:color="auto"/>
            <w:bottom w:val="none" w:sz="0" w:space="0" w:color="auto"/>
            <w:right w:val="none" w:sz="0" w:space="0" w:color="auto"/>
          </w:divBdr>
          <w:divsChild>
            <w:div w:id="1033728876">
              <w:marLeft w:val="0"/>
              <w:marRight w:val="0"/>
              <w:marTop w:val="0"/>
              <w:marBottom w:val="0"/>
              <w:divBdr>
                <w:top w:val="none" w:sz="0" w:space="0" w:color="auto"/>
                <w:left w:val="none" w:sz="0" w:space="0" w:color="auto"/>
                <w:bottom w:val="none" w:sz="0" w:space="0" w:color="auto"/>
                <w:right w:val="none" w:sz="0" w:space="0" w:color="auto"/>
              </w:divBdr>
              <w:divsChild>
                <w:div w:id="380205825">
                  <w:marLeft w:val="0"/>
                  <w:marRight w:val="0"/>
                  <w:marTop w:val="120"/>
                  <w:marBottom w:val="0"/>
                  <w:divBdr>
                    <w:top w:val="none" w:sz="0" w:space="0" w:color="auto"/>
                    <w:left w:val="none" w:sz="0" w:space="0" w:color="auto"/>
                    <w:bottom w:val="none" w:sz="0" w:space="0" w:color="auto"/>
                    <w:right w:val="none" w:sz="0" w:space="0" w:color="auto"/>
                  </w:divBdr>
                </w:div>
                <w:div w:id="2087144628">
                  <w:marLeft w:val="0"/>
                  <w:marRight w:val="0"/>
                  <w:marTop w:val="0"/>
                  <w:marBottom w:val="0"/>
                  <w:divBdr>
                    <w:top w:val="none" w:sz="0" w:space="0" w:color="auto"/>
                    <w:left w:val="none" w:sz="0" w:space="0" w:color="auto"/>
                    <w:bottom w:val="none" w:sz="0" w:space="0" w:color="auto"/>
                    <w:right w:val="none" w:sz="0" w:space="0" w:color="auto"/>
                  </w:divBdr>
                </w:div>
              </w:divsChild>
            </w:div>
            <w:div w:id="1918976225">
              <w:marLeft w:val="0"/>
              <w:marRight w:val="0"/>
              <w:marTop w:val="0"/>
              <w:marBottom w:val="0"/>
              <w:divBdr>
                <w:top w:val="none" w:sz="0" w:space="0" w:color="auto"/>
                <w:left w:val="none" w:sz="0" w:space="0" w:color="auto"/>
                <w:bottom w:val="none" w:sz="0" w:space="0" w:color="auto"/>
                <w:right w:val="none" w:sz="0" w:space="0" w:color="auto"/>
              </w:divBdr>
              <w:divsChild>
                <w:div w:id="284777739">
                  <w:marLeft w:val="0"/>
                  <w:marRight w:val="0"/>
                  <w:marTop w:val="120"/>
                  <w:marBottom w:val="0"/>
                  <w:divBdr>
                    <w:top w:val="none" w:sz="0" w:space="0" w:color="auto"/>
                    <w:left w:val="none" w:sz="0" w:space="0" w:color="auto"/>
                    <w:bottom w:val="none" w:sz="0" w:space="0" w:color="auto"/>
                    <w:right w:val="none" w:sz="0" w:space="0" w:color="auto"/>
                  </w:divBdr>
                </w:div>
                <w:div w:id="286939308">
                  <w:marLeft w:val="0"/>
                  <w:marRight w:val="0"/>
                  <w:marTop w:val="0"/>
                  <w:marBottom w:val="0"/>
                  <w:divBdr>
                    <w:top w:val="none" w:sz="0" w:space="0" w:color="auto"/>
                    <w:left w:val="none" w:sz="0" w:space="0" w:color="auto"/>
                    <w:bottom w:val="none" w:sz="0" w:space="0" w:color="auto"/>
                    <w:right w:val="none" w:sz="0" w:space="0" w:color="auto"/>
                  </w:divBdr>
                </w:div>
              </w:divsChild>
            </w:div>
            <w:div w:id="1964385250">
              <w:marLeft w:val="0"/>
              <w:marRight w:val="0"/>
              <w:marTop w:val="0"/>
              <w:marBottom w:val="0"/>
              <w:divBdr>
                <w:top w:val="none" w:sz="0" w:space="0" w:color="auto"/>
                <w:left w:val="none" w:sz="0" w:space="0" w:color="auto"/>
                <w:bottom w:val="none" w:sz="0" w:space="0" w:color="auto"/>
                <w:right w:val="none" w:sz="0" w:space="0" w:color="auto"/>
              </w:divBdr>
              <w:divsChild>
                <w:div w:id="239022921">
                  <w:marLeft w:val="0"/>
                  <w:marRight w:val="0"/>
                  <w:marTop w:val="120"/>
                  <w:marBottom w:val="0"/>
                  <w:divBdr>
                    <w:top w:val="none" w:sz="0" w:space="0" w:color="auto"/>
                    <w:left w:val="none" w:sz="0" w:space="0" w:color="auto"/>
                    <w:bottom w:val="none" w:sz="0" w:space="0" w:color="auto"/>
                    <w:right w:val="none" w:sz="0" w:space="0" w:color="auto"/>
                  </w:divBdr>
                </w:div>
                <w:div w:id="2007322886">
                  <w:marLeft w:val="0"/>
                  <w:marRight w:val="0"/>
                  <w:marTop w:val="0"/>
                  <w:marBottom w:val="0"/>
                  <w:divBdr>
                    <w:top w:val="none" w:sz="0" w:space="0" w:color="auto"/>
                    <w:left w:val="none" w:sz="0" w:space="0" w:color="auto"/>
                    <w:bottom w:val="none" w:sz="0" w:space="0" w:color="auto"/>
                    <w:right w:val="none" w:sz="0" w:space="0" w:color="auto"/>
                  </w:divBdr>
                  <w:divsChild>
                    <w:div w:id="953754583">
                      <w:marLeft w:val="0"/>
                      <w:marRight w:val="0"/>
                      <w:marTop w:val="0"/>
                      <w:marBottom w:val="0"/>
                      <w:divBdr>
                        <w:top w:val="none" w:sz="0" w:space="0" w:color="auto"/>
                        <w:left w:val="none" w:sz="0" w:space="0" w:color="auto"/>
                        <w:bottom w:val="none" w:sz="0" w:space="0" w:color="auto"/>
                        <w:right w:val="none" w:sz="0" w:space="0" w:color="auto"/>
                      </w:divBdr>
                      <w:divsChild>
                        <w:div w:id="1483499615">
                          <w:marLeft w:val="0"/>
                          <w:marRight w:val="0"/>
                          <w:marTop w:val="0"/>
                          <w:marBottom w:val="0"/>
                          <w:divBdr>
                            <w:top w:val="none" w:sz="0" w:space="0" w:color="auto"/>
                            <w:left w:val="none" w:sz="0" w:space="0" w:color="auto"/>
                            <w:bottom w:val="none" w:sz="0" w:space="0" w:color="auto"/>
                            <w:right w:val="none" w:sz="0" w:space="0" w:color="auto"/>
                          </w:divBdr>
                        </w:div>
                        <w:div w:id="1985156867">
                          <w:marLeft w:val="0"/>
                          <w:marRight w:val="0"/>
                          <w:marTop w:val="120"/>
                          <w:marBottom w:val="0"/>
                          <w:divBdr>
                            <w:top w:val="none" w:sz="0" w:space="0" w:color="auto"/>
                            <w:left w:val="none" w:sz="0" w:space="0" w:color="auto"/>
                            <w:bottom w:val="none" w:sz="0" w:space="0" w:color="auto"/>
                            <w:right w:val="none" w:sz="0" w:space="0" w:color="auto"/>
                          </w:divBdr>
                        </w:div>
                      </w:divsChild>
                    </w:div>
                    <w:div w:id="1268848641">
                      <w:marLeft w:val="0"/>
                      <w:marRight w:val="0"/>
                      <w:marTop w:val="0"/>
                      <w:marBottom w:val="0"/>
                      <w:divBdr>
                        <w:top w:val="none" w:sz="0" w:space="0" w:color="auto"/>
                        <w:left w:val="none" w:sz="0" w:space="0" w:color="auto"/>
                        <w:bottom w:val="none" w:sz="0" w:space="0" w:color="auto"/>
                        <w:right w:val="none" w:sz="0" w:space="0" w:color="auto"/>
                      </w:divBdr>
                      <w:divsChild>
                        <w:div w:id="212473971">
                          <w:marLeft w:val="0"/>
                          <w:marRight w:val="0"/>
                          <w:marTop w:val="120"/>
                          <w:marBottom w:val="0"/>
                          <w:divBdr>
                            <w:top w:val="none" w:sz="0" w:space="0" w:color="auto"/>
                            <w:left w:val="none" w:sz="0" w:space="0" w:color="auto"/>
                            <w:bottom w:val="none" w:sz="0" w:space="0" w:color="auto"/>
                            <w:right w:val="none" w:sz="0" w:space="0" w:color="auto"/>
                          </w:divBdr>
                        </w:div>
                        <w:div w:id="2024552013">
                          <w:marLeft w:val="0"/>
                          <w:marRight w:val="0"/>
                          <w:marTop w:val="0"/>
                          <w:marBottom w:val="0"/>
                          <w:divBdr>
                            <w:top w:val="none" w:sz="0" w:space="0" w:color="auto"/>
                            <w:left w:val="none" w:sz="0" w:space="0" w:color="auto"/>
                            <w:bottom w:val="none" w:sz="0" w:space="0" w:color="auto"/>
                            <w:right w:val="none" w:sz="0" w:space="0" w:color="auto"/>
                          </w:divBdr>
                        </w:div>
                      </w:divsChild>
                    </w:div>
                    <w:div w:id="1387142880">
                      <w:marLeft w:val="0"/>
                      <w:marRight w:val="0"/>
                      <w:marTop w:val="0"/>
                      <w:marBottom w:val="0"/>
                      <w:divBdr>
                        <w:top w:val="none" w:sz="0" w:space="0" w:color="auto"/>
                        <w:left w:val="none" w:sz="0" w:space="0" w:color="auto"/>
                        <w:bottom w:val="none" w:sz="0" w:space="0" w:color="auto"/>
                        <w:right w:val="none" w:sz="0" w:space="0" w:color="auto"/>
                      </w:divBdr>
                      <w:divsChild>
                        <w:div w:id="626206800">
                          <w:marLeft w:val="0"/>
                          <w:marRight w:val="0"/>
                          <w:marTop w:val="120"/>
                          <w:marBottom w:val="0"/>
                          <w:divBdr>
                            <w:top w:val="none" w:sz="0" w:space="0" w:color="auto"/>
                            <w:left w:val="none" w:sz="0" w:space="0" w:color="auto"/>
                            <w:bottom w:val="none" w:sz="0" w:space="0" w:color="auto"/>
                            <w:right w:val="none" w:sz="0" w:space="0" w:color="auto"/>
                          </w:divBdr>
                        </w:div>
                        <w:div w:id="711802750">
                          <w:marLeft w:val="0"/>
                          <w:marRight w:val="0"/>
                          <w:marTop w:val="0"/>
                          <w:marBottom w:val="0"/>
                          <w:divBdr>
                            <w:top w:val="none" w:sz="0" w:space="0" w:color="auto"/>
                            <w:left w:val="none" w:sz="0" w:space="0" w:color="auto"/>
                            <w:bottom w:val="none" w:sz="0" w:space="0" w:color="auto"/>
                            <w:right w:val="none" w:sz="0" w:space="0" w:color="auto"/>
                          </w:divBdr>
                        </w:div>
                      </w:divsChild>
                    </w:div>
                    <w:div w:id="1964001252">
                      <w:marLeft w:val="0"/>
                      <w:marRight w:val="0"/>
                      <w:marTop w:val="0"/>
                      <w:marBottom w:val="0"/>
                      <w:divBdr>
                        <w:top w:val="none" w:sz="0" w:space="0" w:color="auto"/>
                        <w:left w:val="none" w:sz="0" w:space="0" w:color="auto"/>
                        <w:bottom w:val="none" w:sz="0" w:space="0" w:color="auto"/>
                        <w:right w:val="none" w:sz="0" w:space="0" w:color="auto"/>
                      </w:divBdr>
                      <w:divsChild>
                        <w:div w:id="95946100">
                          <w:marLeft w:val="0"/>
                          <w:marRight w:val="0"/>
                          <w:marTop w:val="120"/>
                          <w:marBottom w:val="0"/>
                          <w:divBdr>
                            <w:top w:val="none" w:sz="0" w:space="0" w:color="auto"/>
                            <w:left w:val="none" w:sz="0" w:space="0" w:color="auto"/>
                            <w:bottom w:val="none" w:sz="0" w:space="0" w:color="auto"/>
                            <w:right w:val="none" w:sz="0" w:space="0" w:color="auto"/>
                          </w:divBdr>
                        </w:div>
                        <w:div w:id="7277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54711">
      <w:bodyDiv w:val="1"/>
      <w:marLeft w:val="0"/>
      <w:marRight w:val="0"/>
      <w:marTop w:val="0"/>
      <w:marBottom w:val="0"/>
      <w:divBdr>
        <w:top w:val="none" w:sz="0" w:space="0" w:color="auto"/>
        <w:left w:val="none" w:sz="0" w:space="0" w:color="auto"/>
        <w:bottom w:val="none" w:sz="0" w:space="0" w:color="auto"/>
        <w:right w:val="none" w:sz="0" w:space="0" w:color="auto"/>
      </w:divBdr>
      <w:divsChild>
        <w:div w:id="1799450072">
          <w:marLeft w:val="0"/>
          <w:marRight w:val="0"/>
          <w:marTop w:val="0"/>
          <w:marBottom w:val="0"/>
          <w:divBdr>
            <w:top w:val="none" w:sz="0" w:space="0" w:color="auto"/>
            <w:left w:val="none" w:sz="0" w:space="0" w:color="auto"/>
            <w:bottom w:val="none" w:sz="0" w:space="0" w:color="auto"/>
            <w:right w:val="none" w:sz="0" w:space="0" w:color="auto"/>
          </w:divBdr>
          <w:divsChild>
            <w:div w:id="749814618">
              <w:marLeft w:val="0"/>
              <w:marRight w:val="0"/>
              <w:marTop w:val="0"/>
              <w:marBottom w:val="0"/>
              <w:divBdr>
                <w:top w:val="none" w:sz="0" w:space="0" w:color="auto"/>
                <w:left w:val="none" w:sz="0" w:space="0" w:color="auto"/>
                <w:bottom w:val="none" w:sz="0" w:space="0" w:color="auto"/>
                <w:right w:val="none" w:sz="0" w:space="0" w:color="auto"/>
              </w:divBdr>
            </w:div>
          </w:divsChild>
        </w:div>
        <w:div w:id="1992051300">
          <w:marLeft w:val="0"/>
          <w:marRight w:val="0"/>
          <w:marTop w:val="0"/>
          <w:marBottom w:val="0"/>
          <w:divBdr>
            <w:top w:val="none" w:sz="0" w:space="0" w:color="auto"/>
            <w:left w:val="none" w:sz="0" w:space="0" w:color="auto"/>
            <w:bottom w:val="none" w:sz="0" w:space="0" w:color="auto"/>
            <w:right w:val="none" w:sz="0" w:space="0" w:color="auto"/>
          </w:divBdr>
          <w:divsChild>
            <w:div w:id="60997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5137">
      <w:bodyDiv w:val="1"/>
      <w:marLeft w:val="0"/>
      <w:marRight w:val="0"/>
      <w:marTop w:val="0"/>
      <w:marBottom w:val="0"/>
      <w:divBdr>
        <w:top w:val="none" w:sz="0" w:space="0" w:color="auto"/>
        <w:left w:val="none" w:sz="0" w:space="0" w:color="auto"/>
        <w:bottom w:val="none" w:sz="0" w:space="0" w:color="auto"/>
        <w:right w:val="none" w:sz="0" w:space="0" w:color="auto"/>
      </w:divBdr>
      <w:divsChild>
        <w:div w:id="1981381911">
          <w:marLeft w:val="0"/>
          <w:marRight w:val="0"/>
          <w:marTop w:val="0"/>
          <w:marBottom w:val="0"/>
          <w:divBdr>
            <w:top w:val="none" w:sz="0" w:space="0" w:color="auto"/>
            <w:left w:val="none" w:sz="0" w:space="0" w:color="auto"/>
            <w:bottom w:val="none" w:sz="0" w:space="0" w:color="auto"/>
            <w:right w:val="none" w:sz="0" w:space="0" w:color="auto"/>
          </w:divBdr>
        </w:div>
      </w:divsChild>
    </w:div>
    <w:div w:id="2092004044">
      <w:bodyDiv w:val="1"/>
      <w:marLeft w:val="0"/>
      <w:marRight w:val="0"/>
      <w:marTop w:val="0"/>
      <w:marBottom w:val="0"/>
      <w:divBdr>
        <w:top w:val="none" w:sz="0" w:space="0" w:color="auto"/>
        <w:left w:val="none" w:sz="0" w:space="0" w:color="auto"/>
        <w:bottom w:val="none" w:sz="0" w:space="0" w:color="auto"/>
        <w:right w:val="none" w:sz="0" w:space="0" w:color="auto"/>
      </w:divBdr>
      <w:divsChild>
        <w:div w:id="1068117545">
          <w:marLeft w:val="0"/>
          <w:marRight w:val="0"/>
          <w:marTop w:val="0"/>
          <w:marBottom w:val="0"/>
          <w:divBdr>
            <w:top w:val="none" w:sz="0" w:space="0" w:color="auto"/>
            <w:left w:val="none" w:sz="0" w:space="0" w:color="auto"/>
            <w:bottom w:val="none" w:sz="0" w:space="0" w:color="auto"/>
            <w:right w:val="none" w:sz="0" w:space="0" w:color="auto"/>
          </w:divBdr>
        </w:div>
      </w:divsChild>
    </w:div>
    <w:div w:id="2092310585">
      <w:bodyDiv w:val="1"/>
      <w:marLeft w:val="0"/>
      <w:marRight w:val="0"/>
      <w:marTop w:val="0"/>
      <w:marBottom w:val="0"/>
      <w:divBdr>
        <w:top w:val="none" w:sz="0" w:space="0" w:color="auto"/>
        <w:left w:val="none" w:sz="0" w:space="0" w:color="auto"/>
        <w:bottom w:val="none" w:sz="0" w:space="0" w:color="auto"/>
        <w:right w:val="none" w:sz="0" w:space="0" w:color="auto"/>
      </w:divBdr>
      <w:divsChild>
        <w:div w:id="206839566">
          <w:marLeft w:val="0"/>
          <w:marRight w:val="0"/>
          <w:marTop w:val="0"/>
          <w:marBottom w:val="0"/>
          <w:divBdr>
            <w:top w:val="none" w:sz="0" w:space="0" w:color="auto"/>
            <w:left w:val="none" w:sz="0" w:space="0" w:color="auto"/>
            <w:bottom w:val="none" w:sz="0" w:space="0" w:color="auto"/>
            <w:right w:val="none" w:sz="0" w:space="0" w:color="auto"/>
          </w:divBdr>
        </w:div>
      </w:divsChild>
    </w:div>
    <w:div w:id="2094425812">
      <w:bodyDiv w:val="1"/>
      <w:marLeft w:val="0"/>
      <w:marRight w:val="0"/>
      <w:marTop w:val="0"/>
      <w:marBottom w:val="0"/>
      <w:divBdr>
        <w:top w:val="none" w:sz="0" w:space="0" w:color="auto"/>
        <w:left w:val="none" w:sz="0" w:space="0" w:color="auto"/>
        <w:bottom w:val="none" w:sz="0" w:space="0" w:color="auto"/>
        <w:right w:val="none" w:sz="0" w:space="0" w:color="auto"/>
      </w:divBdr>
      <w:divsChild>
        <w:div w:id="841578861">
          <w:marLeft w:val="0"/>
          <w:marRight w:val="0"/>
          <w:marTop w:val="0"/>
          <w:marBottom w:val="0"/>
          <w:divBdr>
            <w:top w:val="none" w:sz="0" w:space="0" w:color="auto"/>
            <w:left w:val="none" w:sz="0" w:space="0" w:color="auto"/>
            <w:bottom w:val="none" w:sz="0" w:space="0" w:color="auto"/>
            <w:right w:val="none" w:sz="0" w:space="0" w:color="auto"/>
          </w:divBdr>
          <w:divsChild>
            <w:div w:id="15826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09437">
      <w:bodyDiv w:val="1"/>
      <w:marLeft w:val="0"/>
      <w:marRight w:val="0"/>
      <w:marTop w:val="0"/>
      <w:marBottom w:val="0"/>
      <w:divBdr>
        <w:top w:val="none" w:sz="0" w:space="0" w:color="auto"/>
        <w:left w:val="none" w:sz="0" w:space="0" w:color="auto"/>
        <w:bottom w:val="none" w:sz="0" w:space="0" w:color="auto"/>
        <w:right w:val="none" w:sz="0" w:space="0" w:color="auto"/>
      </w:divBdr>
      <w:divsChild>
        <w:div w:id="912618194">
          <w:marLeft w:val="0"/>
          <w:marRight w:val="0"/>
          <w:marTop w:val="0"/>
          <w:marBottom w:val="0"/>
          <w:divBdr>
            <w:top w:val="none" w:sz="0" w:space="0" w:color="auto"/>
            <w:left w:val="none" w:sz="0" w:space="0" w:color="auto"/>
            <w:bottom w:val="none" w:sz="0" w:space="0" w:color="auto"/>
            <w:right w:val="none" w:sz="0" w:space="0" w:color="auto"/>
          </w:divBdr>
          <w:divsChild>
            <w:div w:id="982974937">
              <w:marLeft w:val="0"/>
              <w:marRight w:val="0"/>
              <w:marTop w:val="0"/>
              <w:marBottom w:val="0"/>
              <w:divBdr>
                <w:top w:val="none" w:sz="0" w:space="0" w:color="auto"/>
                <w:left w:val="none" w:sz="0" w:space="0" w:color="auto"/>
                <w:bottom w:val="none" w:sz="0" w:space="0" w:color="auto"/>
                <w:right w:val="none" w:sz="0" w:space="0" w:color="auto"/>
              </w:divBdr>
              <w:divsChild>
                <w:div w:id="852569506">
                  <w:marLeft w:val="0"/>
                  <w:marRight w:val="0"/>
                  <w:marTop w:val="0"/>
                  <w:marBottom w:val="0"/>
                  <w:divBdr>
                    <w:top w:val="none" w:sz="0" w:space="0" w:color="auto"/>
                    <w:left w:val="none" w:sz="0" w:space="0" w:color="auto"/>
                    <w:bottom w:val="none" w:sz="0" w:space="0" w:color="auto"/>
                    <w:right w:val="none" w:sz="0" w:space="0" w:color="auto"/>
                  </w:divBdr>
                </w:div>
                <w:div w:id="1415855513">
                  <w:marLeft w:val="0"/>
                  <w:marRight w:val="0"/>
                  <w:marTop w:val="120"/>
                  <w:marBottom w:val="0"/>
                  <w:divBdr>
                    <w:top w:val="none" w:sz="0" w:space="0" w:color="auto"/>
                    <w:left w:val="none" w:sz="0" w:space="0" w:color="auto"/>
                    <w:bottom w:val="none" w:sz="0" w:space="0" w:color="auto"/>
                    <w:right w:val="none" w:sz="0" w:space="0" w:color="auto"/>
                  </w:divBdr>
                </w:div>
              </w:divsChild>
            </w:div>
            <w:div w:id="1541282723">
              <w:marLeft w:val="0"/>
              <w:marRight w:val="0"/>
              <w:marTop w:val="0"/>
              <w:marBottom w:val="0"/>
              <w:divBdr>
                <w:top w:val="none" w:sz="0" w:space="0" w:color="auto"/>
                <w:left w:val="none" w:sz="0" w:space="0" w:color="auto"/>
                <w:bottom w:val="none" w:sz="0" w:space="0" w:color="auto"/>
                <w:right w:val="none" w:sz="0" w:space="0" w:color="auto"/>
              </w:divBdr>
              <w:divsChild>
                <w:div w:id="929972134">
                  <w:marLeft w:val="0"/>
                  <w:marRight w:val="0"/>
                  <w:marTop w:val="0"/>
                  <w:marBottom w:val="0"/>
                  <w:divBdr>
                    <w:top w:val="none" w:sz="0" w:space="0" w:color="auto"/>
                    <w:left w:val="none" w:sz="0" w:space="0" w:color="auto"/>
                    <w:bottom w:val="none" w:sz="0" w:space="0" w:color="auto"/>
                    <w:right w:val="none" w:sz="0" w:space="0" w:color="auto"/>
                  </w:divBdr>
                </w:div>
                <w:div w:id="1579948919">
                  <w:marLeft w:val="0"/>
                  <w:marRight w:val="0"/>
                  <w:marTop w:val="120"/>
                  <w:marBottom w:val="0"/>
                  <w:divBdr>
                    <w:top w:val="none" w:sz="0" w:space="0" w:color="auto"/>
                    <w:left w:val="none" w:sz="0" w:space="0" w:color="auto"/>
                    <w:bottom w:val="none" w:sz="0" w:space="0" w:color="auto"/>
                    <w:right w:val="none" w:sz="0" w:space="0" w:color="auto"/>
                  </w:divBdr>
                </w:div>
              </w:divsChild>
            </w:div>
            <w:div w:id="1989241351">
              <w:marLeft w:val="0"/>
              <w:marRight w:val="0"/>
              <w:marTop w:val="0"/>
              <w:marBottom w:val="0"/>
              <w:divBdr>
                <w:top w:val="none" w:sz="0" w:space="0" w:color="auto"/>
                <w:left w:val="none" w:sz="0" w:space="0" w:color="auto"/>
                <w:bottom w:val="none" w:sz="0" w:space="0" w:color="auto"/>
                <w:right w:val="none" w:sz="0" w:space="0" w:color="auto"/>
              </w:divBdr>
              <w:divsChild>
                <w:div w:id="1760905234">
                  <w:marLeft w:val="0"/>
                  <w:marRight w:val="0"/>
                  <w:marTop w:val="120"/>
                  <w:marBottom w:val="0"/>
                  <w:divBdr>
                    <w:top w:val="none" w:sz="0" w:space="0" w:color="auto"/>
                    <w:left w:val="none" w:sz="0" w:space="0" w:color="auto"/>
                    <w:bottom w:val="none" w:sz="0" w:space="0" w:color="auto"/>
                    <w:right w:val="none" w:sz="0" w:space="0" w:color="auto"/>
                  </w:divBdr>
                </w:div>
                <w:div w:id="179243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52027">
      <w:bodyDiv w:val="1"/>
      <w:marLeft w:val="0"/>
      <w:marRight w:val="0"/>
      <w:marTop w:val="0"/>
      <w:marBottom w:val="0"/>
      <w:divBdr>
        <w:top w:val="none" w:sz="0" w:space="0" w:color="auto"/>
        <w:left w:val="none" w:sz="0" w:space="0" w:color="auto"/>
        <w:bottom w:val="none" w:sz="0" w:space="0" w:color="auto"/>
        <w:right w:val="none" w:sz="0" w:space="0" w:color="auto"/>
      </w:divBdr>
      <w:divsChild>
        <w:div w:id="1748842256">
          <w:marLeft w:val="0"/>
          <w:marRight w:val="0"/>
          <w:marTop w:val="0"/>
          <w:marBottom w:val="0"/>
          <w:divBdr>
            <w:top w:val="none" w:sz="0" w:space="0" w:color="auto"/>
            <w:left w:val="none" w:sz="0" w:space="0" w:color="auto"/>
            <w:bottom w:val="none" w:sz="0" w:space="0" w:color="auto"/>
            <w:right w:val="none" w:sz="0" w:space="0" w:color="auto"/>
          </w:divBdr>
        </w:div>
      </w:divsChild>
    </w:div>
    <w:div w:id="2110588993">
      <w:bodyDiv w:val="1"/>
      <w:marLeft w:val="0"/>
      <w:marRight w:val="0"/>
      <w:marTop w:val="0"/>
      <w:marBottom w:val="0"/>
      <w:divBdr>
        <w:top w:val="none" w:sz="0" w:space="0" w:color="auto"/>
        <w:left w:val="none" w:sz="0" w:space="0" w:color="auto"/>
        <w:bottom w:val="none" w:sz="0" w:space="0" w:color="auto"/>
        <w:right w:val="none" w:sz="0" w:space="0" w:color="auto"/>
      </w:divBdr>
      <w:divsChild>
        <w:div w:id="1921939694">
          <w:marLeft w:val="0"/>
          <w:marRight w:val="0"/>
          <w:marTop w:val="0"/>
          <w:marBottom w:val="0"/>
          <w:divBdr>
            <w:top w:val="none" w:sz="0" w:space="0" w:color="auto"/>
            <w:left w:val="none" w:sz="0" w:space="0" w:color="auto"/>
            <w:bottom w:val="none" w:sz="0" w:space="0" w:color="auto"/>
            <w:right w:val="none" w:sz="0" w:space="0" w:color="auto"/>
          </w:divBdr>
          <w:divsChild>
            <w:div w:id="8269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6619">
      <w:bodyDiv w:val="1"/>
      <w:marLeft w:val="0"/>
      <w:marRight w:val="0"/>
      <w:marTop w:val="0"/>
      <w:marBottom w:val="0"/>
      <w:divBdr>
        <w:top w:val="none" w:sz="0" w:space="0" w:color="auto"/>
        <w:left w:val="none" w:sz="0" w:space="0" w:color="auto"/>
        <w:bottom w:val="none" w:sz="0" w:space="0" w:color="auto"/>
        <w:right w:val="none" w:sz="0" w:space="0" w:color="auto"/>
      </w:divBdr>
      <w:divsChild>
        <w:div w:id="411507000">
          <w:marLeft w:val="0"/>
          <w:marRight w:val="0"/>
          <w:marTop w:val="0"/>
          <w:marBottom w:val="0"/>
          <w:divBdr>
            <w:top w:val="none" w:sz="0" w:space="0" w:color="auto"/>
            <w:left w:val="none" w:sz="0" w:space="0" w:color="auto"/>
            <w:bottom w:val="none" w:sz="0" w:space="0" w:color="auto"/>
            <w:right w:val="none" w:sz="0" w:space="0" w:color="auto"/>
          </w:divBdr>
          <w:divsChild>
            <w:div w:id="890577996">
              <w:marLeft w:val="0"/>
              <w:marRight w:val="0"/>
              <w:marTop w:val="0"/>
              <w:marBottom w:val="0"/>
              <w:divBdr>
                <w:top w:val="none" w:sz="0" w:space="0" w:color="auto"/>
                <w:left w:val="none" w:sz="0" w:space="0" w:color="auto"/>
                <w:bottom w:val="none" w:sz="0" w:space="0" w:color="auto"/>
                <w:right w:val="none" w:sz="0" w:space="0" w:color="auto"/>
              </w:divBdr>
              <w:divsChild>
                <w:div w:id="1037046301">
                  <w:marLeft w:val="0"/>
                  <w:marRight w:val="0"/>
                  <w:marTop w:val="120"/>
                  <w:marBottom w:val="0"/>
                  <w:divBdr>
                    <w:top w:val="none" w:sz="0" w:space="0" w:color="auto"/>
                    <w:left w:val="none" w:sz="0" w:space="0" w:color="auto"/>
                    <w:bottom w:val="none" w:sz="0" w:space="0" w:color="auto"/>
                    <w:right w:val="none" w:sz="0" w:space="0" w:color="auto"/>
                  </w:divBdr>
                </w:div>
                <w:div w:id="2086609890">
                  <w:marLeft w:val="0"/>
                  <w:marRight w:val="0"/>
                  <w:marTop w:val="0"/>
                  <w:marBottom w:val="0"/>
                  <w:divBdr>
                    <w:top w:val="none" w:sz="0" w:space="0" w:color="auto"/>
                    <w:left w:val="none" w:sz="0" w:space="0" w:color="auto"/>
                    <w:bottom w:val="none" w:sz="0" w:space="0" w:color="auto"/>
                    <w:right w:val="none" w:sz="0" w:space="0" w:color="auto"/>
                  </w:divBdr>
                </w:div>
              </w:divsChild>
            </w:div>
            <w:div w:id="1210920287">
              <w:marLeft w:val="0"/>
              <w:marRight w:val="0"/>
              <w:marTop w:val="0"/>
              <w:marBottom w:val="0"/>
              <w:divBdr>
                <w:top w:val="none" w:sz="0" w:space="0" w:color="auto"/>
                <w:left w:val="none" w:sz="0" w:space="0" w:color="auto"/>
                <w:bottom w:val="none" w:sz="0" w:space="0" w:color="auto"/>
                <w:right w:val="none" w:sz="0" w:space="0" w:color="auto"/>
              </w:divBdr>
              <w:divsChild>
                <w:div w:id="376973719">
                  <w:marLeft w:val="0"/>
                  <w:marRight w:val="0"/>
                  <w:marTop w:val="120"/>
                  <w:marBottom w:val="0"/>
                  <w:divBdr>
                    <w:top w:val="none" w:sz="0" w:space="0" w:color="auto"/>
                    <w:left w:val="none" w:sz="0" w:space="0" w:color="auto"/>
                    <w:bottom w:val="none" w:sz="0" w:space="0" w:color="auto"/>
                    <w:right w:val="none" w:sz="0" w:space="0" w:color="auto"/>
                  </w:divBdr>
                </w:div>
                <w:div w:id="4394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10918">
      <w:bodyDiv w:val="1"/>
      <w:marLeft w:val="0"/>
      <w:marRight w:val="0"/>
      <w:marTop w:val="0"/>
      <w:marBottom w:val="0"/>
      <w:divBdr>
        <w:top w:val="none" w:sz="0" w:space="0" w:color="auto"/>
        <w:left w:val="none" w:sz="0" w:space="0" w:color="auto"/>
        <w:bottom w:val="none" w:sz="0" w:space="0" w:color="auto"/>
        <w:right w:val="none" w:sz="0" w:space="0" w:color="auto"/>
      </w:divBdr>
      <w:divsChild>
        <w:div w:id="1105616996">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201433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51421">
      <w:bodyDiv w:val="1"/>
      <w:marLeft w:val="0"/>
      <w:marRight w:val="0"/>
      <w:marTop w:val="0"/>
      <w:marBottom w:val="0"/>
      <w:divBdr>
        <w:top w:val="none" w:sz="0" w:space="0" w:color="auto"/>
        <w:left w:val="none" w:sz="0" w:space="0" w:color="auto"/>
        <w:bottom w:val="none" w:sz="0" w:space="0" w:color="auto"/>
        <w:right w:val="none" w:sz="0" w:space="0" w:color="auto"/>
      </w:divBdr>
      <w:divsChild>
        <w:div w:id="946160514">
          <w:marLeft w:val="0"/>
          <w:marRight w:val="0"/>
          <w:marTop w:val="0"/>
          <w:marBottom w:val="0"/>
          <w:divBdr>
            <w:top w:val="none" w:sz="0" w:space="0" w:color="auto"/>
            <w:left w:val="none" w:sz="0" w:space="0" w:color="auto"/>
            <w:bottom w:val="none" w:sz="0" w:space="0" w:color="auto"/>
            <w:right w:val="none" w:sz="0" w:space="0" w:color="auto"/>
          </w:divBdr>
        </w:div>
      </w:divsChild>
    </w:div>
    <w:div w:id="2136368644">
      <w:bodyDiv w:val="1"/>
      <w:marLeft w:val="0"/>
      <w:marRight w:val="0"/>
      <w:marTop w:val="0"/>
      <w:marBottom w:val="0"/>
      <w:divBdr>
        <w:top w:val="none" w:sz="0" w:space="0" w:color="auto"/>
        <w:left w:val="none" w:sz="0" w:space="0" w:color="auto"/>
        <w:bottom w:val="none" w:sz="0" w:space="0" w:color="auto"/>
        <w:right w:val="none" w:sz="0" w:space="0" w:color="auto"/>
      </w:divBdr>
      <w:divsChild>
        <w:div w:id="1929381962">
          <w:marLeft w:val="0"/>
          <w:marRight w:val="0"/>
          <w:marTop w:val="0"/>
          <w:marBottom w:val="0"/>
          <w:divBdr>
            <w:top w:val="none" w:sz="0" w:space="0" w:color="auto"/>
            <w:left w:val="none" w:sz="0" w:space="0" w:color="auto"/>
            <w:bottom w:val="none" w:sz="0" w:space="0" w:color="auto"/>
            <w:right w:val="none" w:sz="0" w:space="0" w:color="auto"/>
          </w:divBdr>
          <w:divsChild>
            <w:div w:id="57713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12466">
      <w:bodyDiv w:val="1"/>
      <w:marLeft w:val="0"/>
      <w:marRight w:val="0"/>
      <w:marTop w:val="0"/>
      <w:marBottom w:val="0"/>
      <w:divBdr>
        <w:top w:val="none" w:sz="0" w:space="0" w:color="auto"/>
        <w:left w:val="none" w:sz="0" w:space="0" w:color="auto"/>
        <w:bottom w:val="none" w:sz="0" w:space="0" w:color="auto"/>
        <w:right w:val="none" w:sz="0" w:space="0" w:color="auto"/>
      </w:divBdr>
      <w:divsChild>
        <w:div w:id="1295135834">
          <w:marLeft w:val="0"/>
          <w:marRight w:val="0"/>
          <w:marTop w:val="0"/>
          <w:marBottom w:val="0"/>
          <w:divBdr>
            <w:top w:val="none" w:sz="0" w:space="0" w:color="auto"/>
            <w:left w:val="none" w:sz="0" w:space="0" w:color="auto"/>
            <w:bottom w:val="none" w:sz="0" w:space="0" w:color="auto"/>
            <w:right w:val="none" w:sz="0" w:space="0" w:color="auto"/>
          </w:divBdr>
          <w:divsChild>
            <w:div w:id="1976136347">
              <w:marLeft w:val="0"/>
              <w:marRight w:val="0"/>
              <w:marTop w:val="0"/>
              <w:marBottom w:val="0"/>
              <w:divBdr>
                <w:top w:val="none" w:sz="0" w:space="0" w:color="auto"/>
                <w:left w:val="none" w:sz="0" w:space="0" w:color="auto"/>
                <w:bottom w:val="none" w:sz="0" w:space="0" w:color="auto"/>
                <w:right w:val="none" w:sz="0" w:space="0" w:color="auto"/>
              </w:divBdr>
              <w:divsChild>
                <w:div w:id="23874881">
                  <w:marLeft w:val="0"/>
                  <w:marRight w:val="0"/>
                  <w:marTop w:val="0"/>
                  <w:marBottom w:val="0"/>
                  <w:divBdr>
                    <w:top w:val="none" w:sz="0" w:space="0" w:color="auto"/>
                    <w:left w:val="none" w:sz="0" w:space="0" w:color="auto"/>
                    <w:bottom w:val="none" w:sz="0" w:space="0" w:color="auto"/>
                    <w:right w:val="none" w:sz="0" w:space="0" w:color="auto"/>
                  </w:divBdr>
                  <w:divsChild>
                    <w:div w:id="1351222452">
                      <w:marLeft w:val="0"/>
                      <w:marRight w:val="0"/>
                      <w:marTop w:val="0"/>
                      <w:marBottom w:val="0"/>
                      <w:divBdr>
                        <w:top w:val="none" w:sz="0" w:space="0" w:color="auto"/>
                        <w:left w:val="none" w:sz="0" w:space="0" w:color="auto"/>
                        <w:bottom w:val="none" w:sz="0" w:space="0" w:color="auto"/>
                        <w:right w:val="none" w:sz="0" w:space="0" w:color="auto"/>
                      </w:divBdr>
                    </w:div>
                    <w:div w:id="2052610393">
                      <w:marLeft w:val="0"/>
                      <w:marRight w:val="0"/>
                      <w:marTop w:val="120"/>
                      <w:marBottom w:val="0"/>
                      <w:divBdr>
                        <w:top w:val="none" w:sz="0" w:space="0" w:color="auto"/>
                        <w:left w:val="none" w:sz="0" w:space="0" w:color="auto"/>
                        <w:bottom w:val="none" w:sz="0" w:space="0" w:color="auto"/>
                        <w:right w:val="none" w:sz="0" w:space="0" w:color="auto"/>
                      </w:divBdr>
                    </w:div>
                  </w:divsChild>
                </w:div>
                <w:div w:id="338821450">
                  <w:marLeft w:val="0"/>
                  <w:marRight w:val="0"/>
                  <w:marTop w:val="0"/>
                  <w:marBottom w:val="0"/>
                  <w:divBdr>
                    <w:top w:val="none" w:sz="0" w:space="0" w:color="auto"/>
                    <w:left w:val="none" w:sz="0" w:space="0" w:color="auto"/>
                    <w:bottom w:val="none" w:sz="0" w:space="0" w:color="auto"/>
                    <w:right w:val="none" w:sz="0" w:space="0" w:color="auto"/>
                  </w:divBdr>
                  <w:divsChild>
                    <w:div w:id="989863955">
                      <w:marLeft w:val="0"/>
                      <w:marRight w:val="0"/>
                      <w:marTop w:val="0"/>
                      <w:marBottom w:val="0"/>
                      <w:divBdr>
                        <w:top w:val="none" w:sz="0" w:space="0" w:color="auto"/>
                        <w:left w:val="none" w:sz="0" w:space="0" w:color="auto"/>
                        <w:bottom w:val="none" w:sz="0" w:space="0" w:color="auto"/>
                        <w:right w:val="none" w:sz="0" w:space="0" w:color="auto"/>
                      </w:divBdr>
                    </w:div>
                    <w:div w:id="1381783056">
                      <w:marLeft w:val="0"/>
                      <w:marRight w:val="0"/>
                      <w:marTop w:val="120"/>
                      <w:marBottom w:val="0"/>
                      <w:divBdr>
                        <w:top w:val="none" w:sz="0" w:space="0" w:color="auto"/>
                        <w:left w:val="none" w:sz="0" w:space="0" w:color="auto"/>
                        <w:bottom w:val="none" w:sz="0" w:space="0" w:color="auto"/>
                        <w:right w:val="none" w:sz="0" w:space="0" w:color="auto"/>
                      </w:divBdr>
                    </w:div>
                  </w:divsChild>
                </w:div>
                <w:div w:id="1239636624">
                  <w:marLeft w:val="0"/>
                  <w:marRight w:val="0"/>
                  <w:marTop w:val="0"/>
                  <w:marBottom w:val="0"/>
                  <w:divBdr>
                    <w:top w:val="none" w:sz="0" w:space="0" w:color="auto"/>
                    <w:left w:val="none" w:sz="0" w:space="0" w:color="auto"/>
                    <w:bottom w:val="none" w:sz="0" w:space="0" w:color="auto"/>
                    <w:right w:val="none" w:sz="0" w:space="0" w:color="auto"/>
                  </w:divBdr>
                  <w:divsChild>
                    <w:div w:id="1395204767">
                      <w:marLeft w:val="0"/>
                      <w:marRight w:val="0"/>
                      <w:marTop w:val="0"/>
                      <w:marBottom w:val="0"/>
                      <w:divBdr>
                        <w:top w:val="none" w:sz="0" w:space="0" w:color="auto"/>
                        <w:left w:val="none" w:sz="0" w:space="0" w:color="auto"/>
                        <w:bottom w:val="none" w:sz="0" w:space="0" w:color="auto"/>
                        <w:right w:val="none" w:sz="0" w:space="0" w:color="auto"/>
                      </w:divBdr>
                    </w:div>
                    <w:div w:id="1820809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91906683">
          <w:marLeft w:val="0"/>
          <w:marRight w:val="0"/>
          <w:marTop w:val="0"/>
          <w:marBottom w:val="0"/>
          <w:divBdr>
            <w:top w:val="none" w:sz="0" w:space="0" w:color="auto"/>
            <w:left w:val="none" w:sz="0" w:space="0" w:color="auto"/>
            <w:bottom w:val="none" w:sz="0" w:space="0" w:color="auto"/>
            <w:right w:val="none" w:sz="0" w:space="0" w:color="auto"/>
          </w:divBdr>
          <w:divsChild>
            <w:div w:id="114256319">
              <w:marLeft w:val="0"/>
              <w:marRight w:val="0"/>
              <w:marTop w:val="0"/>
              <w:marBottom w:val="0"/>
              <w:divBdr>
                <w:top w:val="none" w:sz="0" w:space="0" w:color="auto"/>
                <w:left w:val="none" w:sz="0" w:space="0" w:color="auto"/>
                <w:bottom w:val="none" w:sz="0" w:space="0" w:color="auto"/>
                <w:right w:val="none" w:sz="0" w:space="0" w:color="auto"/>
              </w:divBdr>
              <w:divsChild>
                <w:div w:id="18976181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45925265">
      <w:bodyDiv w:val="1"/>
      <w:marLeft w:val="0"/>
      <w:marRight w:val="0"/>
      <w:marTop w:val="0"/>
      <w:marBottom w:val="0"/>
      <w:divBdr>
        <w:top w:val="none" w:sz="0" w:space="0" w:color="auto"/>
        <w:left w:val="none" w:sz="0" w:space="0" w:color="auto"/>
        <w:bottom w:val="none" w:sz="0" w:space="0" w:color="auto"/>
        <w:right w:val="none" w:sz="0" w:space="0" w:color="auto"/>
      </w:divBdr>
      <w:divsChild>
        <w:div w:id="107237435">
          <w:marLeft w:val="0"/>
          <w:marRight w:val="0"/>
          <w:marTop w:val="0"/>
          <w:marBottom w:val="0"/>
          <w:divBdr>
            <w:top w:val="none" w:sz="0" w:space="0" w:color="auto"/>
            <w:left w:val="none" w:sz="0" w:space="0" w:color="auto"/>
            <w:bottom w:val="none" w:sz="0" w:space="0" w:color="auto"/>
            <w:right w:val="none" w:sz="0" w:space="0" w:color="auto"/>
          </w:divBdr>
          <w:divsChild>
            <w:div w:id="1199078092">
              <w:marLeft w:val="0"/>
              <w:marRight w:val="0"/>
              <w:marTop w:val="120"/>
              <w:marBottom w:val="0"/>
              <w:divBdr>
                <w:top w:val="none" w:sz="0" w:space="0" w:color="auto"/>
                <w:left w:val="none" w:sz="0" w:space="0" w:color="auto"/>
                <w:bottom w:val="none" w:sz="0" w:space="0" w:color="auto"/>
                <w:right w:val="none" w:sz="0" w:space="0" w:color="auto"/>
              </w:divBdr>
              <w:divsChild>
                <w:div w:id="1555462385">
                  <w:marLeft w:val="0"/>
                  <w:marRight w:val="0"/>
                  <w:marTop w:val="120"/>
                  <w:marBottom w:val="0"/>
                  <w:divBdr>
                    <w:top w:val="none" w:sz="0" w:space="0" w:color="auto"/>
                    <w:left w:val="none" w:sz="0" w:space="0" w:color="auto"/>
                    <w:bottom w:val="none" w:sz="0" w:space="0" w:color="auto"/>
                    <w:right w:val="none" w:sz="0" w:space="0" w:color="auto"/>
                  </w:divBdr>
                </w:div>
                <w:div w:id="1628393678">
                  <w:marLeft w:val="0"/>
                  <w:marRight w:val="0"/>
                  <w:marTop w:val="120"/>
                  <w:marBottom w:val="0"/>
                  <w:divBdr>
                    <w:top w:val="none" w:sz="0" w:space="0" w:color="auto"/>
                    <w:left w:val="none" w:sz="0" w:space="0" w:color="auto"/>
                    <w:bottom w:val="none" w:sz="0" w:space="0" w:color="auto"/>
                    <w:right w:val="none" w:sz="0" w:space="0" w:color="auto"/>
                  </w:divBdr>
                </w:div>
                <w:div w:id="2098790402">
                  <w:marLeft w:val="0"/>
                  <w:marRight w:val="0"/>
                  <w:marTop w:val="120"/>
                  <w:marBottom w:val="0"/>
                  <w:divBdr>
                    <w:top w:val="none" w:sz="0" w:space="0" w:color="auto"/>
                    <w:left w:val="none" w:sz="0" w:space="0" w:color="auto"/>
                    <w:bottom w:val="none" w:sz="0" w:space="0" w:color="auto"/>
                    <w:right w:val="none" w:sz="0" w:space="0" w:color="auto"/>
                  </w:divBdr>
                </w:div>
              </w:divsChild>
            </w:div>
            <w:div w:id="1489709005">
              <w:marLeft w:val="0"/>
              <w:marRight w:val="0"/>
              <w:marTop w:val="120"/>
              <w:marBottom w:val="0"/>
              <w:divBdr>
                <w:top w:val="none" w:sz="0" w:space="0" w:color="auto"/>
                <w:left w:val="none" w:sz="0" w:space="0" w:color="auto"/>
                <w:bottom w:val="none" w:sz="0" w:space="0" w:color="auto"/>
                <w:right w:val="none" w:sz="0" w:space="0" w:color="auto"/>
              </w:divBdr>
            </w:div>
            <w:div w:id="16932658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ommentsIds.xml" Type="http://schemas.microsoft.com/office/2016/09/relationships/commentsIds"/><Relationship Id="rId100" Target="https://eur-lex.europa.eu/legal-content/RO/AUTO/?uri=celex:32024R1623" TargetMode="External" Type="http://schemas.openxmlformats.org/officeDocument/2006/relationships/hyperlink"/><Relationship Id="rId101" Target="https://eur-lex.europa.eu/legal-content/RO/AUTO/?uri=celex:32019R0876" TargetMode="External" Type="http://schemas.openxmlformats.org/officeDocument/2006/relationships/hyperlink"/><Relationship Id="rId102" Target="media/image40.jpeg" Type="http://schemas.openxmlformats.org/officeDocument/2006/relationships/image"/><Relationship Id="rId103" Target="media/image41.jpeg" Type="http://schemas.openxmlformats.org/officeDocument/2006/relationships/image"/><Relationship Id="rId104" Target="https://eur-lex.europa.eu/legal-content/RO/AUTO/?uri=celex:32024R1623" TargetMode="External" Type="http://schemas.openxmlformats.org/officeDocument/2006/relationships/hyperlink"/><Relationship Id="rId105" Target="media/image42.jpeg" Type="http://schemas.openxmlformats.org/officeDocument/2006/relationships/image"/><Relationship Id="rId106" Target="https://eur-lex.europa.eu/legal-content/RO/AUTO/?uri=celex:32019R0876" TargetMode="External" Type="http://schemas.openxmlformats.org/officeDocument/2006/relationships/hyperlink"/><Relationship Id="rId107" Target="media/image43.jpeg" Type="http://schemas.openxmlformats.org/officeDocument/2006/relationships/image"/><Relationship Id="rId108" Target="https://eur-lex.europa.eu/legal-content/RO/AUTO/?uri=celex:32021R0424" TargetMode="External" Type="http://schemas.openxmlformats.org/officeDocument/2006/relationships/hyperlink"/><Relationship Id="rId109" Target="https://eur-lex.europa.eu/legal-content/RO/AUTO/?uri=celex:32024R1623" TargetMode="External" Type="http://schemas.openxmlformats.org/officeDocument/2006/relationships/hyperlink"/><Relationship Id="rId11" Target="commentsExtensible.xml" Type="http://schemas.microsoft.com/office/2018/08/relationships/commentsExtensible"/><Relationship Id="rId110" Target="https://eur-lex.europa.eu/legal-content/RO/AUTO/?uri=celex:32024R1623" TargetMode="External" Type="http://schemas.openxmlformats.org/officeDocument/2006/relationships/hyperlink"/><Relationship Id="rId111" Target="https://eur-lex.europa.eu/legal-content/RO/AUTO/?uri=celex:32024R1623" TargetMode="External" Type="http://schemas.openxmlformats.org/officeDocument/2006/relationships/hyperlink"/><Relationship Id="rId112" Target="https://eur-lex.europa.eu/legal-content/RO/AUTO/?uri=celex:32019R0876" TargetMode="External" Type="http://schemas.openxmlformats.org/officeDocument/2006/relationships/hyperlink"/><Relationship Id="rId113" Target="https://eur-lex.europa.eu/legal-content/RO/AUTO/?uri=celex:32024R1623" TargetMode="External" Type="http://schemas.openxmlformats.org/officeDocument/2006/relationships/hyperlink"/><Relationship Id="rId114" Target="https://eur-lex.europa.eu/legal-content/RO/AUTO/?uri=celex:32024R1623" TargetMode="External" Type="http://schemas.openxmlformats.org/officeDocument/2006/relationships/hyperlink"/><Relationship Id="rId115" Target="https://eur-lex.europa.eu/legal-content/RO/AUTO/?uri=celex:32019R0876" TargetMode="External" Type="http://schemas.openxmlformats.org/officeDocument/2006/relationships/hyperlink"/><Relationship Id="rId116" Target="media/image44.jpeg" Type="http://schemas.openxmlformats.org/officeDocument/2006/relationships/image"/><Relationship Id="rId117" Target="https://eur-lex.europa.eu/legal-content/RO/AUTO/?uri=celex:32024R1623" TargetMode="External" Type="http://schemas.openxmlformats.org/officeDocument/2006/relationships/hyperlink"/><Relationship Id="rId118" Target="https://eur-lex.europa.eu/legal-content/RO/AUTO/?uri=celex:32019R0876" TargetMode="External" Type="http://schemas.openxmlformats.org/officeDocument/2006/relationships/hyperlink"/><Relationship Id="rId119" Target="https://eur-lex.europa.eu/legal-content/RO/AUTO/?uri=celex:32021R0424" TargetMode="External" Type="http://schemas.openxmlformats.org/officeDocument/2006/relationships/hyperlink"/><Relationship Id="rId12" Target="https://eur-lex.europa.eu/legal-content/RO/AUTO/?uri=celex:32019R0876" TargetMode="External" Type="http://schemas.openxmlformats.org/officeDocument/2006/relationships/hyperlink"/><Relationship Id="rId120" Target="https://eur-lex.europa.eu/legal-content/RO/AUTO/?uri=celex:32019R0876" TargetMode="External" Type="http://schemas.openxmlformats.org/officeDocument/2006/relationships/hyperlink"/><Relationship Id="rId121" Target="https://eur-lex.europa.eu/legal-content/RO/AUTO/?uri=celex:32021R0424" TargetMode="External" Type="http://schemas.openxmlformats.org/officeDocument/2006/relationships/hyperlink"/><Relationship Id="rId122" Target="https://eur-lex.europa.eu/legal-content/RO/AUTO/?uri=celex:32024R1623" TargetMode="External" Type="http://schemas.openxmlformats.org/officeDocument/2006/relationships/hyperlink"/><Relationship Id="rId123" Target="https://eur-lex.europa.eu/legal-content/RO/AUTO/?uri=celex:32024R1623" TargetMode="External" Type="http://schemas.openxmlformats.org/officeDocument/2006/relationships/hyperlink"/><Relationship Id="rId124" Target="https://eur-lex.europa.eu/legal-content/RO/AUTO/?uri=celex:32024R1623" TargetMode="External" Type="http://schemas.openxmlformats.org/officeDocument/2006/relationships/hyperlink"/><Relationship Id="rId125" Target="https://eur-lex.europa.eu/legal-content/RO/AUTO/?uri=celex:32024R1623" TargetMode="External" Type="http://schemas.openxmlformats.org/officeDocument/2006/relationships/hyperlink"/><Relationship Id="rId126" Target="https://eur-lex.europa.eu/legal-content/RO/AUTO/?uri=celex:32024R1623" TargetMode="External" Type="http://schemas.openxmlformats.org/officeDocument/2006/relationships/hyperlink"/><Relationship Id="rId127" Target="https://eur-lex.europa.eu/legal-content/RO/AUTO/?uri=celex:32024R1623" TargetMode="External" Type="http://schemas.openxmlformats.org/officeDocument/2006/relationships/hyperlink"/><Relationship Id="rId128" Target="https://eur-lex.europa.eu/legal-content/RO/AUTO/?uri=celex:32019R0876" TargetMode="External" Type="http://schemas.openxmlformats.org/officeDocument/2006/relationships/hyperlink"/><Relationship Id="rId129" Target="https://eur-lex.europa.eu/legal-content/RO/AUTO/?uri=celex:32021R0424" TargetMode="External" Type="http://schemas.openxmlformats.org/officeDocument/2006/relationships/hyperlink"/><Relationship Id="rId13" Target="https://eur-lex.europa.eu/legal-content/RO/AUTO/?uri=celex:32024R1623" TargetMode="External" Type="http://schemas.openxmlformats.org/officeDocument/2006/relationships/hyperlink"/><Relationship Id="rId130" Target="https://eur-lex.europa.eu/legal-content/RO/AUTO/?uri=celex:32024R1623" TargetMode="External" Type="http://schemas.openxmlformats.org/officeDocument/2006/relationships/hyperlink"/><Relationship Id="rId131" Target="https://eur-lex.europa.eu/legal-content/RO/AUTO/?uri=celex:32024R1623" TargetMode="External" Type="http://schemas.openxmlformats.org/officeDocument/2006/relationships/hyperlink"/><Relationship Id="rId132" Target="https://eur-lex.europa.eu/legal-content/RO/AUTO/?uri=celex:32024R1623" TargetMode="External" Type="http://schemas.openxmlformats.org/officeDocument/2006/relationships/hyperlink"/><Relationship Id="rId133" Target="https://eur-lex.europa.eu/legal-content/RO/AUTO/?uri=celex:32019R0876" TargetMode="External" Type="http://schemas.openxmlformats.org/officeDocument/2006/relationships/hyperlink"/><Relationship Id="rId134" Target="https://eur-lex.europa.eu/legal-content/RO/AUTO/?uri=celex:32024R1623" TargetMode="External" Type="http://schemas.openxmlformats.org/officeDocument/2006/relationships/hyperlink"/><Relationship Id="rId135" Target="https://eur-lex.europa.eu/legal-content/RO/AUTO/?uri=celex:32019R0876" TargetMode="External" Type="http://schemas.openxmlformats.org/officeDocument/2006/relationships/hyperlink"/><Relationship Id="rId136" Target="media/image45.jpeg" Type="http://schemas.openxmlformats.org/officeDocument/2006/relationships/image"/><Relationship Id="rId137" Target="https://eur-lex.europa.eu/legal-content/RO/AUTO/?uri=celex:32021R0424" TargetMode="External" Type="http://schemas.openxmlformats.org/officeDocument/2006/relationships/hyperlink"/><Relationship Id="rId138" Target="https://eur-lex.europa.eu/legal-content/RO/AUTO/?uri=celex:32019R0876" TargetMode="External" Type="http://schemas.openxmlformats.org/officeDocument/2006/relationships/hyperlink"/><Relationship Id="rId139" Target="https://eur-lex.europa.eu/legal-content/RO/AUTO/?uri=celex:32021R0424" TargetMode="External" Type="http://schemas.openxmlformats.org/officeDocument/2006/relationships/hyperlink"/><Relationship Id="rId14" Target="https://eur-lex.europa.eu/legal-content/RO/AUTO/?uri=celex:32019R0876" TargetMode="External" Type="http://schemas.openxmlformats.org/officeDocument/2006/relationships/hyperlink"/><Relationship Id="rId140" Target="https://eur-lex.europa.eu/legal-content/RO/AUTO/?uri=celex:32019R0876" TargetMode="External" Type="http://schemas.openxmlformats.org/officeDocument/2006/relationships/hyperlink"/><Relationship Id="rId141" Target="https://eur-lex.europa.eu/legal-content/RO/AUTO/?uri=celex:32021R0424" TargetMode="External" Type="http://schemas.openxmlformats.org/officeDocument/2006/relationships/hyperlink"/><Relationship Id="rId142" Target="https://eur-lex.europa.eu/legal-content/RO/AUTO/?uri=celex:32021R0424" TargetMode="External" Type="http://schemas.openxmlformats.org/officeDocument/2006/relationships/hyperlink"/><Relationship Id="rId143" Target="https://eur-lex.europa.eu/legal-content/RO/AUTO/?uri=celex:32019R0876" TargetMode="External" Type="http://schemas.openxmlformats.org/officeDocument/2006/relationships/hyperlink"/><Relationship Id="rId144" Target="media/image46.jpeg" Type="http://schemas.openxmlformats.org/officeDocument/2006/relationships/image"/><Relationship Id="rId145" Target="https://eur-lex.europa.eu/legal-content/RO/AUTO/?uri=celex:32021R0424" TargetMode="External" Type="http://schemas.openxmlformats.org/officeDocument/2006/relationships/hyperlink"/><Relationship Id="rId146" Target="https://eur-lex.europa.eu/legal-content/RO/AUTO/?uri=celex:32024R1623" TargetMode="External" Type="http://schemas.openxmlformats.org/officeDocument/2006/relationships/hyperlink"/><Relationship Id="rId147" Target="https://eur-lex.europa.eu/legal-content/RO/AUTO/?uri=celex:32024R1623" TargetMode="External" Type="http://schemas.openxmlformats.org/officeDocument/2006/relationships/hyperlink"/><Relationship Id="rId148" Target="https://eur-lex.europa.eu/legal-content/RO/AUTO/?uri=celex:32021R0424" TargetMode="External" Type="http://schemas.openxmlformats.org/officeDocument/2006/relationships/hyperlink"/><Relationship Id="rId149" Target="https://eur-lex.europa.eu/legal-content/RO/AUTO/?uri=celex:32019R0876" TargetMode="External" Type="http://schemas.openxmlformats.org/officeDocument/2006/relationships/hyperlink"/><Relationship Id="rId15" Target="https://eur-lex.europa.eu/legal-content/RO/AUTO/?uri=celex:32019R0876" TargetMode="External" Type="http://schemas.openxmlformats.org/officeDocument/2006/relationships/hyperlink"/><Relationship Id="rId150" Target="https://eur-lex.europa.eu/legal-content/RO/AUTO/?uri=celex:32021R0424" TargetMode="External" Type="http://schemas.openxmlformats.org/officeDocument/2006/relationships/hyperlink"/><Relationship Id="rId151" Target="https://eur-lex.europa.eu/legal-content/RO/AUTO/?uri=celex:32019R0876" TargetMode="External" Type="http://schemas.openxmlformats.org/officeDocument/2006/relationships/hyperlink"/><Relationship Id="rId152" Target="https://eur-lex.europa.eu/legal-content/RO/AUTO/?uri=celex:32024R1623" TargetMode="External" Type="http://schemas.openxmlformats.org/officeDocument/2006/relationships/hyperlink"/><Relationship Id="rId153" Target="https://eur-lex.europa.eu/legal-content/RO/AUTO/?uri=celex:32024R1623" TargetMode="External" Type="http://schemas.openxmlformats.org/officeDocument/2006/relationships/hyperlink"/><Relationship Id="rId154" Target="https://eur-lex.europa.eu/legal-content/RO/AUTO/?uri=celex:32019R0876" TargetMode="External" Type="http://schemas.openxmlformats.org/officeDocument/2006/relationships/hyperlink"/><Relationship Id="rId155" Target="https://eur-lex.europa.eu/legal-content/RO/AUTO/?uri=celex:32024R1623" TargetMode="External" Type="http://schemas.openxmlformats.org/officeDocument/2006/relationships/hyperlink"/><Relationship Id="rId156" Target="https://eur-lex.europa.eu/legal-content/RO/AUTO/?uri=celex:32019R0876R%2811%29" TargetMode="External" Type="http://schemas.openxmlformats.org/officeDocument/2006/relationships/hyperlink"/><Relationship Id="rId157" Target="https://eur-lex.europa.eu/legal-content/RO/AUTO/?uri=celex:32019R0876" TargetMode="External" Type="http://schemas.openxmlformats.org/officeDocument/2006/relationships/hyperlink"/><Relationship Id="rId158" Target="media/image47.jpeg" Type="http://schemas.openxmlformats.org/officeDocument/2006/relationships/image"/><Relationship Id="rId159" Target="media/image48.jpeg" Type="http://schemas.openxmlformats.org/officeDocument/2006/relationships/image"/><Relationship Id="rId16" Target="media/image1.jpeg" Type="http://schemas.openxmlformats.org/officeDocument/2006/relationships/image"/><Relationship Id="rId160" Target="media/image49.jpeg" Type="http://schemas.openxmlformats.org/officeDocument/2006/relationships/image"/><Relationship Id="rId161" Target="media/image50.jpeg" Type="http://schemas.openxmlformats.org/officeDocument/2006/relationships/image"/><Relationship Id="rId162" Target="media/image51.jpeg" Type="http://schemas.openxmlformats.org/officeDocument/2006/relationships/image"/><Relationship Id="rId163" Target="media/image52.jpeg" Type="http://schemas.openxmlformats.org/officeDocument/2006/relationships/image"/><Relationship Id="rId164" Target="media/image53.jpeg" Type="http://schemas.openxmlformats.org/officeDocument/2006/relationships/image"/><Relationship Id="rId165" Target="media/image54.jpeg" Type="http://schemas.openxmlformats.org/officeDocument/2006/relationships/image"/><Relationship Id="rId166" Target="media/image55.jpeg" Type="http://schemas.openxmlformats.org/officeDocument/2006/relationships/image"/><Relationship Id="rId167" Target="https://eur-lex.europa.eu/legal-content/RO/AUTO/?uri=celex:32024R1623" TargetMode="External" Type="http://schemas.openxmlformats.org/officeDocument/2006/relationships/hyperlink"/><Relationship Id="rId168" Target="https://eur-lex.europa.eu/legal-content/RO/AUTO/?uri=celex:32019R0876" TargetMode="External" Type="http://schemas.openxmlformats.org/officeDocument/2006/relationships/hyperlink"/><Relationship Id="rId169" Target="https://eur-lex.europa.eu/legal-content/RO/AUTO/?uri=celex:32024R1623" TargetMode="External" Type="http://schemas.openxmlformats.org/officeDocument/2006/relationships/hyperlink"/><Relationship Id="rId17" Target="media/image2.jpeg" Type="http://schemas.openxmlformats.org/officeDocument/2006/relationships/image"/><Relationship Id="rId170" Target="https://eur-lex.europa.eu/legal-content/RO/AUTO/?uri=celex:32019R0876" TargetMode="External" Type="http://schemas.openxmlformats.org/officeDocument/2006/relationships/hyperlink"/><Relationship Id="rId171" Target="https://eur-lex.europa.eu/legal-content/RO/AUTO/?uri=celex:32024R1623" TargetMode="External" Type="http://schemas.openxmlformats.org/officeDocument/2006/relationships/hyperlink"/><Relationship Id="rId172" Target="https://eur-lex.europa.eu/legal-content/RO/AUTO/?uri=celex:32019R0876" TargetMode="External" Type="http://schemas.openxmlformats.org/officeDocument/2006/relationships/hyperlink"/><Relationship Id="rId173" Target="https://eur-lex.europa.eu/legal-content/RO/AUTO/?uri=celex:32024R1623" TargetMode="External" Type="http://schemas.openxmlformats.org/officeDocument/2006/relationships/hyperlink"/><Relationship Id="rId174" Target="https://eur-lex.europa.eu/legal-content/RO/AUTO/?uri=celex:32019R0876" TargetMode="External" Type="http://schemas.openxmlformats.org/officeDocument/2006/relationships/hyperlink"/><Relationship Id="rId175" Target="https://eur-lex.europa.eu/legal-content/RO/AUTO/?uri=celex:32024R1623" TargetMode="External" Type="http://schemas.openxmlformats.org/officeDocument/2006/relationships/hyperlink"/><Relationship Id="rId176" Target="https://eur-lex.europa.eu/legal-content/RO/AUTO/?uri=celex:32019R0876" TargetMode="External" Type="http://schemas.openxmlformats.org/officeDocument/2006/relationships/hyperlink"/><Relationship Id="rId177" Target="https://eur-lex.europa.eu/legal-content/RO/AUTO/?uri=celex:32024R1623" TargetMode="External" Type="http://schemas.openxmlformats.org/officeDocument/2006/relationships/hyperlink"/><Relationship Id="rId178" Target="https://eur-lex.europa.eu/legal-content/RO/AUTO/?uri=celex:32019R0876" TargetMode="External" Type="http://schemas.openxmlformats.org/officeDocument/2006/relationships/hyperlink"/><Relationship Id="rId179" Target="https://eur-lex.europa.eu/legal-content/RO/AUTO/?uri=celex:32024R1623" TargetMode="External" Type="http://schemas.openxmlformats.org/officeDocument/2006/relationships/hyperlink"/><Relationship Id="rId18" Target="https://eur-lex.europa.eu/legal-content/RO/AUTO/?uri=celex:32019R0876R%2811%29" TargetMode="External" Type="http://schemas.openxmlformats.org/officeDocument/2006/relationships/hyperlink"/><Relationship Id="rId180" Target="https://eur-lex.europa.eu/legal-content/RO/AUTO/?uri=celex:32019R0876" TargetMode="External" Type="http://schemas.openxmlformats.org/officeDocument/2006/relationships/hyperlink"/><Relationship Id="rId181" Target="https://eur-lex.europa.eu/legal-content/RO/AUTO/?uri=celex:32024R1623" TargetMode="External" Type="http://schemas.openxmlformats.org/officeDocument/2006/relationships/hyperlink"/><Relationship Id="rId182" Target="media/image56.jpeg" Type="http://schemas.openxmlformats.org/officeDocument/2006/relationships/image"/><Relationship Id="rId183" Target="https://eur-lex.europa.eu/legal-content/RO/AUTO/?uri=celex:32019R0876" TargetMode="External" Type="http://schemas.openxmlformats.org/officeDocument/2006/relationships/hyperlink"/><Relationship Id="rId184" Target="https://eur-lex.europa.eu/legal-content/RO/AUTO/?uri=celex:32019R0876R%2811%29" TargetMode="External" Type="http://schemas.openxmlformats.org/officeDocument/2006/relationships/hyperlink"/><Relationship Id="rId185" Target="https://eur-lex.europa.eu/legal-content/RO/AUTO/?uri=celex:32019R0876" TargetMode="External" Type="http://schemas.openxmlformats.org/officeDocument/2006/relationships/hyperlink"/><Relationship Id="rId186" Target="media/image57.jpeg" Type="http://schemas.openxmlformats.org/officeDocument/2006/relationships/image"/><Relationship Id="rId187" Target="media/image58.jpeg" Type="http://schemas.openxmlformats.org/officeDocument/2006/relationships/image"/><Relationship Id="rId188" Target="media/image59.jpeg" Type="http://schemas.openxmlformats.org/officeDocument/2006/relationships/image"/><Relationship Id="rId189" Target="media/image60.jpeg" Type="http://schemas.openxmlformats.org/officeDocument/2006/relationships/image"/><Relationship Id="rId19" Target="media/image3.jpeg" Type="http://schemas.openxmlformats.org/officeDocument/2006/relationships/image"/><Relationship Id="rId190" Target="media/image61.jpeg" Type="http://schemas.openxmlformats.org/officeDocument/2006/relationships/image"/><Relationship Id="rId191" Target="media/image62.jpeg" Type="http://schemas.openxmlformats.org/officeDocument/2006/relationships/image"/><Relationship Id="rId192" Target="media/image63.jpeg" Type="http://schemas.openxmlformats.org/officeDocument/2006/relationships/image"/><Relationship Id="rId193" Target="media/image64.jpeg" Type="http://schemas.openxmlformats.org/officeDocument/2006/relationships/image"/><Relationship Id="rId194" Target="media/image65.jpeg" Type="http://schemas.openxmlformats.org/officeDocument/2006/relationships/image"/><Relationship Id="rId195" Target="media/image66.jpeg" Type="http://schemas.openxmlformats.org/officeDocument/2006/relationships/image"/><Relationship Id="rId196" Target="https://eur-lex.europa.eu/legal-content/RO/AUTO/?uri=celex:32019R0876R%2811%29" TargetMode="External" Type="http://schemas.openxmlformats.org/officeDocument/2006/relationships/hyperlink"/><Relationship Id="rId197" Target="media/image67.jpeg" Type="http://schemas.openxmlformats.org/officeDocument/2006/relationships/image"/><Relationship Id="rId198" Target="https://eur-lex.europa.eu/legal-content/RO/AUTO/?uri=celex:32019R0876" TargetMode="External" Type="http://schemas.openxmlformats.org/officeDocument/2006/relationships/hyperlink"/><Relationship Id="rId199" Target="media/image68.jpeg" Type="http://schemas.openxmlformats.org/officeDocument/2006/relationships/image"/><Relationship Id="rId2" Target="numbering.xml" Type="http://schemas.openxmlformats.org/officeDocument/2006/relationships/numbering"/><Relationship Id="rId20" Target="https://eur-lex.europa.eu/legal-content/RO/AUTO/?uri=celex:32019R0876" TargetMode="External" Type="http://schemas.openxmlformats.org/officeDocument/2006/relationships/hyperlink"/><Relationship Id="rId200" Target="https://eur-lex.europa.eu/legal-content/RO/AUTO/?uri=celex:32024R1623" TargetMode="External" Type="http://schemas.openxmlformats.org/officeDocument/2006/relationships/hyperlink"/><Relationship Id="rId201" Target="https://eur-lex.europa.eu/legal-content/RO/AUTO/?uri=celex:32019R0876" TargetMode="External" Type="http://schemas.openxmlformats.org/officeDocument/2006/relationships/hyperlink"/><Relationship Id="rId202" Target="https://eur-lex.europa.eu/legal-content/RO/AUTO/?uri=celex:32019R0876R%2811%29" TargetMode="External" Type="http://schemas.openxmlformats.org/officeDocument/2006/relationships/hyperlink"/><Relationship Id="rId203" Target="https://eur-lex.europa.eu/legal-content/RO/AUTO/?uri=celex:32019R0876" TargetMode="External" Type="http://schemas.openxmlformats.org/officeDocument/2006/relationships/hyperlink"/><Relationship Id="rId204" Target="media/image69.jpeg" Type="http://schemas.openxmlformats.org/officeDocument/2006/relationships/image"/><Relationship Id="rId205" Target="https://eur-lex.europa.eu/legal-content/RO/AUTO/?uri=celex:32024R1623" TargetMode="External" Type="http://schemas.openxmlformats.org/officeDocument/2006/relationships/hyperlink"/><Relationship Id="rId206" Target="https://eur-lex.europa.eu/legal-content/RO/AUTO/?uri=celex:32019R0876" TargetMode="External" Type="http://schemas.openxmlformats.org/officeDocument/2006/relationships/hyperlink"/><Relationship Id="rId207" Target="https://eur-lex.europa.eu/legal-content/RO/AUTO/?uri=celex:32024R1623" TargetMode="External" Type="http://schemas.openxmlformats.org/officeDocument/2006/relationships/hyperlink"/><Relationship Id="rId208" Target="https://eur-lex.europa.eu/legal-content/RO/AUTO/?uri=celex:32019R0876" TargetMode="External" Type="http://schemas.openxmlformats.org/officeDocument/2006/relationships/hyperlink"/><Relationship Id="rId209" Target="https://eur-lex.europa.eu/legal-content/RO/AUTO/?uri=celex:32024R1623" TargetMode="External" Type="http://schemas.openxmlformats.org/officeDocument/2006/relationships/hyperlink"/><Relationship Id="rId21" Target="media/image4.jpeg" Type="http://schemas.openxmlformats.org/officeDocument/2006/relationships/image"/><Relationship Id="rId210" Target="https://eur-lex.europa.eu/legal-content/RO/AUTO/?uri=celex:32024R1623" TargetMode="External" Type="http://schemas.openxmlformats.org/officeDocument/2006/relationships/hyperlink"/><Relationship Id="rId211" Target="https://eur-lex.europa.eu/legal-content/RO/AUTO/?uri=celex:32019R0876" TargetMode="External" Type="http://schemas.openxmlformats.org/officeDocument/2006/relationships/hyperlink"/><Relationship Id="rId212" Target="https://eur-lex.europa.eu/legal-content/RO/AUTO/?uri=celex:32024R1623" TargetMode="External" Type="http://schemas.openxmlformats.org/officeDocument/2006/relationships/hyperlink"/><Relationship Id="rId213" Target="https://eur-lex.europa.eu/legal-content/RO/AUTO/?uri=celex:32024R1623" TargetMode="External" Type="http://schemas.openxmlformats.org/officeDocument/2006/relationships/hyperlink"/><Relationship Id="rId214" Target="https://eur-lex.europa.eu/legal-content/RO/AUTO/?uri=celex:32024R1623" TargetMode="External" Type="http://schemas.openxmlformats.org/officeDocument/2006/relationships/hyperlink"/><Relationship Id="rId215" Target="https://eur-lex.europa.eu/legal-content/RO/AUTO/?uri=celex:32019R0876" TargetMode="External" Type="http://schemas.openxmlformats.org/officeDocument/2006/relationships/hyperlink"/><Relationship Id="rId216" Target="https://eur-lex.europa.eu/legal-content/RO/AUTO/?uri=celex:32024R1623" TargetMode="External" Type="http://schemas.openxmlformats.org/officeDocument/2006/relationships/hyperlink"/><Relationship Id="rId217" Target="https://eur-lex.europa.eu/legal-content/RO/AUTO/?uri=celex:32019R0876" TargetMode="External" Type="http://schemas.openxmlformats.org/officeDocument/2006/relationships/hyperlink"/><Relationship Id="rId218" Target="https://eur-lex.europa.eu/legal-content/RO/AUTO/?uri=celex:32024R1623" TargetMode="External" Type="http://schemas.openxmlformats.org/officeDocument/2006/relationships/hyperlink"/><Relationship Id="rId219" Target="https://eur-lex.europa.eu/legal-content/RO/AUTO/?uri=celex:32019R0876" TargetMode="External" Type="http://schemas.openxmlformats.org/officeDocument/2006/relationships/hyperlink"/><Relationship Id="rId22" Target="media/image5.jpeg" Type="http://schemas.openxmlformats.org/officeDocument/2006/relationships/image"/><Relationship Id="rId220" Target="https://eur-lex.europa.eu/legal-content/RO/AUTO/?uri=celex:32024R1623" TargetMode="External" Type="http://schemas.openxmlformats.org/officeDocument/2006/relationships/hyperlink"/><Relationship Id="rId221" Target="https://eur-lex.europa.eu/legal-content/RO/AUTO/?uri=celex:32019R0876" TargetMode="External" Type="http://schemas.openxmlformats.org/officeDocument/2006/relationships/hyperlink"/><Relationship Id="rId222" Target="https://eur-lex.europa.eu/legal-content/RO/AUTO/?uri=celex:32024R1623" TargetMode="External" Type="http://schemas.openxmlformats.org/officeDocument/2006/relationships/hyperlink"/><Relationship Id="rId223" Target="https://eur-lex.europa.eu/legal-content/RO/AUTO/?uri=celex:32019R0876" TargetMode="External" Type="http://schemas.openxmlformats.org/officeDocument/2006/relationships/hyperlink"/><Relationship Id="rId224" Target="https://eur-lex.europa.eu/legal-content/RO/AUTO/?uri=celex:32024R1623" TargetMode="External" Type="http://schemas.openxmlformats.org/officeDocument/2006/relationships/hyperlink"/><Relationship Id="rId225" Target="https://eur-lex.europa.eu/legal-content/RO/AUTO/?uri=celex:32024R1623" TargetMode="External" Type="http://schemas.openxmlformats.org/officeDocument/2006/relationships/hyperlink"/><Relationship Id="rId226" Target="https://eur-lex.europa.eu/legal-content/RO/AUTO/?uri=celex:32019R0876" TargetMode="External" Type="http://schemas.openxmlformats.org/officeDocument/2006/relationships/hyperlink"/><Relationship Id="rId227" Target="https://eur-lex.europa.eu/legal-content/RO/AUTO/?uri=celex:32024R1623" TargetMode="External" Type="http://schemas.openxmlformats.org/officeDocument/2006/relationships/hyperlink"/><Relationship Id="rId228" Target="https://eur-lex.europa.eu/legal-content/RO/AUTO/?uri=celex:32019R0876" TargetMode="External" Type="http://schemas.openxmlformats.org/officeDocument/2006/relationships/hyperlink"/><Relationship Id="rId229" Target="https://eur-lex.europa.eu/legal-content/RO/AUTO/?uri=celex:32024R1623" TargetMode="External" Type="http://schemas.openxmlformats.org/officeDocument/2006/relationships/hyperlink"/><Relationship Id="rId23" Target="media/image6.jpeg" Type="http://schemas.openxmlformats.org/officeDocument/2006/relationships/image"/><Relationship Id="rId230" Target="https://eur-lex.europa.eu/legal-content/RO/AUTO/?uri=celex:32024R1623" TargetMode="External" Type="http://schemas.openxmlformats.org/officeDocument/2006/relationships/hyperlink"/><Relationship Id="rId231" Target="https://eur-lex.europa.eu/legal-content/RO/AUTO/?uri=celex:32024R1623" TargetMode="External" Type="http://schemas.openxmlformats.org/officeDocument/2006/relationships/hyperlink"/><Relationship Id="rId232" Target="https://eur-lex.europa.eu/legal-content/RO/AUTO/?uri=celex:32019R0876" TargetMode="External" Type="http://schemas.openxmlformats.org/officeDocument/2006/relationships/hyperlink"/><Relationship Id="rId233" Target="https://eur-lex.europa.eu/legal-content/RO/AUTO/?uri=celex:32024R1623" TargetMode="External" Type="http://schemas.openxmlformats.org/officeDocument/2006/relationships/hyperlink"/><Relationship Id="rId234" Target="https://eur-lex.europa.eu/legal-content/RO/AUTO/?uri=celex:32019R0876" TargetMode="External" Type="http://schemas.openxmlformats.org/officeDocument/2006/relationships/hyperlink"/><Relationship Id="rId235" Target="https://eur-lex.europa.eu/legal-content/RO/AUTO/?uri=celex:32024R1623" TargetMode="External" Type="http://schemas.openxmlformats.org/officeDocument/2006/relationships/hyperlink"/><Relationship Id="rId236" Target="https://eur-lex.europa.eu/legal-content/RO/AUTO/?uri=celex:32019R0876" TargetMode="External" Type="http://schemas.openxmlformats.org/officeDocument/2006/relationships/hyperlink"/><Relationship Id="rId237" Target="https://eur-lex.europa.eu/legal-content/RO/AUTO/?uri=celex:32024R1623" TargetMode="External" Type="http://schemas.openxmlformats.org/officeDocument/2006/relationships/hyperlink"/><Relationship Id="rId238" Target="https://eur-lex.europa.eu/legal-content/RO/AUTO/?uri=celex:32019R0876" TargetMode="External" Type="http://schemas.openxmlformats.org/officeDocument/2006/relationships/hyperlink"/><Relationship Id="rId239" Target="https://eur-lex.europa.eu/legal-content/RO/AUTO/?uri=celex:32024R1623" TargetMode="External" Type="http://schemas.openxmlformats.org/officeDocument/2006/relationships/hyperlink"/><Relationship Id="rId24" Target="media/image7.jpeg" Type="http://schemas.openxmlformats.org/officeDocument/2006/relationships/image"/><Relationship Id="rId240" Target="https://eur-lex.europa.eu/legal-content/RO/AUTO/?uri=celex:32019R0876" TargetMode="External" Type="http://schemas.openxmlformats.org/officeDocument/2006/relationships/hyperlink"/><Relationship Id="rId241" Target="https://eur-lex.europa.eu/legal-content/RO/AUTO/?uri=celex:32024R1623" TargetMode="External" Type="http://schemas.openxmlformats.org/officeDocument/2006/relationships/hyperlink"/><Relationship Id="rId242" Target="https://eur-lex.europa.eu/legal-content/RO/AUTO/?uri=celex:32024R1623" TargetMode="External" Type="http://schemas.openxmlformats.org/officeDocument/2006/relationships/hyperlink"/><Relationship Id="rId243" Target="https://eur-lex.europa.eu/legal-content/RO/AUTO/?uri=celex:32019R0876" TargetMode="External" Type="http://schemas.openxmlformats.org/officeDocument/2006/relationships/hyperlink"/><Relationship Id="rId244" Target="https://eur-lex.europa.eu/legal-content/RO/AUTO/?uri=celex:32024R1623" TargetMode="External" Type="http://schemas.openxmlformats.org/officeDocument/2006/relationships/hyperlink"/><Relationship Id="rId245" Target="https://eur-lex.europa.eu/legal-content/RO/AUTO/?uri=celex:32024R1623" TargetMode="External" Type="http://schemas.openxmlformats.org/officeDocument/2006/relationships/hyperlink"/><Relationship Id="rId246" Target="https://eur-lex.europa.eu/legal-content/RO/AUTO/?uri=celex:32019R0876" TargetMode="External" Type="http://schemas.openxmlformats.org/officeDocument/2006/relationships/hyperlink"/><Relationship Id="rId247" Target="https://eur-lex.europa.eu/legal-content/RO/AUTO/?uri=celex:32013R0575R%2802%29" TargetMode="External" Type="http://schemas.openxmlformats.org/officeDocument/2006/relationships/hyperlink"/><Relationship Id="rId248" Target="https://eur-lex.europa.eu/legal-content/RO/AUTO/?uri=celex:32024R1623" TargetMode="External" Type="http://schemas.openxmlformats.org/officeDocument/2006/relationships/hyperlink"/><Relationship Id="rId249" Target="https://eur-lex.europa.eu/legal-content/RO/AUTO/?uri=celex:32024R1623" TargetMode="External" Type="http://schemas.openxmlformats.org/officeDocument/2006/relationships/hyperlink"/><Relationship Id="rId25" Target="media/image8.jpeg" Type="http://schemas.openxmlformats.org/officeDocument/2006/relationships/image"/><Relationship Id="rId250" Target="https://eur-lex.europa.eu/legal-content/RO/AUTO/?uri=celex:32017R2401" TargetMode="External" Type="http://schemas.openxmlformats.org/officeDocument/2006/relationships/hyperlink"/><Relationship Id="rId251" Target="https://eur-lex.europa.eu/legal-content/RO/AUTO/?uri=celex:32024R1623" TargetMode="External" Type="http://schemas.openxmlformats.org/officeDocument/2006/relationships/hyperlink"/><Relationship Id="rId252" Target="https://eur-lex.europa.eu/legal-content/RO/AUTO/?uri=celex:32017R2401" TargetMode="External" Type="http://schemas.openxmlformats.org/officeDocument/2006/relationships/hyperlink"/><Relationship Id="rId253" Target="https://eur-lex.europa.eu/legal-content/RO/AUTO/?uri=celex:32024R1623" TargetMode="External" Type="http://schemas.openxmlformats.org/officeDocument/2006/relationships/hyperlink"/><Relationship Id="rId254" Target="https://eur-lex.europa.eu/legal-content/RO/AUTO/?uri=celex:32013R0575R%2802%29" TargetMode="External" Type="http://schemas.openxmlformats.org/officeDocument/2006/relationships/hyperlink"/><Relationship Id="rId255" Target="media/image70.jpeg" Type="http://schemas.openxmlformats.org/officeDocument/2006/relationships/image"/><Relationship Id="rId256" Target="media/image71.jpeg" Type="http://schemas.openxmlformats.org/officeDocument/2006/relationships/image"/><Relationship Id="rId257" Target="https://eur-lex.europa.eu/legal-content/RO/AUTO/?uri=celex:32024R1623" TargetMode="External" Type="http://schemas.openxmlformats.org/officeDocument/2006/relationships/hyperlink"/><Relationship Id="rId258" Target="https://eur-lex.europa.eu/legal-content/RO/AUTO/?uri=celex:32013R0575R%2802%29" TargetMode="External" Type="http://schemas.openxmlformats.org/officeDocument/2006/relationships/hyperlink"/><Relationship Id="rId259" Target="https://eur-lex.europa.eu/legal-content/RO/AUTO/?uri=celex:32024R1623" TargetMode="External" Type="http://schemas.openxmlformats.org/officeDocument/2006/relationships/hyperlink"/><Relationship Id="rId26" Target="media/image9.jpeg" Type="http://schemas.openxmlformats.org/officeDocument/2006/relationships/image"/><Relationship Id="rId260" Target="https://eur-lex.europa.eu/legal-content/RO/AUTO/?uri=celex:32013R0575R%2802%29" TargetMode="External" Type="http://schemas.openxmlformats.org/officeDocument/2006/relationships/hyperlink"/><Relationship Id="rId261" Target="https://eur-lex.europa.eu/legal-content/RO/AUTO/?uri=celex:32024R1623" TargetMode="External" Type="http://schemas.openxmlformats.org/officeDocument/2006/relationships/hyperlink"/><Relationship Id="rId262" Target="https://eur-lex.europa.eu/legal-content/RO/AUTO/?uri=celex:32013R0575R%2802%29" TargetMode="External" Type="http://schemas.openxmlformats.org/officeDocument/2006/relationships/hyperlink"/><Relationship Id="rId263" Target="https://eur-lex.europa.eu/legal-content/RO/AUTO/?uri=celex:32024R1623" TargetMode="External" Type="http://schemas.openxmlformats.org/officeDocument/2006/relationships/hyperlink"/><Relationship Id="rId264" Target="https://eur-lex.europa.eu/legal-content/RO/AUTO/?uri=celex:32013R0575R%2802%29" TargetMode="External" Type="http://schemas.openxmlformats.org/officeDocument/2006/relationships/hyperlink"/><Relationship Id="rId265" Target="https://eur-lex.europa.eu/legal-content/RO/AUTO/?uri=celex:32024R1623" TargetMode="External" Type="http://schemas.openxmlformats.org/officeDocument/2006/relationships/hyperlink"/><Relationship Id="rId266" Target="https://eur-lex.europa.eu/legal-content/RO/AUTO/?uri=celex:32024R1623" TargetMode="External" Type="http://schemas.openxmlformats.org/officeDocument/2006/relationships/hyperlink"/><Relationship Id="rId267" Target="https://eur-lex.europa.eu/legal-content/RO/AUTO/?uri=celex:32019R0876" TargetMode="External" Type="http://schemas.openxmlformats.org/officeDocument/2006/relationships/hyperlink"/><Relationship Id="rId268" Target="https://eur-lex.europa.eu/legal-content/RO/AUTO/?uri=celex:32013R0575R%2802%29" TargetMode="External" Type="http://schemas.openxmlformats.org/officeDocument/2006/relationships/hyperlink"/><Relationship Id="rId269" Target="https://eur-lex.europa.eu/legal-content/RO/AUTO/?uri=celex:32019R0876" TargetMode="External" Type="http://schemas.openxmlformats.org/officeDocument/2006/relationships/hyperlink"/><Relationship Id="rId27" Target="media/image10.jpeg" Type="http://schemas.openxmlformats.org/officeDocument/2006/relationships/image"/><Relationship Id="rId270" Target="https://eur-lex.europa.eu/legal-content/RO/AUTO/?uri=celex:32013R0575R%2802%29" TargetMode="External" Type="http://schemas.openxmlformats.org/officeDocument/2006/relationships/hyperlink"/><Relationship Id="rId271" Target="https://eur-lex.europa.eu/legal-content/RO/AUTO/?uri=celex:32019R0876" TargetMode="External" Type="http://schemas.openxmlformats.org/officeDocument/2006/relationships/hyperlink"/><Relationship Id="rId272" Target="header1.xml" Type="http://schemas.openxmlformats.org/officeDocument/2006/relationships/header"/><Relationship Id="rId273" Target="header2.xml" Type="http://schemas.openxmlformats.org/officeDocument/2006/relationships/header"/><Relationship Id="rId274" Target="footer1.xml" Type="http://schemas.openxmlformats.org/officeDocument/2006/relationships/footer"/><Relationship Id="rId275" Target="footer2.xml" Type="http://schemas.openxmlformats.org/officeDocument/2006/relationships/footer"/><Relationship Id="rId276" Target="header3.xml" Type="http://schemas.openxmlformats.org/officeDocument/2006/relationships/header"/><Relationship Id="rId277" Target="footer3.xml" Type="http://schemas.openxmlformats.org/officeDocument/2006/relationships/footer"/><Relationship Id="rId278" Target="fontTable.xml" Type="http://schemas.openxmlformats.org/officeDocument/2006/relationships/fontTable"/><Relationship Id="rId279" Target="people.xml" Type="http://schemas.microsoft.com/office/2011/relationships/people"/><Relationship Id="rId28" Target="media/image11.jpeg" Type="http://schemas.openxmlformats.org/officeDocument/2006/relationships/image"/><Relationship Id="rId280" Target="theme/theme1.xml" Type="http://schemas.openxmlformats.org/officeDocument/2006/relationships/theme"/><Relationship Id="rId29" Target="media/image12.jpeg" Type="http://schemas.openxmlformats.org/officeDocument/2006/relationships/image"/><Relationship Id="rId3" Target="styles.xml" Type="http://schemas.openxmlformats.org/officeDocument/2006/relationships/styles"/><Relationship Id="rId30" Target="media/image13.jpeg" Type="http://schemas.openxmlformats.org/officeDocument/2006/relationships/image"/><Relationship Id="rId31" Target="media/image14.jpeg" Type="http://schemas.openxmlformats.org/officeDocument/2006/relationships/image"/><Relationship Id="rId32" Target="media/image15.jpeg" Type="http://schemas.openxmlformats.org/officeDocument/2006/relationships/image"/><Relationship Id="rId33" Target="media/image16.jpeg" Type="http://schemas.openxmlformats.org/officeDocument/2006/relationships/image"/><Relationship Id="rId34" Target="media/image17.jpeg" Type="http://schemas.openxmlformats.org/officeDocument/2006/relationships/image"/><Relationship Id="rId35" Target="media/image18.jpeg" Type="http://schemas.openxmlformats.org/officeDocument/2006/relationships/image"/><Relationship Id="rId36" Target="media/image19.jpeg" Type="http://schemas.openxmlformats.org/officeDocument/2006/relationships/image"/><Relationship Id="rId37" Target="https://eur-lex.europa.eu/legal-content/RO/AUTO/?uri=celex:32019R0876" TargetMode="External" Type="http://schemas.openxmlformats.org/officeDocument/2006/relationships/hyperlink"/><Relationship Id="rId38" Target="https://eur-lex.europa.eu/legal-content/RO/AUTO/?uri=celex:32021R0424" TargetMode="External" Type="http://schemas.openxmlformats.org/officeDocument/2006/relationships/hyperlink"/><Relationship Id="rId39" Target="media/image20.jpeg" Type="http://schemas.openxmlformats.org/officeDocument/2006/relationships/image"/><Relationship Id="rId4" Target="settings.xml" Type="http://schemas.openxmlformats.org/officeDocument/2006/relationships/settings"/><Relationship Id="rId40" Target="media/image21.jpeg" Type="http://schemas.openxmlformats.org/officeDocument/2006/relationships/image"/><Relationship Id="rId41" Target="https://eur-lex.europa.eu/legal-content/RO/AUTO/?uri=celex:32019R0876" TargetMode="External" Type="http://schemas.openxmlformats.org/officeDocument/2006/relationships/hyperlink"/><Relationship Id="rId42" Target="https://eur-lex.europa.eu/legal-content/RO/AUTO/?uri=celex:32021R0424" TargetMode="External" Type="http://schemas.openxmlformats.org/officeDocument/2006/relationships/hyperlink"/><Relationship Id="rId43" Target="https://eur-lex.europa.eu/legal-content/RO/AUTO/?uri=celex:32024R1623" TargetMode="External" Type="http://schemas.openxmlformats.org/officeDocument/2006/relationships/hyperlink"/><Relationship Id="rId44" Target="https://eur-lex.europa.eu/legal-content/RO/AUTO/?uri=celex:32024R1623" TargetMode="External" Type="http://schemas.openxmlformats.org/officeDocument/2006/relationships/hyperlink"/><Relationship Id="rId45" Target="https://eur-lex.europa.eu/legal-content/RO/AUTO/?uri=celex:32021R0424" TargetMode="External" Type="http://schemas.openxmlformats.org/officeDocument/2006/relationships/hyperlink"/><Relationship Id="rId46" Target="https://eur-lex.europa.eu/legal-content/RO/AUTO/?uri=celex:32024R1623" TargetMode="External" Type="http://schemas.openxmlformats.org/officeDocument/2006/relationships/hyperlink"/><Relationship Id="rId47" Target="https://eur-lex.europa.eu/legal-content/RO/AUTO/?uri=celex:32019R0876" TargetMode="External" Type="http://schemas.openxmlformats.org/officeDocument/2006/relationships/hyperlink"/><Relationship Id="rId48" Target="https://eur-lex.europa.eu/legal-content/RO/AUTO/?uri=celex:32021R0424" TargetMode="External" Type="http://schemas.openxmlformats.org/officeDocument/2006/relationships/hyperlink"/><Relationship Id="rId49" Target="https://eur-lex.europa.eu/legal-content/RO/AUTO/?uri=celex:32024R1623" TargetMode="External" Type="http://schemas.openxmlformats.org/officeDocument/2006/relationships/hyperlink"/><Relationship Id="rId5" Target="webSettings.xml" Type="http://schemas.openxmlformats.org/officeDocument/2006/relationships/webSettings"/><Relationship Id="rId50" Target="https://eur-lex.europa.eu/legal-content/RO/AUTO/?uri=celex:32021R0424" TargetMode="External" Type="http://schemas.openxmlformats.org/officeDocument/2006/relationships/hyperlink"/><Relationship Id="rId51" Target="https://eur-lex.europa.eu/legal-content/RO/AUTO/?uri=celex:32019R0876" TargetMode="External" Type="http://schemas.openxmlformats.org/officeDocument/2006/relationships/hyperlink"/><Relationship Id="rId52" Target="https://eur-lex.europa.eu/legal-content/RO/AUTO/?uri=celex:32021R0424" TargetMode="External" Type="http://schemas.openxmlformats.org/officeDocument/2006/relationships/hyperlink"/><Relationship Id="rId53" Target="media/image22.jpeg" Type="http://schemas.openxmlformats.org/officeDocument/2006/relationships/image"/><Relationship Id="rId54" Target="media/image23.jpeg" Type="http://schemas.openxmlformats.org/officeDocument/2006/relationships/image"/><Relationship Id="rId55" Target="https://eur-lex.europa.eu/legal-content/RO/AUTO/?uri=celex:32019R0876" TargetMode="External" Type="http://schemas.openxmlformats.org/officeDocument/2006/relationships/hyperlink"/><Relationship Id="rId56" Target="media/image24.jpeg" Type="http://schemas.openxmlformats.org/officeDocument/2006/relationships/image"/><Relationship Id="rId57" Target="media/image25.jpeg" Type="http://schemas.openxmlformats.org/officeDocument/2006/relationships/image"/><Relationship Id="rId58" Target="media/image26.jpeg" Type="http://schemas.openxmlformats.org/officeDocument/2006/relationships/image"/><Relationship Id="rId59" Target="media/image27.jpeg" Type="http://schemas.openxmlformats.org/officeDocument/2006/relationships/image"/><Relationship Id="rId6" Target="footnotes.xml" Type="http://schemas.openxmlformats.org/officeDocument/2006/relationships/footnotes"/><Relationship Id="rId60" Target="media/image28.jpeg" Type="http://schemas.openxmlformats.org/officeDocument/2006/relationships/image"/><Relationship Id="rId61" Target="media/image29.jpeg" Type="http://schemas.openxmlformats.org/officeDocument/2006/relationships/image"/><Relationship Id="rId62" Target="media/image30.jpeg" Type="http://schemas.openxmlformats.org/officeDocument/2006/relationships/image"/><Relationship Id="rId63" Target="media/image31.jpeg" Type="http://schemas.openxmlformats.org/officeDocument/2006/relationships/image"/><Relationship Id="rId64" Target="media/image32.jpeg" Type="http://schemas.openxmlformats.org/officeDocument/2006/relationships/image"/><Relationship Id="rId65" Target="media/image33.jpeg" Type="http://schemas.openxmlformats.org/officeDocument/2006/relationships/image"/><Relationship Id="rId66" Target="media/image34.jpeg" Type="http://schemas.openxmlformats.org/officeDocument/2006/relationships/image"/><Relationship Id="rId67" Target="media/image35.jpeg" Type="http://schemas.openxmlformats.org/officeDocument/2006/relationships/image"/><Relationship Id="rId68" Target="media/image36.jpeg" Type="http://schemas.openxmlformats.org/officeDocument/2006/relationships/image"/><Relationship Id="rId69" Target="https://eur-lex.europa.eu/legal-content/RO/AUTO/?uri=celex:32019R0876R%2811%29" TargetMode="External" Type="http://schemas.openxmlformats.org/officeDocument/2006/relationships/hyperlink"/><Relationship Id="rId7" Target="endnotes.xml" Type="http://schemas.openxmlformats.org/officeDocument/2006/relationships/endnotes"/><Relationship Id="rId70" Target="https://eur-lex.europa.eu/legal-content/RO/AUTO/?uri=celex:32019R0876" TargetMode="External" Type="http://schemas.openxmlformats.org/officeDocument/2006/relationships/hyperlink"/><Relationship Id="rId71" Target="media/image37.jpeg" Type="http://schemas.openxmlformats.org/officeDocument/2006/relationships/image"/><Relationship Id="rId72" Target="https://eur-lex.europa.eu/legal-content/RO/AUTO/?uri=celex:32019R0876R%2811%29" TargetMode="External" Type="http://schemas.openxmlformats.org/officeDocument/2006/relationships/hyperlink"/><Relationship Id="rId73" Target="https://eur-lex.europa.eu/legal-content/RO/AUTO/?uri=celex:32019R0876" TargetMode="External" Type="http://schemas.openxmlformats.org/officeDocument/2006/relationships/hyperlink"/><Relationship Id="rId74" Target="media/image38.jpeg" Type="http://schemas.openxmlformats.org/officeDocument/2006/relationships/image"/><Relationship Id="rId75" Target="https://eur-lex.europa.eu/legal-content/RO/AUTO/?uri=celex:32024R1623" TargetMode="External" Type="http://schemas.openxmlformats.org/officeDocument/2006/relationships/hyperlink"/><Relationship Id="rId76" Target="https://eur-lex.europa.eu/legal-content/RO/AUTO/?uri=celex:32019R0876" TargetMode="External" Type="http://schemas.openxmlformats.org/officeDocument/2006/relationships/hyperlink"/><Relationship Id="rId77" Target="https://eur-lex.europa.eu/legal-content/RO/AUTO/?uri=celex:32024R1623" TargetMode="External" Type="http://schemas.openxmlformats.org/officeDocument/2006/relationships/hyperlink"/><Relationship Id="rId78" Target="https://eur-lex.europa.eu/legal-content/RO/AUTO/?uri=celex:32019R0876" TargetMode="External" Type="http://schemas.openxmlformats.org/officeDocument/2006/relationships/hyperlink"/><Relationship Id="rId79" Target="https://eur-lex.europa.eu/legal-content/RO/AUTO/?uri=celex:32024R1623" TargetMode="External" Type="http://schemas.openxmlformats.org/officeDocument/2006/relationships/hyperlink"/><Relationship Id="rId8" Target="comments.xml" Type="http://schemas.openxmlformats.org/officeDocument/2006/relationships/comments"/><Relationship Id="rId80" Target="https://eur-lex.europa.eu/legal-content/RO/AUTO/?uri=celex:32019R0876" TargetMode="External" Type="http://schemas.openxmlformats.org/officeDocument/2006/relationships/hyperlink"/><Relationship Id="rId81" Target="https://eur-lex.europa.eu/legal-content/RO/AUTO/?uri=celex:32024R1623" TargetMode="External" Type="http://schemas.openxmlformats.org/officeDocument/2006/relationships/hyperlink"/><Relationship Id="rId82" Target="https://eur-lex.europa.eu/legal-content/RO/AUTO/?uri=celex:32019R0876" TargetMode="External" Type="http://schemas.openxmlformats.org/officeDocument/2006/relationships/hyperlink"/><Relationship Id="rId83" Target="https://eur-lex.europa.eu/legal-content/RO/AUTO/?uri=celex:32024R1623" TargetMode="External" Type="http://schemas.openxmlformats.org/officeDocument/2006/relationships/hyperlink"/><Relationship Id="rId84" Target="https://eur-lex.europa.eu/legal-content/RO/AUTO/?uri=celex:32019R0876" TargetMode="External" Type="http://schemas.openxmlformats.org/officeDocument/2006/relationships/hyperlink"/><Relationship Id="rId85" Target="https://eur-lex.europa.eu/legal-content/RO/AUTO/?uri=celex:32024R1623" TargetMode="External" Type="http://schemas.openxmlformats.org/officeDocument/2006/relationships/hyperlink"/><Relationship Id="rId86" Target="https://eur-lex.europa.eu/legal-content/RO/AUTO/?uri=celex:32019R0876R%2811%29" TargetMode="External" Type="http://schemas.openxmlformats.org/officeDocument/2006/relationships/hyperlink"/><Relationship Id="rId87" Target="https://eur-lex.europa.eu/legal-content/RO/AUTO/?uri=celex:32019R0876" TargetMode="External" Type="http://schemas.openxmlformats.org/officeDocument/2006/relationships/hyperlink"/><Relationship Id="rId88" Target="https://eur-lex.europa.eu/legal-content/RO/AUTO/?uri=celex:32019R0876R%2811%29" TargetMode="External" Type="http://schemas.openxmlformats.org/officeDocument/2006/relationships/hyperlink"/><Relationship Id="rId89" Target="https://eur-lex.europa.eu/legal-content/RO/AUTO/?uri=celex:32019R0876" TargetMode="External" Type="http://schemas.openxmlformats.org/officeDocument/2006/relationships/hyperlink"/><Relationship Id="rId9" Target="commentsExtended.xml" Type="http://schemas.microsoft.com/office/2011/relationships/commentsExtended"/><Relationship Id="rId90" Target="https://eur-lex.europa.eu/legal-content/RO/AUTO/?uri=celex:32019R0876R%2811%29" TargetMode="External" Type="http://schemas.openxmlformats.org/officeDocument/2006/relationships/hyperlink"/><Relationship Id="rId91" Target="https://eur-lex.europa.eu/legal-content/RO/AUTO/?uri=celex:32019R0876" TargetMode="External" Type="http://schemas.openxmlformats.org/officeDocument/2006/relationships/hyperlink"/><Relationship Id="rId92" Target="https://eur-lex.europa.eu/legal-content/RO/AUTO/?uri=celex:32019R0876R%2811%29" TargetMode="External" Type="http://schemas.openxmlformats.org/officeDocument/2006/relationships/hyperlink"/><Relationship Id="rId93" Target="https://eur-lex.europa.eu/legal-content/RO/AUTO/?uri=celex:32019R0876" TargetMode="External" Type="http://schemas.openxmlformats.org/officeDocument/2006/relationships/hyperlink"/><Relationship Id="rId94" Target="https://eur-lex.europa.eu/legal-content/RO/AUTO/?uri=celex:32024R1623" TargetMode="External" Type="http://schemas.openxmlformats.org/officeDocument/2006/relationships/hyperlink"/><Relationship Id="rId95" Target="https://eur-lex.europa.eu/legal-content/RO/AUTO/?uri=celex:32019R0876" TargetMode="External" Type="http://schemas.openxmlformats.org/officeDocument/2006/relationships/hyperlink"/><Relationship Id="rId96" Target="media/image39.jpeg" Type="http://schemas.openxmlformats.org/officeDocument/2006/relationships/image"/><Relationship Id="rId97" Target="https://eur-lex.europa.eu/legal-content/RO/AUTO/?uri=celex:32024R1623" TargetMode="External" Type="http://schemas.openxmlformats.org/officeDocument/2006/relationships/hyperlink"/><Relationship Id="rId98" Target="https://eur-lex.europa.eu/legal-content/RO/AUTO/?uri=celex:32024R1623" TargetMode="External" Type="http://schemas.openxmlformats.org/officeDocument/2006/relationships/hyperlink"/><Relationship Id="rId99" Target="https://eur-lex.europa.eu/legal-content/RO/AUTO/?uri=celex:32019R0876"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titus xmlns="http://schemas.titus.com/TitusProperties/">
  <TitusGUID xmlns="">c4961903-d203-4698-9704-8ab08d75c404</TitusGUID>
  <TitusMetadata xmlns="">eyJucyI6IioiLCJwcm9wcyI6W3sibiI6IkNsYXNpZmljYXJlIiwidmFscyI6W3sidmFsdWUiOiJTUC0yIn1dfV19</TitusMetadata>
</titus>
</file>

<file path=customXml/itemProps1.xml><?xml version="1.0" encoding="utf-8"?>
<ds:datastoreItem xmlns:ds="http://schemas.openxmlformats.org/officeDocument/2006/customXml" ds:itemID="{5DBD7FF4-458C-4784-AE03-E270EEAE20E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325</Pages>
  <Words>99606</Words>
  <Characters>577718</Characters>
  <Application>Microsoft Office Word</Application>
  <DocSecurity>0</DocSecurity>
  <Lines>4814</Lines>
  <Paragraphs>1351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2026-06-17T05:58:00Z</dcterms:created>
  <dcterms:modified xsi:type="dcterms:W3CDTF">2026-06-19T09:02:00Z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c4961903-d203-4698-9704-8ab08d75c404</vt:lpwstr>
  </property>
  <property fmtid="{D5CDD505-2E9C-101B-9397-08002B2CF9AE}" pid="3" name="Clasificare">
    <vt:lpwstr>SP-2</vt:lpwstr>
  </property>
  <property fmtid="{D5CDD505-2E9C-101B-9397-08002B2CF9AE}" pid="4" name="ClassificationContentMarkingHeaderShapeIds">
    <vt:lpwstr>5,6,7</vt:lpwstr>
  </property>
  <property fmtid="{D5CDD505-2E9C-101B-9397-08002B2CF9AE}" pid="5" name="ClassificationContentMarkingHeaderFontProps">
    <vt:lpwstr>#000000,12,Calibri</vt:lpwstr>
  </property>
  <property fmtid="{D5CDD505-2E9C-101B-9397-08002B2CF9AE}" pid="6" name="ClassificationContentMarkingHeaderText">
    <vt:lpwstr>SP-2</vt:lpwstr>
  </property>
  <property fmtid="{D5CDD505-2E9C-101B-9397-08002B2CF9AE}" pid="7" name="ClassificationContentMarkingFooterShapeIds">
    <vt:lpwstr>a,b,c</vt:lpwstr>
  </property>
  <property fmtid="{D5CDD505-2E9C-101B-9397-08002B2CF9AE}" pid="8" name="ClassificationContentMarkingFooterFontProps">
    <vt:lpwstr>#000000,8,Calibri</vt:lpwstr>
  </property>
  <property fmtid="{D5CDD505-2E9C-101B-9397-08002B2CF9AE}" pid="9" name="ClassificationContentMarkingFooterText">
    <vt:lpwstr>Atenţie! Se interzice deţinerea, sustragerea, alterarea, multiplicarea, distrugerea sau folosirea  acestui document fără a dispune de drept de acces autorizat.</vt:lpwstr>
  </property>
  <property fmtid="{D5CDD505-2E9C-101B-9397-08002B2CF9AE}" pid="10" name="MSIP_Label_70108aff-3426-4749-9d04-de3a5077dcce_Enabled">
    <vt:lpwstr>true</vt:lpwstr>
  </property>
  <property fmtid="{D5CDD505-2E9C-101B-9397-08002B2CF9AE}" pid="11" name="MSIP_Label_70108aff-3426-4749-9d04-de3a5077dcce_SetDate">
    <vt:lpwstr>2025-01-20T16:14:29Z</vt:lpwstr>
  </property>
  <property fmtid="{D5CDD505-2E9C-101B-9397-08002B2CF9AE}" pid="12" name="MSIP_Label_70108aff-3426-4749-9d04-de3a5077dcce_Method">
    <vt:lpwstr>Privileged</vt:lpwstr>
  </property>
  <property fmtid="{D5CDD505-2E9C-101B-9397-08002B2CF9AE}" pid="13" name="MSIP_Label_70108aff-3426-4749-9d04-de3a5077dcce_Name">
    <vt:lpwstr>SP-2</vt:lpwstr>
  </property>
  <property fmtid="{D5CDD505-2E9C-101B-9397-08002B2CF9AE}" pid="14" name="MSIP_Label_70108aff-3426-4749-9d04-de3a5077dcce_SiteId">
    <vt:lpwstr>5887d430-0034-4561-b771-12c77faf2fa0</vt:lpwstr>
  </property>
  <property fmtid="{D5CDD505-2E9C-101B-9397-08002B2CF9AE}" pid="15" name="MSIP_Label_70108aff-3426-4749-9d04-de3a5077dcce_ActionId">
    <vt:lpwstr>d271127c-245f-436f-914f-e6f1dfd637fa</vt:lpwstr>
  </property>
  <property fmtid="{D5CDD505-2E9C-101B-9397-08002B2CF9AE}" pid="16" name="MSIP_Label_70108aff-3426-4749-9d04-de3a5077dcce_ContentBits">
    <vt:lpwstr>3</vt:lpwstr>
  </property>
</Properties>
</file>